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26" w:rsidRPr="00906F82" w:rsidRDefault="008D2126">
      <w:pPr>
        <w:spacing w:line="360" w:lineRule="auto"/>
        <w:jc w:val="center"/>
        <w:rPr>
          <w:rFonts w:ascii="宋体" w:hAnsi="宋体" w:cs="宋体" w:hint="eastAsia"/>
          <w:b/>
          <w:sz w:val="24"/>
        </w:rPr>
      </w:pPr>
      <w:r w:rsidRPr="00906F82">
        <w:rPr>
          <w:rFonts w:ascii="宋体" w:hAnsi="宋体" w:cs="宋体" w:hint="eastAsia"/>
          <w:b/>
          <w:sz w:val="24"/>
        </w:rPr>
        <w:t>国联安基金管理有限公司关于旗下部分基金增加邮储银行“邮你同赢”同业平台为销售机构的公告</w:t>
      </w:r>
    </w:p>
    <w:p w:rsidR="008D2126" w:rsidRPr="00906F82" w:rsidRDefault="008D2126">
      <w:pPr>
        <w:jc w:val="center"/>
        <w:rPr>
          <w:rFonts w:ascii="宋体" w:hAnsi="宋体" w:cs="宋体" w:hint="eastAsia"/>
          <w:b/>
          <w:sz w:val="24"/>
        </w:rPr>
      </w:pP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根据国联安基金管理有限公司（以下简称“本公司”）与中国邮政储蓄银行股份有限公司（以下简称“邮储银行”）签署的国联安基金管理有限公司开放式证券投资基金销售服务代理协议，自2025年4月3日起，本公司旗下</w:t>
      </w:r>
      <w:bookmarkStart w:id="0" w:name="OLE_LINK1"/>
      <w:r w:rsidRPr="00906F82">
        <w:rPr>
          <w:rFonts w:ascii="宋体" w:hAnsi="宋体" w:cs="宋体" w:hint="eastAsia"/>
          <w:szCs w:val="21"/>
        </w:rPr>
        <w:t>部分基金</w:t>
      </w:r>
      <w:bookmarkEnd w:id="0"/>
      <w:r w:rsidRPr="00906F82">
        <w:rPr>
          <w:rFonts w:ascii="宋体" w:hAnsi="宋体" w:cs="宋体" w:hint="eastAsia"/>
          <w:szCs w:val="21"/>
        </w:rPr>
        <w:t>增加邮储银行“邮你同赢”同业平台为代销机构。现就有关事项公告如下：</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一、业务范围</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投资者可在邮储银行</w:t>
      </w:r>
      <w:bookmarkStart w:id="1" w:name="OLE_LINK5"/>
      <w:r w:rsidRPr="00906F82">
        <w:rPr>
          <w:rFonts w:ascii="宋体" w:hAnsi="宋体" w:cs="宋体" w:hint="eastAsia"/>
          <w:szCs w:val="21"/>
        </w:rPr>
        <w:t>“邮你同赢”同业平台</w:t>
      </w:r>
      <w:bookmarkEnd w:id="1"/>
      <w:r w:rsidRPr="00906F82">
        <w:rPr>
          <w:rFonts w:ascii="宋体" w:hAnsi="宋体" w:cs="宋体" w:hint="eastAsia"/>
          <w:szCs w:val="21"/>
        </w:rPr>
        <w:t>办理下述基金的申购、赎回及转换等相关业务：</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国联安恒润3个月定期开放纯债债券型证券投资基金（基金简称：国联安恒润3个月定开债券；基金代码：018265）</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国联安恒悦90天持有期债券型证券投资基金（基金简称：国联安恒悦90天持有债券；基金代码：C类013673）</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国联安德盛红利混合型证券投资基金（基金简称：国联安红利混合；基金代码：257040）</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国联安沪深300交易型开放式指数证券投资基金联接基金（基金简称：</w:t>
      </w:r>
      <w:r w:rsidRPr="00906F82">
        <w:rPr>
          <w:rFonts w:ascii="宋体" w:hAnsi="宋体" w:cs="宋体" w:hint="eastAsia"/>
          <w:color w:val="333333"/>
          <w:szCs w:val="21"/>
        </w:rPr>
        <w:t>国联安沪深300ETF联接</w:t>
      </w:r>
      <w:r w:rsidRPr="00906F82">
        <w:rPr>
          <w:rFonts w:ascii="宋体" w:hAnsi="宋体" w:cs="宋体" w:hint="eastAsia"/>
          <w:szCs w:val="21"/>
        </w:rPr>
        <w:t>；基金代码：A类</w:t>
      </w:r>
      <w:r w:rsidRPr="00906F82">
        <w:rPr>
          <w:rFonts w:ascii="宋体" w:hAnsi="宋体" w:cs="宋体" w:hint="eastAsia"/>
          <w:color w:val="333333"/>
          <w:szCs w:val="21"/>
        </w:rPr>
        <w:t>008390</w:t>
      </w:r>
      <w:r>
        <w:rPr>
          <w:rFonts w:ascii="宋体" w:hAnsi="宋体" w:cs="宋体" w:hint="eastAsia"/>
          <w:szCs w:val="21"/>
        </w:rPr>
        <w:t>、</w:t>
      </w:r>
      <w:r w:rsidRPr="00906F82">
        <w:rPr>
          <w:rFonts w:ascii="宋体" w:hAnsi="宋体" w:cs="宋体" w:hint="eastAsia"/>
          <w:szCs w:val="21"/>
        </w:rPr>
        <w:t>C类008391）</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国联安价值甄选混合型证券投资基金（基金简称：国联安价值甄选混合；基金代码：019430）</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国联安上证科创板50成份交易型开放式指数证券投资基金联接基金（基金简称：</w:t>
      </w:r>
      <w:r w:rsidRPr="00906F82">
        <w:rPr>
          <w:rFonts w:ascii="宋体" w:hAnsi="宋体" w:cs="宋体" w:hint="eastAsia"/>
          <w:color w:val="333333"/>
          <w:szCs w:val="21"/>
        </w:rPr>
        <w:t>国联安上证科创板50ETF联接</w:t>
      </w:r>
      <w:r w:rsidRPr="00906F82">
        <w:rPr>
          <w:rFonts w:ascii="宋体" w:hAnsi="宋体" w:cs="宋体" w:hint="eastAsia"/>
          <w:szCs w:val="21"/>
        </w:rPr>
        <w:t>；基金代码：A类013893</w:t>
      </w:r>
      <w:r>
        <w:rPr>
          <w:rFonts w:ascii="宋体" w:hAnsi="宋体" w:cs="宋体" w:hint="eastAsia"/>
          <w:szCs w:val="21"/>
        </w:rPr>
        <w:t>、</w:t>
      </w:r>
      <w:r w:rsidRPr="00906F82">
        <w:rPr>
          <w:rFonts w:ascii="宋体" w:hAnsi="宋体" w:cs="宋体" w:hint="eastAsia"/>
          <w:szCs w:val="21"/>
        </w:rPr>
        <w:t>C类013894）</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国联安双月享60天持有期纯债债券型证券投资基金（基金简称：国联安双月享60天持有债券；基金代码：A类020395</w:t>
      </w:r>
      <w:r>
        <w:rPr>
          <w:rFonts w:ascii="宋体" w:hAnsi="宋体" w:cs="宋体" w:hint="eastAsia"/>
          <w:szCs w:val="21"/>
        </w:rPr>
        <w:t>、</w:t>
      </w:r>
      <w:r w:rsidRPr="00906F82">
        <w:rPr>
          <w:rFonts w:ascii="宋体" w:hAnsi="宋体" w:cs="宋体" w:hint="eastAsia"/>
          <w:szCs w:val="21"/>
        </w:rPr>
        <w:t>C类020396）</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国联安德盛稳健证券投资基金（基金简称：国联安稳健混合；基金代码：A类255010</w:t>
      </w:r>
      <w:r>
        <w:rPr>
          <w:rFonts w:ascii="宋体" w:hAnsi="宋体" w:cs="宋体" w:hint="eastAsia"/>
          <w:szCs w:val="21"/>
        </w:rPr>
        <w:t>、</w:t>
      </w:r>
      <w:r w:rsidRPr="00906F82">
        <w:rPr>
          <w:rFonts w:ascii="宋体" w:hAnsi="宋体" w:cs="宋体" w:hint="eastAsia"/>
          <w:szCs w:val="21"/>
        </w:rPr>
        <w:t>C类021479）</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国联安鑫汇混合型证券投资基金（基金简称：国联安鑫汇混合；基金代码：A类004129</w:t>
      </w:r>
      <w:r>
        <w:rPr>
          <w:rFonts w:ascii="宋体" w:hAnsi="宋体" w:cs="宋体" w:hint="eastAsia"/>
          <w:szCs w:val="21"/>
        </w:rPr>
        <w:t>、</w:t>
      </w:r>
      <w:r w:rsidRPr="00906F82">
        <w:rPr>
          <w:rFonts w:ascii="宋体" w:hAnsi="宋体" w:cs="宋体" w:hint="eastAsia"/>
          <w:szCs w:val="21"/>
        </w:rPr>
        <w:t>C类004130）</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国联安鑫隆混合型证券投资基金（基金简称：国联安鑫隆混合；基金代码：A类004083</w:t>
      </w:r>
      <w:r>
        <w:rPr>
          <w:rFonts w:ascii="宋体" w:hAnsi="宋体" w:cs="宋体" w:hint="eastAsia"/>
          <w:szCs w:val="21"/>
        </w:rPr>
        <w:t>、</w:t>
      </w:r>
      <w:r w:rsidRPr="00906F82">
        <w:rPr>
          <w:rFonts w:ascii="宋体" w:hAnsi="宋体" w:cs="宋体" w:hint="eastAsia"/>
          <w:szCs w:val="21"/>
        </w:rPr>
        <w:t>C类004084）</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国联安鑫元1个月持有期混合型证券投资基金（基金简称：国联安鑫元1个月持有混合，</w:t>
      </w:r>
      <w:r w:rsidRPr="00906F82">
        <w:rPr>
          <w:rFonts w:ascii="宋体" w:hAnsi="宋体" w:cs="宋体" w:hint="eastAsia"/>
          <w:szCs w:val="21"/>
        </w:rPr>
        <w:lastRenderedPageBreak/>
        <w:t>基金代码：A类010931，C类010932）</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国联安月享30天持有期纯债债券型证券投资基金（基金简称：国联安月享30天持有期纯债债券；基金代码：A类019962、C类019963）</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国联安中债0-3年政策性金融债指数证券投资基金（基金简称：国联安中债0-3年政金债指数；基金代码：A类021229、C类021230）</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国联安中证全指半导体产品与设备交易型开放式指数证券投资基金联接基金（基金简称：国联安中证全指半导体产品与设备 ETF 联接；基金代码：A类007300</w:t>
      </w:r>
      <w:r>
        <w:rPr>
          <w:rFonts w:ascii="宋体" w:hAnsi="宋体" w:cs="宋体" w:hint="eastAsia"/>
          <w:szCs w:val="21"/>
        </w:rPr>
        <w:t>、</w:t>
      </w:r>
      <w:r w:rsidRPr="00906F82">
        <w:rPr>
          <w:rFonts w:ascii="宋体" w:hAnsi="宋体" w:cs="宋体" w:hint="eastAsia"/>
          <w:szCs w:val="21"/>
        </w:rPr>
        <w:t>C类007301）</w:t>
      </w:r>
    </w:p>
    <w:p w:rsidR="008D2126" w:rsidRPr="00906F82" w:rsidRDefault="008D2126">
      <w:pPr>
        <w:spacing w:line="360" w:lineRule="auto"/>
        <w:ind w:firstLineChars="200" w:firstLine="420"/>
        <w:rPr>
          <w:rFonts w:ascii="宋体" w:hAnsi="宋体" w:cs="宋体" w:hint="eastAsia"/>
          <w:szCs w:val="21"/>
        </w:rPr>
      </w:pP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二、转换业务规则</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1、基金转换费及转换份额的计算：</w:t>
      </w:r>
    </w:p>
    <w:p w:rsidR="008D2126" w:rsidRPr="00906F82" w:rsidRDefault="008D2126">
      <w:pPr>
        <w:tabs>
          <w:tab w:val="left" w:pos="426"/>
        </w:tabs>
        <w:spacing w:line="360" w:lineRule="auto"/>
        <w:ind w:firstLineChars="200" w:firstLine="420"/>
        <w:rPr>
          <w:rFonts w:ascii="宋体" w:hAnsi="宋体" w:cs="宋体" w:hint="eastAsia"/>
          <w:szCs w:val="21"/>
        </w:rPr>
      </w:pPr>
      <w:r w:rsidRPr="00906F82">
        <w:rPr>
          <w:rFonts w:ascii="宋体" w:hAnsi="宋体" w:cs="宋体" w:hint="eastAsia"/>
          <w:szCs w:val="21"/>
        </w:rPr>
        <w:t>进行基金转换的总费用包括转换手续费、转出基金的赎回费和转入基金与转出基金的申购补差费三部分。</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（1）转换手续费率为零。如基金转换手续费率调整将另行公告。</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（2）转入基金与转出基金的申购补差费按转入基金与转出基金之间申购费率的差额计算收取，具体计算公式如下：</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转入基金与转出基金的申购补差费率 = max [（转入基金的申购费率-转出基金的申购费率），0 ]，即转入基金申购费率减去转出基金申购费率，如为负数则取零。</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前端份额之间转换的申购补差费率按转出金额对应转入基金的申购费率和转出基金的申购费率作为依据来计算。后端份额之间转换的申购补差费率为零，因此申购补差费为零。</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2、转换份额的计算公式：</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转出金额＝转出基金份额×转出基金当日基金份额净值</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转换费用＝转换手续费＋转出基金的赎回费＋申购补差费</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其中：</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转换手续费＝0</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赎回费＝转出金额×转出基金赎回费率</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申购补差费＝(转出金额－赎回费)×申购补差费率/(1+申购补差费率)</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lastRenderedPageBreak/>
        <w:t>（1）如果转入基金的申购费率 &gt; 转出基金的申购费率</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转换费用＝转出基金的赎回费+申购补差费</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（2）如果转出基金的申购费率 ≥ 转入基金的申购费率</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转换费用＝转出基金的赎回费</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（3）转入金额 = 转出金额 - 转换费用</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（4）转入份额 = 转入金额 / 转入基金当日基金份额净值</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其中，转入基金的申购费率和转出基金的申购费率均以转出金额作为确定依据。</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 xml:space="preserve">注：转入份额的计算结果四舍五入保留到小数点后两位。 </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3、转换业务规则：</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（1）基金转换以份额为单位进行申请。投资者办理基金转换业务时，转出的基金必须处于可赎回状态，转入的基金必须处于可申购状态。</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（2）基金转换采取未知价法，即以申请受理当日各转出、转入基金的单位资产净值为基础进行计算。</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（3）正常情况下，基金注册登记机构将在T+1日对投资者T日的基金转换业务申请进行有效性确认。在T+2日后（包括该日）投资者可在相关网点查询基金转换的成交情况。</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4）目前，每次对上述单只基金转换业务的申请原则上不得低于100份基金份额；如因某笔基金转出业务导致该基金单个交易账户的基金份额余额少于100份时，基金管理人将该交易账户保留的基金份额余额一次性全额转出。单笔转入申请不受转入基金最低申购限额限制。</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5）单个开放日单只基金净赎回申请（赎回申请份额与转出申请份额总数，扣除申购申请份额与转入申请份额总数后的余额）超过上一开放日该基金总份额的10%时，即认为发生了巨额赎回。发生巨额赎回时，基金转出与基金赎回具有相同的优先等级，基金管理人可根据该基金资产组合情况，决定全额转出或部分转出，并且对于基金转出和基金赎回采取相同的比例确认。在转出申请得到部分确认的情况下，未确认的转出申请将不予以顺延。</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 xml:space="preserve">（6）目前，原持有基金为前端收费模式下基金份额的，只能转换为其他前端收费模式的基金份额，后端收费模式下的基金份额只能转换为其他后端收费模式的基金份额。 </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（7）上述业务规则具体以各相关基金注册登记机构的有关规定为准。</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（8）在邮储银行“邮你同赢”同业平台具体可办理转换业务的本公司旗下基金，为邮储银行“邮你同赢”同业平台已销售并开通转换业务的基金。</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基金管理人可以在基金合同约定的范围内根据实际情况调整转换业务规则并公告。</w:t>
      </w:r>
    </w:p>
    <w:p w:rsidR="008D2126" w:rsidRPr="00906F82" w:rsidRDefault="008D2126">
      <w:pPr>
        <w:spacing w:line="360" w:lineRule="auto"/>
        <w:ind w:firstLineChars="100" w:firstLine="210"/>
        <w:rPr>
          <w:rFonts w:ascii="宋体" w:hAnsi="宋体" w:cs="宋体" w:hint="eastAsia"/>
          <w:szCs w:val="21"/>
        </w:rPr>
      </w:pPr>
      <w:r w:rsidRPr="00906F82">
        <w:rPr>
          <w:rFonts w:ascii="宋体" w:hAnsi="宋体" w:cs="宋体" w:hint="eastAsia"/>
          <w:szCs w:val="21"/>
        </w:rPr>
        <w:t xml:space="preserve">  三、投资者可以通过以下途径了解或咨询相关详情</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1、国联安基金管理有限公司：</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客户服务热线：021-38784766，400-700-0365（免长途话费）</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网站：www.cpicfunds.com</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2、中国邮政储蓄银行股份有限公司“邮你同赢”同业平台：</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客户服务热线：95580</w:t>
      </w:r>
    </w:p>
    <w:p w:rsidR="008D2126" w:rsidRPr="00906F82" w:rsidRDefault="008D2126">
      <w:pPr>
        <w:widowControl/>
        <w:ind w:firstLineChars="200" w:firstLine="420"/>
        <w:jc w:val="left"/>
        <w:rPr>
          <w:rFonts w:ascii="宋体" w:hAnsi="宋体" w:cs="宋体" w:hint="eastAsia"/>
          <w:szCs w:val="21"/>
        </w:rPr>
      </w:pPr>
      <w:r w:rsidRPr="00906F82">
        <w:rPr>
          <w:rFonts w:ascii="宋体" w:hAnsi="宋体" w:cs="宋体" w:hint="eastAsia"/>
          <w:szCs w:val="21"/>
        </w:rPr>
        <w:t>网站：https://www.psbc.com</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四、重要提示</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1、本公告仅就邮储银行“邮你同赢”同业平台开通本公司旗下部分基金的申购、赎回及转换等相关销售业务的事项予以公告。今后邮储银行“邮你同赢”同业平台若代理本公司旗下其他基金的销售及相关业务，届时将另行公告。</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2</w:t>
      </w:r>
      <w:r w:rsidRPr="00906F82">
        <w:rPr>
          <w:rFonts w:ascii="宋体" w:hAnsi="宋体" w:cs="宋体" w:hint="eastAsia"/>
          <w:kern w:val="0"/>
          <w:szCs w:val="21"/>
        </w:rPr>
        <w:t>、本公告涉及</w:t>
      </w:r>
      <w:r w:rsidRPr="00906F82">
        <w:rPr>
          <w:rFonts w:ascii="宋体" w:hAnsi="宋体" w:cs="宋体" w:hint="eastAsia"/>
          <w:szCs w:val="21"/>
        </w:rPr>
        <w:t>上述基金</w:t>
      </w:r>
      <w:r w:rsidRPr="00906F82">
        <w:rPr>
          <w:rFonts w:ascii="宋体" w:hAnsi="宋体" w:cs="宋体" w:hint="eastAsia"/>
          <w:kern w:val="0"/>
          <w:szCs w:val="21"/>
        </w:rPr>
        <w:t>在</w:t>
      </w:r>
      <w:r w:rsidRPr="00906F82">
        <w:rPr>
          <w:rFonts w:ascii="宋体" w:hAnsi="宋体" w:cs="宋体" w:hint="eastAsia"/>
          <w:szCs w:val="21"/>
        </w:rPr>
        <w:t>邮储银行“邮你同赢”同业平台</w:t>
      </w:r>
      <w:r w:rsidRPr="00906F82">
        <w:rPr>
          <w:rFonts w:ascii="宋体" w:hAnsi="宋体" w:cs="宋体" w:hint="eastAsia"/>
          <w:kern w:val="0"/>
          <w:szCs w:val="21"/>
        </w:rPr>
        <w:t>办理基金销售业务的其他未明事项，敬请遵循邮储银行</w:t>
      </w:r>
      <w:r w:rsidRPr="00906F82">
        <w:rPr>
          <w:rFonts w:ascii="宋体" w:hAnsi="宋体" w:cs="宋体" w:hint="eastAsia"/>
          <w:szCs w:val="21"/>
        </w:rPr>
        <w:t>“邮你同赢”同业平台</w:t>
      </w:r>
      <w:r w:rsidRPr="00906F82">
        <w:rPr>
          <w:rFonts w:ascii="宋体" w:hAnsi="宋体" w:cs="宋体" w:hint="eastAsia"/>
          <w:kern w:val="0"/>
          <w:szCs w:val="21"/>
        </w:rPr>
        <w:t>的具体规定。</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3、投资者办理基金交易等相关业务前，应仔细阅读相关基金的基金合同、招募说明书及其更新、产品资料概要及其更新、风险提示及相关业务规则和操作指南等文件。</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4、本公告的最终解释权归本公司所有。</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 xml:space="preserve"> </w:t>
      </w:r>
    </w:p>
    <w:p w:rsidR="008D2126" w:rsidRPr="00906F82" w:rsidRDefault="008D2126">
      <w:pPr>
        <w:spacing w:line="360" w:lineRule="auto"/>
        <w:ind w:firstLineChars="200" w:firstLine="420"/>
        <w:rPr>
          <w:rFonts w:ascii="宋体" w:hAnsi="宋体" w:cs="宋体" w:hint="eastAsia"/>
          <w:szCs w:val="21"/>
        </w:rPr>
      </w:pP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风险提示：本公司承诺以诚实信用、勤勉尽责的原则管理和运用基金财产，但不保证基金一定盈利，也不保证最低收益。基金的过往业绩并不代表其将来表现，基金管理人管理的其他基金的业绩并不构成特定基金业绩表现的保证。</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8D2126" w:rsidRPr="00906F82" w:rsidRDefault="008D2126">
      <w:pPr>
        <w:spacing w:line="360" w:lineRule="auto"/>
        <w:ind w:firstLineChars="200" w:firstLine="420"/>
        <w:rPr>
          <w:rFonts w:ascii="宋体" w:hAnsi="宋体" w:cs="宋体" w:hint="eastAsia"/>
          <w:szCs w:val="21"/>
        </w:rPr>
      </w:pPr>
      <w:r w:rsidRPr="00906F82">
        <w:rPr>
          <w:rFonts w:ascii="宋体" w:hAnsi="宋体" w:cs="宋体" w:hint="eastAsia"/>
          <w:szCs w:val="21"/>
        </w:rPr>
        <w:t>特此公告。</w:t>
      </w:r>
    </w:p>
    <w:p w:rsidR="008D2126" w:rsidRPr="00906F82" w:rsidRDefault="008D2126">
      <w:pPr>
        <w:spacing w:line="360" w:lineRule="auto"/>
        <w:ind w:firstLineChars="200" w:firstLine="420"/>
        <w:jc w:val="right"/>
        <w:rPr>
          <w:rFonts w:ascii="宋体" w:hAnsi="宋体" w:cs="宋体" w:hint="eastAsia"/>
          <w:szCs w:val="21"/>
        </w:rPr>
      </w:pPr>
      <w:r w:rsidRPr="00906F82">
        <w:rPr>
          <w:rFonts w:ascii="宋体" w:hAnsi="宋体" w:cs="宋体" w:hint="eastAsia"/>
          <w:szCs w:val="21"/>
        </w:rPr>
        <w:t>国联安基金管理有限公司</w:t>
      </w:r>
    </w:p>
    <w:p w:rsidR="008D2126" w:rsidRPr="00906F82" w:rsidRDefault="008D2126">
      <w:pPr>
        <w:wordWrap w:val="0"/>
        <w:spacing w:line="360" w:lineRule="auto"/>
        <w:ind w:firstLineChars="200" w:firstLine="420"/>
        <w:jc w:val="right"/>
        <w:rPr>
          <w:rFonts w:ascii="宋体" w:hAnsi="宋体" w:cs="宋体" w:hint="eastAsia"/>
          <w:szCs w:val="21"/>
        </w:rPr>
      </w:pPr>
      <w:r w:rsidRPr="00906F82">
        <w:rPr>
          <w:rFonts w:ascii="宋体" w:hAnsi="宋体" w:cs="宋体" w:hint="eastAsia"/>
          <w:szCs w:val="21"/>
        </w:rPr>
        <w:t>二〇二五年四月三日</w:t>
      </w:r>
    </w:p>
    <w:sectPr w:rsidR="008D2126" w:rsidRPr="00906F8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jc5YThiMDRhMjNmOTM3NzA3YTZhNGRkYzUzNzMyNTIifQ=="/>
    <w:docVar w:name="KSO_WPS_MARK_KEY" w:val="0882d0db-23c4-4fa9-a4ed-d781438314f9"/>
  </w:docVars>
  <w:rsids>
    <w:rsidRoot w:val="0048775A"/>
    <w:rsid w:val="000112F1"/>
    <w:rsid w:val="00015DB8"/>
    <w:rsid w:val="00022D2B"/>
    <w:rsid w:val="00024C8D"/>
    <w:rsid w:val="000279A8"/>
    <w:rsid w:val="00040927"/>
    <w:rsid w:val="00050D30"/>
    <w:rsid w:val="00051E47"/>
    <w:rsid w:val="0005456C"/>
    <w:rsid w:val="0006028F"/>
    <w:rsid w:val="00060610"/>
    <w:rsid w:val="00060BC1"/>
    <w:rsid w:val="0006603D"/>
    <w:rsid w:val="000870F2"/>
    <w:rsid w:val="00095879"/>
    <w:rsid w:val="000B5F24"/>
    <w:rsid w:val="000B7F00"/>
    <w:rsid w:val="000C5664"/>
    <w:rsid w:val="000D0FEB"/>
    <w:rsid w:val="000E36FD"/>
    <w:rsid w:val="000E523E"/>
    <w:rsid w:val="000F413C"/>
    <w:rsid w:val="00106BC9"/>
    <w:rsid w:val="0012636C"/>
    <w:rsid w:val="0013792F"/>
    <w:rsid w:val="00156672"/>
    <w:rsid w:val="001720D8"/>
    <w:rsid w:val="001737A2"/>
    <w:rsid w:val="001768E1"/>
    <w:rsid w:val="00191E08"/>
    <w:rsid w:val="001D343B"/>
    <w:rsid w:val="002304F4"/>
    <w:rsid w:val="002465F6"/>
    <w:rsid w:val="00267878"/>
    <w:rsid w:val="002779AA"/>
    <w:rsid w:val="00291FA9"/>
    <w:rsid w:val="002A3549"/>
    <w:rsid w:val="002B1A64"/>
    <w:rsid w:val="002C4287"/>
    <w:rsid w:val="002D0AA2"/>
    <w:rsid w:val="002D61BD"/>
    <w:rsid w:val="002F2B54"/>
    <w:rsid w:val="002F31F8"/>
    <w:rsid w:val="00307327"/>
    <w:rsid w:val="0032413B"/>
    <w:rsid w:val="00333118"/>
    <w:rsid w:val="0035756E"/>
    <w:rsid w:val="003704AA"/>
    <w:rsid w:val="00371D8C"/>
    <w:rsid w:val="00380E7E"/>
    <w:rsid w:val="00384127"/>
    <w:rsid w:val="00386602"/>
    <w:rsid w:val="00386691"/>
    <w:rsid w:val="0039283C"/>
    <w:rsid w:val="003A6491"/>
    <w:rsid w:val="003B3DB7"/>
    <w:rsid w:val="003B5A50"/>
    <w:rsid w:val="003C286C"/>
    <w:rsid w:val="003E6081"/>
    <w:rsid w:val="003E73D3"/>
    <w:rsid w:val="00410CD5"/>
    <w:rsid w:val="00417EC1"/>
    <w:rsid w:val="00425E99"/>
    <w:rsid w:val="00432328"/>
    <w:rsid w:val="00432775"/>
    <w:rsid w:val="0043286C"/>
    <w:rsid w:val="004345D1"/>
    <w:rsid w:val="004606D0"/>
    <w:rsid w:val="00460A29"/>
    <w:rsid w:val="00467868"/>
    <w:rsid w:val="00485A66"/>
    <w:rsid w:val="0048775A"/>
    <w:rsid w:val="004A55E2"/>
    <w:rsid w:val="004C7FBA"/>
    <w:rsid w:val="004D4A5C"/>
    <w:rsid w:val="004D5758"/>
    <w:rsid w:val="00525DFB"/>
    <w:rsid w:val="00535F16"/>
    <w:rsid w:val="005410A3"/>
    <w:rsid w:val="00550DF0"/>
    <w:rsid w:val="00551AD2"/>
    <w:rsid w:val="005540FD"/>
    <w:rsid w:val="00555DFD"/>
    <w:rsid w:val="005571E4"/>
    <w:rsid w:val="00591A8C"/>
    <w:rsid w:val="0059212C"/>
    <w:rsid w:val="005E2669"/>
    <w:rsid w:val="005F4716"/>
    <w:rsid w:val="005F790A"/>
    <w:rsid w:val="00601BE4"/>
    <w:rsid w:val="00605006"/>
    <w:rsid w:val="00616251"/>
    <w:rsid w:val="00617434"/>
    <w:rsid w:val="0062774B"/>
    <w:rsid w:val="00640265"/>
    <w:rsid w:val="0064260F"/>
    <w:rsid w:val="00645976"/>
    <w:rsid w:val="006467A4"/>
    <w:rsid w:val="00656F1C"/>
    <w:rsid w:val="00670E10"/>
    <w:rsid w:val="006717D9"/>
    <w:rsid w:val="00672179"/>
    <w:rsid w:val="00676B6A"/>
    <w:rsid w:val="00692EBE"/>
    <w:rsid w:val="006A2583"/>
    <w:rsid w:val="006B4D14"/>
    <w:rsid w:val="006B7A43"/>
    <w:rsid w:val="006C30E9"/>
    <w:rsid w:val="006C53D6"/>
    <w:rsid w:val="006C5EAD"/>
    <w:rsid w:val="006D252C"/>
    <w:rsid w:val="006D469E"/>
    <w:rsid w:val="006E5BBF"/>
    <w:rsid w:val="006F4100"/>
    <w:rsid w:val="00700C56"/>
    <w:rsid w:val="00706649"/>
    <w:rsid w:val="00717BC0"/>
    <w:rsid w:val="007526DB"/>
    <w:rsid w:val="00775009"/>
    <w:rsid w:val="00780E2D"/>
    <w:rsid w:val="007B6063"/>
    <w:rsid w:val="007C3A19"/>
    <w:rsid w:val="007D593C"/>
    <w:rsid w:val="007E679E"/>
    <w:rsid w:val="007F516E"/>
    <w:rsid w:val="008009D7"/>
    <w:rsid w:val="00836030"/>
    <w:rsid w:val="008400B5"/>
    <w:rsid w:val="00840C9B"/>
    <w:rsid w:val="00846AE1"/>
    <w:rsid w:val="008536FA"/>
    <w:rsid w:val="00854920"/>
    <w:rsid w:val="00856BAC"/>
    <w:rsid w:val="00875925"/>
    <w:rsid w:val="008873A8"/>
    <w:rsid w:val="00890851"/>
    <w:rsid w:val="008954CE"/>
    <w:rsid w:val="008B6E96"/>
    <w:rsid w:val="008C154F"/>
    <w:rsid w:val="008D2126"/>
    <w:rsid w:val="008E1106"/>
    <w:rsid w:val="008F4E9C"/>
    <w:rsid w:val="00906F82"/>
    <w:rsid w:val="00911456"/>
    <w:rsid w:val="009144FD"/>
    <w:rsid w:val="00942B47"/>
    <w:rsid w:val="00943F80"/>
    <w:rsid w:val="00947D38"/>
    <w:rsid w:val="009575E9"/>
    <w:rsid w:val="00961CFF"/>
    <w:rsid w:val="00961E86"/>
    <w:rsid w:val="00962A1C"/>
    <w:rsid w:val="00972CF5"/>
    <w:rsid w:val="009A0D87"/>
    <w:rsid w:val="009B0C0B"/>
    <w:rsid w:val="009D1790"/>
    <w:rsid w:val="009E14D2"/>
    <w:rsid w:val="00A04718"/>
    <w:rsid w:val="00A07A8B"/>
    <w:rsid w:val="00A2008D"/>
    <w:rsid w:val="00A30B57"/>
    <w:rsid w:val="00A32DFE"/>
    <w:rsid w:val="00A32ED5"/>
    <w:rsid w:val="00A46807"/>
    <w:rsid w:val="00A52BB6"/>
    <w:rsid w:val="00A63F59"/>
    <w:rsid w:val="00A63FE1"/>
    <w:rsid w:val="00A74C31"/>
    <w:rsid w:val="00A90280"/>
    <w:rsid w:val="00AB566B"/>
    <w:rsid w:val="00AB6C95"/>
    <w:rsid w:val="00AC14E8"/>
    <w:rsid w:val="00AC15E0"/>
    <w:rsid w:val="00AC29E8"/>
    <w:rsid w:val="00AC3AFD"/>
    <w:rsid w:val="00AC7E76"/>
    <w:rsid w:val="00B1727F"/>
    <w:rsid w:val="00B333CA"/>
    <w:rsid w:val="00B4046B"/>
    <w:rsid w:val="00B451E7"/>
    <w:rsid w:val="00B57C24"/>
    <w:rsid w:val="00B6576A"/>
    <w:rsid w:val="00B7161C"/>
    <w:rsid w:val="00B76671"/>
    <w:rsid w:val="00B818F1"/>
    <w:rsid w:val="00B9310F"/>
    <w:rsid w:val="00BA3522"/>
    <w:rsid w:val="00BB17B4"/>
    <w:rsid w:val="00BB3059"/>
    <w:rsid w:val="00BD0CA4"/>
    <w:rsid w:val="00BD5661"/>
    <w:rsid w:val="00BD63B3"/>
    <w:rsid w:val="00C0599F"/>
    <w:rsid w:val="00C07AE5"/>
    <w:rsid w:val="00C10754"/>
    <w:rsid w:val="00C24D0A"/>
    <w:rsid w:val="00C272EF"/>
    <w:rsid w:val="00C302F8"/>
    <w:rsid w:val="00C577DB"/>
    <w:rsid w:val="00C81C3C"/>
    <w:rsid w:val="00C9434D"/>
    <w:rsid w:val="00CD56B2"/>
    <w:rsid w:val="00CE2F4F"/>
    <w:rsid w:val="00CE479D"/>
    <w:rsid w:val="00D13D2A"/>
    <w:rsid w:val="00D14403"/>
    <w:rsid w:val="00D36201"/>
    <w:rsid w:val="00D377AE"/>
    <w:rsid w:val="00D41E86"/>
    <w:rsid w:val="00D50891"/>
    <w:rsid w:val="00D5173A"/>
    <w:rsid w:val="00D54863"/>
    <w:rsid w:val="00D5490B"/>
    <w:rsid w:val="00D61755"/>
    <w:rsid w:val="00D67907"/>
    <w:rsid w:val="00D71CDD"/>
    <w:rsid w:val="00D723F7"/>
    <w:rsid w:val="00DB3892"/>
    <w:rsid w:val="00DB3EDB"/>
    <w:rsid w:val="00DB621B"/>
    <w:rsid w:val="00DC19A7"/>
    <w:rsid w:val="00DC4493"/>
    <w:rsid w:val="00DF694F"/>
    <w:rsid w:val="00E168BE"/>
    <w:rsid w:val="00E1751E"/>
    <w:rsid w:val="00E2103B"/>
    <w:rsid w:val="00E46B32"/>
    <w:rsid w:val="00E62006"/>
    <w:rsid w:val="00E620A6"/>
    <w:rsid w:val="00E65B4C"/>
    <w:rsid w:val="00E67ADF"/>
    <w:rsid w:val="00EA2828"/>
    <w:rsid w:val="00EB1A5F"/>
    <w:rsid w:val="00EC40BB"/>
    <w:rsid w:val="00ED204B"/>
    <w:rsid w:val="00ED4E47"/>
    <w:rsid w:val="00F058C1"/>
    <w:rsid w:val="00F14633"/>
    <w:rsid w:val="00F37298"/>
    <w:rsid w:val="00F507B8"/>
    <w:rsid w:val="00F66B63"/>
    <w:rsid w:val="00F74B30"/>
    <w:rsid w:val="00F771AD"/>
    <w:rsid w:val="00F85163"/>
    <w:rsid w:val="00F86429"/>
    <w:rsid w:val="00F9438E"/>
    <w:rsid w:val="00FA2317"/>
    <w:rsid w:val="00FB24F1"/>
    <w:rsid w:val="00FC4537"/>
    <w:rsid w:val="00FD3BB7"/>
    <w:rsid w:val="00FE2650"/>
    <w:rsid w:val="00FF7CD6"/>
    <w:rsid w:val="029456A9"/>
    <w:rsid w:val="06214EBC"/>
    <w:rsid w:val="0764375F"/>
    <w:rsid w:val="08200E79"/>
    <w:rsid w:val="0F032E62"/>
    <w:rsid w:val="114E421F"/>
    <w:rsid w:val="17484B2B"/>
    <w:rsid w:val="1A0661DF"/>
    <w:rsid w:val="28C606ED"/>
    <w:rsid w:val="2A755FEE"/>
    <w:rsid w:val="2A804690"/>
    <w:rsid w:val="2B741670"/>
    <w:rsid w:val="2FE251F2"/>
    <w:rsid w:val="325B1705"/>
    <w:rsid w:val="3CB95975"/>
    <w:rsid w:val="3D320A73"/>
    <w:rsid w:val="41495841"/>
    <w:rsid w:val="4A995804"/>
    <w:rsid w:val="4F37ED1A"/>
    <w:rsid w:val="4F3A59C3"/>
    <w:rsid w:val="4F3C6BCD"/>
    <w:rsid w:val="51A50853"/>
    <w:rsid w:val="53206AC2"/>
    <w:rsid w:val="5A2A11E6"/>
    <w:rsid w:val="5BB80536"/>
    <w:rsid w:val="5F6FC586"/>
    <w:rsid w:val="64B71C61"/>
    <w:rsid w:val="6D74C051"/>
    <w:rsid w:val="6FFFC3FE"/>
    <w:rsid w:val="74E929AA"/>
    <w:rsid w:val="77682C56"/>
    <w:rsid w:val="78493CBF"/>
    <w:rsid w:val="7C607325"/>
    <w:rsid w:val="7C640CAF"/>
    <w:rsid w:val="7F6923A1"/>
    <w:rsid w:val="7FED3908"/>
    <w:rsid w:val="7FF96031"/>
    <w:rsid w:val="7FF9D582"/>
    <w:rsid w:val="A3AFC696"/>
    <w:rsid w:val="C35E6CB7"/>
    <w:rsid w:val="DFEF888C"/>
    <w:rsid w:val="EF65FE04"/>
    <w:rsid w:val="FF37EE20"/>
    <w:rsid w:val="FFBFC5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Hyperlink"/>
    <w:rPr>
      <w:color w:val="0000FF"/>
      <w:u w:val="single"/>
    </w:rPr>
  </w:style>
  <w:style w:type="character" w:customStyle="1" w:styleId="a5">
    <w:name w:val="批注主题 字符"/>
    <w:link w:val="a6"/>
    <w:rPr>
      <w:b/>
      <w:bCs/>
      <w:kern w:val="2"/>
      <w:sz w:val="21"/>
      <w:szCs w:val="24"/>
    </w:rPr>
  </w:style>
  <w:style w:type="character" w:customStyle="1" w:styleId="a7">
    <w:name w:val="批注文字 字符"/>
    <w:link w:val="a8"/>
    <w:rPr>
      <w:kern w:val="2"/>
      <w:sz w:val="21"/>
      <w:szCs w:val="24"/>
    </w:rPr>
  </w:style>
  <w:style w:type="character" w:customStyle="1" w:styleId="a9">
    <w:name w:val="页脚 字符"/>
    <w:link w:val="aa"/>
    <w:rPr>
      <w:kern w:val="2"/>
      <w:sz w:val="18"/>
      <w:szCs w:val="18"/>
    </w:rPr>
  </w:style>
  <w:style w:type="character" w:customStyle="1" w:styleId="ab">
    <w:name w:val="页眉 字符"/>
    <w:link w:val="ac"/>
    <w:rPr>
      <w:kern w:val="2"/>
      <w:sz w:val="18"/>
      <w:szCs w:val="18"/>
    </w:rPr>
  </w:style>
  <w:style w:type="paragraph" w:styleId="a6">
    <w:name w:val="annotation subject"/>
    <w:basedOn w:val="a8"/>
    <w:next w:val="a8"/>
    <w:link w:val="a5"/>
    <w:rPr>
      <w:b/>
      <w:bCs/>
    </w:rPr>
  </w:style>
  <w:style w:type="paragraph" w:styleId="a8">
    <w:name w:val="annotation text"/>
    <w:basedOn w:val="a"/>
    <w:link w:val="a7"/>
    <w:pPr>
      <w:jc w:val="left"/>
    </w:pPr>
  </w:style>
  <w:style w:type="paragraph" w:styleId="ad">
    <w:name w:val="Balloon Text"/>
    <w:basedOn w:val="a"/>
    <w:semiHidden/>
    <w:rPr>
      <w:sz w:val="18"/>
      <w:szCs w:val="18"/>
    </w:rPr>
  </w:style>
  <w:style w:type="paragraph" w:styleId="ae">
    <w:name w:val="Normal (Web)"/>
    <w:basedOn w:val="a"/>
    <w:pPr>
      <w:spacing w:before="100" w:beforeAutospacing="1" w:after="100" w:afterAutospacing="1"/>
      <w:jc w:val="left"/>
    </w:pPr>
    <w:rPr>
      <w:kern w:val="0"/>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footer"/>
    <w:basedOn w:val="a"/>
    <w:link w:val="a9"/>
    <w:pPr>
      <w:tabs>
        <w:tab w:val="center" w:pos="4153"/>
        <w:tab w:val="right" w:pos="8306"/>
      </w:tabs>
      <w:snapToGrid w:val="0"/>
      <w:jc w:val="left"/>
    </w:pPr>
    <w:rPr>
      <w:sz w:val="18"/>
      <w:szCs w:val="18"/>
    </w:rPr>
  </w:style>
  <w:style w:type="paragraph" w:styleId="ac">
    <w:name w:val="header"/>
    <w:basedOn w:val="a"/>
    <w:link w:val="ab"/>
    <w:pPr>
      <w:pBdr>
        <w:bottom w:val="single" w:sz="6" w:space="1" w:color="auto"/>
      </w:pBdr>
      <w:tabs>
        <w:tab w:val="center" w:pos="4153"/>
        <w:tab w:val="right" w:pos="8306"/>
      </w:tabs>
      <w:snapToGrid w:val="0"/>
      <w:jc w:val="center"/>
    </w:pPr>
    <w:rPr>
      <w:sz w:val="18"/>
      <w:szCs w:val="18"/>
    </w:rPr>
  </w:style>
  <w:style w:type="paragraph" w:styleId="af">
    <w:name w:val="Revision"/>
    <w:uiPriority w:val="99"/>
    <w:unhideWhenUsed/>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8A816-E0AF-4286-BBF4-C8B6FD6AF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2934</Characters>
  <Application>Microsoft Office Word</Application>
  <DocSecurity>4</DocSecurity>
  <Lines>24</Lines>
  <Paragraphs>6</Paragraphs>
  <ScaleCrop>false</ScaleCrop>
  <Company>国联安基金</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国联安基金管理有限公司关于旗下部分基金增加中信证券（浙江）有限责任公司为代销机构的公告</dc:title>
  <dc:subject/>
  <dc:creator>irene.zhuang</dc:creator>
  <cp:keywords/>
  <cp:lastModifiedBy>ZHONGM</cp:lastModifiedBy>
  <cp:revision>2</cp:revision>
  <cp:lastPrinted>2019-07-23T08:29:00Z</cp:lastPrinted>
  <dcterms:created xsi:type="dcterms:W3CDTF">2025-04-02T16:01:00Z</dcterms:created>
  <dcterms:modified xsi:type="dcterms:W3CDTF">2025-04-02T16:01:00Z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51BCFE8EE39136A3D1EF7663FC944BFB</vt:lpwstr>
  </property>
</Properties>
</file>