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C4D" w:rsidRDefault="004102A4">
      <w:pPr>
        <w:widowControl/>
        <w:spacing w:line="360" w:lineRule="auto"/>
        <w:jc w:val="center"/>
        <w:rPr>
          <w:sz w:val="28"/>
          <w:szCs w:val="28"/>
        </w:rPr>
      </w:pPr>
      <w:bookmarkStart w:id="0" w:name="_GoBack"/>
      <w:bookmarkEnd w:id="0"/>
      <w:r>
        <w:rPr>
          <w:rStyle w:val="a5"/>
          <w:rFonts w:ascii="宋体" w:cs="宋体" w:hint="eastAsia"/>
          <w:kern w:val="0"/>
          <w:sz w:val="28"/>
          <w:szCs w:val="28"/>
        </w:rPr>
        <w:t>关于大成基金旗下部分交易型开放式指数证券投资基金</w:t>
      </w:r>
    </w:p>
    <w:p w:rsidR="00216C4D" w:rsidRDefault="004102A4">
      <w:pPr>
        <w:widowControl/>
        <w:spacing w:line="360" w:lineRule="auto"/>
        <w:jc w:val="center"/>
        <w:rPr>
          <w:sz w:val="28"/>
          <w:szCs w:val="28"/>
        </w:rPr>
      </w:pPr>
      <w:r>
        <w:rPr>
          <w:rStyle w:val="a5"/>
          <w:rFonts w:ascii="宋体" w:cs="宋体" w:hint="eastAsia"/>
          <w:kern w:val="0"/>
          <w:sz w:val="28"/>
          <w:szCs w:val="28"/>
        </w:rPr>
        <w:t>增加华西证券股份有限公司为申购赎回代办证券公司的公告</w:t>
      </w:r>
    </w:p>
    <w:p w:rsidR="00216C4D" w:rsidRDefault="004102A4">
      <w:pPr>
        <w:widowControl/>
        <w:spacing w:line="360" w:lineRule="auto"/>
        <w:ind w:firstLine="420"/>
        <w:rPr>
          <w:rFonts w:ascii="宋体" w:cs="宋体"/>
          <w:kern w:val="0"/>
          <w:sz w:val="24"/>
        </w:rPr>
      </w:pPr>
      <w:r>
        <w:rPr>
          <w:rFonts w:ascii="宋体" w:cs="宋体" w:hint="eastAsia"/>
          <w:kern w:val="0"/>
          <w:sz w:val="24"/>
        </w:rPr>
        <w:t>根据大成基金管理有限公司与华西证券股份有限公司签署的销售服务协议及相关业务准备情况，自</w:t>
      </w:r>
      <w:r>
        <w:rPr>
          <w:rFonts w:ascii="宋体" w:cs="宋体" w:hint="eastAsia"/>
          <w:kern w:val="0"/>
          <w:sz w:val="24"/>
        </w:rPr>
        <w:t>2025</w:t>
      </w:r>
      <w:r>
        <w:rPr>
          <w:rFonts w:ascii="宋体" w:cs="宋体" w:hint="eastAsia"/>
          <w:kern w:val="0"/>
          <w:sz w:val="24"/>
        </w:rPr>
        <w:t>年</w:t>
      </w:r>
      <w:r>
        <w:rPr>
          <w:rFonts w:ascii="宋体" w:cs="宋体" w:hint="eastAsia"/>
          <w:kern w:val="0"/>
          <w:sz w:val="24"/>
        </w:rPr>
        <w:t>4</w:t>
      </w:r>
      <w:r>
        <w:rPr>
          <w:rFonts w:ascii="宋体" w:cs="宋体" w:hint="eastAsia"/>
          <w:kern w:val="0"/>
          <w:sz w:val="24"/>
        </w:rPr>
        <w:t>月</w:t>
      </w:r>
      <w:r>
        <w:rPr>
          <w:rFonts w:ascii="宋体" w:cs="宋体" w:hint="eastAsia"/>
          <w:kern w:val="0"/>
          <w:sz w:val="24"/>
        </w:rPr>
        <w:t>3</w:t>
      </w:r>
      <w:r>
        <w:rPr>
          <w:rFonts w:ascii="宋体" w:cs="宋体" w:hint="eastAsia"/>
          <w:kern w:val="0"/>
          <w:sz w:val="24"/>
        </w:rPr>
        <w:t>日起，大成中证上海环交所碳中和交易型开放式指数证券投资基金（基金代码：</w:t>
      </w:r>
      <w:r>
        <w:rPr>
          <w:rFonts w:ascii="宋体" w:cs="宋体" w:hint="eastAsia"/>
          <w:kern w:val="0"/>
          <w:sz w:val="24"/>
        </w:rPr>
        <w:t>159642</w:t>
      </w:r>
      <w:r>
        <w:rPr>
          <w:rFonts w:ascii="宋体" w:cs="宋体" w:hint="eastAsia"/>
          <w:kern w:val="0"/>
          <w:sz w:val="24"/>
        </w:rPr>
        <w:t>，场内简称：碳中和</w:t>
      </w:r>
      <w:r>
        <w:rPr>
          <w:rFonts w:ascii="宋体" w:cs="宋体" w:hint="eastAsia"/>
          <w:kern w:val="0"/>
          <w:sz w:val="24"/>
        </w:rPr>
        <w:t>100ETF</w:t>
      </w:r>
      <w:r>
        <w:rPr>
          <w:rFonts w:ascii="宋体" w:cs="宋体" w:hint="eastAsia"/>
          <w:kern w:val="0"/>
          <w:sz w:val="24"/>
        </w:rPr>
        <w:t>）、深证成长</w:t>
      </w:r>
      <w:r>
        <w:rPr>
          <w:rFonts w:ascii="宋体" w:cs="宋体" w:hint="eastAsia"/>
          <w:kern w:val="0"/>
          <w:sz w:val="24"/>
        </w:rPr>
        <w:t>40</w:t>
      </w:r>
      <w:r>
        <w:rPr>
          <w:rFonts w:ascii="宋体" w:cs="宋体" w:hint="eastAsia"/>
          <w:kern w:val="0"/>
          <w:sz w:val="24"/>
        </w:rPr>
        <w:t>交易型开放式指数证券投资基金（基金代码：</w:t>
      </w:r>
      <w:r>
        <w:rPr>
          <w:rFonts w:ascii="宋体" w:cs="宋体" w:hint="eastAsia"/>
          <w:kern w:val="0"/>
          <w:sz w:val="24"/>
        </w:rPr>
        <w:t>159906</w:t>
      </w:r>
      <w:r>
        <w:rPr>
          <w:rFonts w:ascii="宋体" w:cs="宋体" w:hint="eastAsia"/>
          <w:kern w:val="0"/>
          <w:sz w:val="24"/>
        </w:rPr>
        <w:t>，场内简称：深成长龙头</w:t>
      </w:r>
      <w:r>
        <w:rPr>
          <w:rFonts w:ascii="宋体" w:cs="宋体" w:hint="eastAsia"/>
          <w:kern w:val="0"/>
          <w:sz w:val="24"/>
        </w:rPr>
        <w:t>ETF</w:t>
      </w:r>
      <w:r>
        <w:rPr>
          <w:rFonts w:ascii="宋体" w:cs="宋体" w:hint="eastAsia"/>
          <w:kern w:val="0"/>
          <w:sz w:val="24"/>
        </w:rPr>
        <w:t>）、大成中证</w:t>
      </w:r>
      <w:r>
        <w:rPr>
          <w:rFonts w:ascii="宋体" w:cs="宋体" w:hint="eastAsia"/>
          <w:kern w:val="0"/>
          <w:sz w:val="24"/>
        </w:rPr>
        <w:t>A100</w:t>
      </w:r>
      <w:r>
        <w:rPr>
          <w:rFonts w:ascii="宋体" w:cs="宋体" w:hint="eastAsia"/>
          <w:kern w:val="0"/>
          <w:sz w:val="24"/>
        </w:rPr>
        <w:t>交易型开放式指数证券投资基金（基金代码：</w:t>
      </w:r>
      <w:r>
        <w:rPr>
          <w:rFonts w:ascii="宋体" w:cs="宋体" w:hint="eastAsia"/>
          <w:kern w:val="0"/>
          <w:sz w:val="24"/>
        </w:rPr>
        <w:t>159923</w:t>
      </w:r>
      <w:r>
        <w:rPr>
          <w:rFonts w:ascii="宋体" w:cs="宋体" w:hint="eastAsia"/>
          <w:kern w:val="0"/>
          <w:sz w:val="24"/>
        </w:rPr>
        <w:t>，场内简称：中证</w:t>
      </w:r>
      <w:r>
        <w:rPr>
          <w:rFonts w:ascii="宋体" w:cs="宋体" w:hint="eastAsia"/>
          <w:kern w:val="0"/>
          <w:sz w:val="24"/>
        </w:rPr>
        <w:t>A100ETF</w:t>
      </w:r>
      <w:r>
        <w:rPr>
          <w:rFonts w:ascii="宋体" w:cs="宋体" w:hint="eastAsia"/>
          <w:kern w:val="0"/>
          <w:sz w:val="24"/>
        </w:rPr>
        <w:t>基金）、大成有色金属期货交易型开放式指数证券投资基金（基金代码：</w:t>
      </w:r>
      <w:r>
        <w:rPr>
          <w:rFonts w:ascii="宋体" w:cs="宋体" w:hint="eastAsia"/>
          <w:kern w:val="0"/>
          <w:sz w:val="24"/>
        </w:rPr>
        <w:t>159980</w:t>
      </w:r>
      <w:r>
        <w:rPr>
          <w:rFonts w:ascii="宋体" w:cs="宋体" w:hint="eastAsia"/>
          <w:kern w:val="0"/>
          <w:sz w:val="24"/>
        </w:rPr>
        <w:t>，场内简称：有色</w:t>
      </w:r>
      <w:r>
        <w:rPr>
          <w:rFonts w:ascii="宋体" w:cs="宋体" w:hint="eastAsia"/>
          <w:kern w:val="0"/>
          <w:sz w:val="24"/>
        </w:rPr>
        <w:t>ETF</w:t>
      </w:r>
      <w:r>
        <w:rPr>
          <w:rFonts w:ascii="宋体" w:cs="宋体" w:hint="eastAsia"/>
          <w:kern w:val="0"/>
          <w:sz w:val="24"/>
        </w:rPr>
        <w:t>）</w:t>
      </w:r>
      <w:r>
        <w:rPr>
          <w:rFonts w:ascii="宋体" w:cs="宋体" w:hint="eastAsia"/>
          <w:kern w:val="0"/>
          <w:sz w:val="24"/>
        </w:rPr>
        <w:t>、大成中证工程机械主题交易型开放式指数证券投资基金（基金代码：</w:t>
      </w:r>
      <w:r>
        <w:rPr>
          <w:rFonts w:ascii="宋体" w:cs="宋体" w:hint="eastAsia"/>
          <w:kern w:val="0"/>
          <w:sz w:val="24"/>
        </w:rPr>
        <w:t>159542</w:t>
      </w:r>
      <w:r>
        <w:rPr>
          <w:rFonts w:ascii="宋体" w:cs="宋体" w:hint="eastAsia"/>
          <w:kern w:val="0"/>
          <w:sz w:val="24"/>
        </w:rPr>
        <w:t>，场内简称：工程机械</w:t>
      </w:r>
      <w:r>
        <w:rPr>
          <w:rFonts w:ascii="宋体" w:cs="宋体" w:hint="eastAsia"/>
          <w:kern w:val="0"/>
          <w:sz w:val="24"/>
        </w:rPr>
        <w:t>ETF</w:t>
      </w:r>
      <w:r>
        <w:rPr>
          <w:rFonts w:ascii="宋体" w:cs="宋体" w:hint="eastAsia"/>
          <w:kern w:val="0"/>
          <w:sz w:val="24"/>
        </w:rPr>
        <w:t>）、大成纳斯达克</w:t>
      </w:r>
      <w:r>
        <w:rPr>
          <w:rFonts w:ascii="宋体" w:cs="宋体" w:hint="eastAsia"/>
          <w:kern w:val="0"/>
          <w:sz w:val="24"/>
        </w:rPr>
        <w:t>100</w:t>
      </w:r>
      <w:r>
        <w:rPr>
          <w:rFonts w:ascii="宋体" w:cs="宋体" w:hint="eastAsia"/>
          <w:kern w:val="0"/>
          <w:sz w:val="24"/>
        </w:rPr>
        <w:t>交易型开放式指数证券投资基金（</w:t>
      </w:r>
      <w:r>
        <w:rPr>
          <w:rFonts w:ascii="宋体" w:cs="宋体" w:hint="eastAsia"/>
          <w:kern w:val="0"/>
          <w:sz w:val="24"/>
        </w:rPr>
        <w:t>QDII</w:t>
      </w:r>
      <w:r>
        <w:rPr>
          <w:rFonts w:ascii="宋体" w:cs="宋体" w:hint="eastAsia"/>
          <w:kern w:val="0"/>
          <w:sz w:val="24"/>
        </w:rPr>
        <w:t>）（基金代码：</w:t>
      </w:r>
      <w:r>
        <w:rPr>
          <w:rFonts w:ascii="宋体" w:cs="宋体" w:hint="eastAsia"/>
          <w:kern w:val="0"/>
          <w:sz w:val="24"/>
        </w:rPr>
        <w:t>159513</w:t>
      </w:r>
      <w:r>
        <w:rPr>
          <w:rFonts w:ascii="宋体" w:cs="宋体" w:hint="eastAsia"/>
          <w:kern w:val="0"/>
          <w:sz w:val="24"/>
        </w:rPr>
        <w:t>，场内简称：纳斯达克</w:t>
      </w:r>
      <w:r>
        <w:rPr>
          <w:rFonts w:ascii="宋体" w:cs="宋体" w:hint="eastAsia"/>
          <w:kern w:val="0"/>
          <w:sz w:val="24"/>
        </w:rPr>
        <w:t>100</w:t>
      </w:r>
      <w:r>
        <w:rPr>
          <w:rFonts w:ascii="宋体" w:cs="宋体" w:hint="eastAsia"/>
          <w:kern w:val="0"/>
          <w:sz w:val="24"/>
        </w:rPr>
        <w:t>指数</w:t>
      </w:r>
      <w:r>
        <w:rPr>
          <w:rFonts w:ascii="宋体" w:cs="宋体" w:hint="eastAsia"/>
          <w:kern w:val="0"/>
          <w:sz w:val="24"/>
        </w:rPr>
        <w:t>ETF</w:t>
      </w:r>
      <w:r>
        <w:rPr>
          <w:rFonts w:ascii="宋体" w:cs="宋体" w:hint="eastAsia"/>
          <w:kern w:val="0"/>
          <w:sz w:val="24"/>
        </w:rPr>
        <w:t>）、大成中证</w:t>
      </w:r>
      <w:r>
        <w:rPr>
          <w:rFonts w:ascii="宋体" w:cs="宋体" w:hint="eastAsia"/>
          <w:kern w:val="0"/>
          <w:sz w:val="24"/>
        </w:rPr>
        <w:t>A50</w:t>
      </w:r>
      <w:r>
        <w:rPr>
          <w:rFonts w:ascii="宋体" w:cs="宋体" w:hint="eastAsia"/>
          <w:kern w:val="0"/>
          <w:sz w:val="24"/>
        </w:rPr>
        <w:t>交易型开放式指数证券投资基金（基金代码：</w:t>
      </w:r>
      <w:r>
        <w:rPr>
          <w:rFonts w:ascii="宋体" w:cs="宋体" w:hint="eastAsia"/>
          <w:kern w:val="0"/>
          <w:sz w:val="24"/>
        </w:rPr>
        <w:t>159595</w:t>
      </w:r>
      <w:r>
        <w:rPr>
          <w:rFonts w:ascii="宋体" w:cs="宋体" w:hint="eastAsia"/>
          <w:kern w:val="0"/>
          <w:sz w:val="24"/>
        </w:rPr>
        <w:t>，场内简称：中证</w:t>
      </w:r>
      <w:r>
        <w:rPr>
          <w:rFonts w:ascii="宋体" w:cs="宋体" w:hint="eastAsia"/>
          <w:kern w:val="0"/>
          <w:sz w:val="24"/>
        </w:rPr>
        <w:t>A50ETF</w:t>
      </w:r>
      <w:r>
        <w:rPr>
          <w:rFonts w:ascii="宋体" w:cs="宋体" w:hint="eastAsia"/>
          <w:kern w:val="0"/>
          <w:sz w:val="24"/>
        </w:rPr>
        <w:t>基金）、大成恒生医疗保健交易型开放式指数证券投资基金（</w:t>
      </w:r>
      <w:r>
        <w:rPr>
          <w:rFonts w:ascii="宋体" w:cs="宋体" w:hint="eastAsia"/>
          <w:kern w:val="0"/>
          <w:sz w:val="24"/>
        </w:rPr>
        <w:t>QDII</w:t>
      </w:r>
      <w:r>
        <w:rPr>
          <w:rFonts w:ascii="宋体" w:cs="宋体" w:hint="eastAsia"/>
          <w:kern w:val="0"/>
          <w:sz w:val="24"/>
        </w:rPr>
        <w:t>）（基金代码：</w:t>
      </w:r>
      <w:r>
        <w:rPr>
          <w:rFonts w:ascii="宋体" w:cs="宋体" w:hint="eastAsia"/>
          <w:kern w:val="0"/>
          <w:sz w:val="24"/>
        </w:rPr>
        <w:t>159303</w:t>
      </w:r>
      <w:r>
        <w:rPr>
          <w:rFonts w:ascii="宋体" w:cs="宋体" w:hint="eastAsia"/>
          <w:kern w:val="0"/>
          <w:sz w:val="24"/>
        </w:rPr>
        <w:t>，场内简称：恒生医疗</w:t>
      </w:r>
      <w:r>
        <w:rPr>
          <w:rFonts w:ascii="宋体" w:cs="宋体" w:hint="eastAsia"/>
          <w:kern w:val="0"/>
          <w:sz w:val="24"/>
        </w:rPr>
        <w:t>ETF</w:t>
      </w:r>
      <w:r>
        <w:rPr>
          <w:rFonts w:ascii="宋体" w:cs="宋体" w:hint="eastAsia"/>
          <w:kern w:val="0"/>
          <w:sz w:val="24"/>
        </w:rPr>
        <w:t>基金）、大成中证</w:t>
      </w:r>
      <w:r>
        <w:rPr>
          <w:rFonts w:ascii="宋体" w:cs="宋体" w:hint="eastAsia"/>
          <w:kern w:val="0"/>
          <w:sz w:val="24"/>
        </w:rPr>
        <w:t>A500</w:t>
      </w:r>
      <w:r>
        <w:rPr>
          <w:rFonts w:ascii="宋体" w:cs="宋体" w:hint="eastAsia"/>
          <w:kern w:val="0"/>
          <w:sz w:val="24"/>
        </w:rPr>
        <w:t>交易型开放式指数证券投资基金（基金代码：</w:t>
      </w:r>
      <w:r>
        <w:rPr>
          <w:rFonts w:ascii="宋体" w:cs="宋体" w:hint="eastAsia"/>
          <w:kern w:val="0"/>
          <w:sz w:val="24"/>
        </w:rPr>
        <w:t>159358</w:t>
      </w:r>
      <w:r>
        <w:rPr>
          <w:rFonts w:ascii="宋体" w:cs="宋体" w:hint="eastAsia"/>
          <w:kern w:val="0"/>
          <w:sz w:val="24"/>
        </w:rPr>
        <w:t>，</w:t>
      </w:r>
      <w:r>
        <w:rPr>
          <w:rFonts w:ascii="宋体" w:cs="宋体" w:hint="eastAsia"/>
          <w:kern w:val="0"/>
          <w:sz w:val="24"/>
        </w:rPr>
        <w:t>场内简称：中证</w:t>
      </w:r>
      <w:r>
        <w:rPr>
          <w:rFonts w:ascii="宋体" w:cs="宋体" w:hint="eastAsia"/>
          <w:kern w:val="0"/>
          <w:sz w:val="24"/>
        </w:rPr>
        <w:t>A500ETF</w:t>
      </w:r>
      <w:r>
        <w:rPr>
          <w:rFonts w:ascii="宋体" w:cs="宋体" w:hint="eastAsia"/>
          <w:kern w:val="0"/>
          <w:sz w:val="24"/>
        </w:rPr>
        <w:t>基金）、大成恒生科技交易型开放式指数证券投资基金（</w:t>
      </w:r>
      <w:r>
        <w:rPr>
          <w:rFonts w:ascii="宋体" w:cs="宋体" w:hint="eastAsia"/>
          <w:kern w:val="0"/>
          <w:sz w:val="24"/>
        </w:rPr>
        <w:t>QDII</w:t>
      </w:r>
      <w:r>
        <w:rPr>
          <w:rFonts w:ascii="宋体" w:cs="宋体" w:hint="eastAsia"/>
          <w:kern w:val="0"/>
          <w:sz w:val="24"/>
        </w:rPr>
        <w:t>）（基金代码：</w:t>
      </w:r>
      <w:r>
        <w:rPr>
          <w:rFonts w:ascii="宋体" w:cs="宋体" w:hint="eastAsia"/>
          <w:kern w:val="0"/>
          <w:sz w:val="24"/>
        </w:rPr>
        <w:t>159740</w:t>
      </w:r>
      <w:r>
        <w:rPr>
          <w:rFonts w:ascii="宋体" w:cs="宋体" w:hint="eastAsia"/>
          <w:kern w:val="0"/>
          <w:sz w:val="24"/>
        </w:rPr>
        <w:t>，场内简称：恒生科技</w:t>
      </w:r>
      <w:r>
        <w:rPr>
          <w:rFonts w:ascii="宋体" w:cs="宋体" w:hint="eastAsia"/>
          <w:kern w:val="0"/>
          <w:sz w:val="24"/>
        </w:rPr>
        <w:t>ETF</w:t>
      </w:r>
      <w:r>
        <w:rPr>
          <w:rFonts w:ascii="宋体" w:cs="宋体" w:hint="eastAsia"/>
          <w:kern w:val="0"/>
          <w:sz w:val="24"/>
        </w:rPr>
        <w:t>）新增华西证券股份有限公司为申购赎回代办证券公司。投资者在华西证券股份有限公司办理本基金申购、赎回等业务的具体流程、规则等以华西证券股份有限公司的规定为准，华西证券股份有限公司的业务办理状况亦遵循其规定执行。</w:t>
      </w:r>
    </w:p>
    <w:p w:rsidR="00216C4D" w:rsidRDefault="004102A4">
      <w:pPr>
        <w:widowControl/>
        <w:spacing w:line="360" w:lineRule="auto"/>
        <w:ind w:firstLine="420"/>
        <w:rPr>
          <w:sz w:val="24"/>
        </w:rPr>
      </w:pPr>
      <w:r>
        <w:rPr>
          <w:rFonts w:ascii="宋体" w:cs="宋体"/>
          <w:kern w:val="0"/>
          <w:sz w:val="24"/>
        </w:rPr>
        <w:t> </w:t>
      </w:r>
    </w:p>
    <w:p w:rsidR="00216C4D" w:rsidRDefault="004102A4">
      <w:pPr>
        <w:widowControl/>
        <w:spacing w:line="360" w:lineRule="auto"/>
        <w:ind w:firstLine="420"/>
        <w:rPr>
          <w:sz w:val="24"/>
        </w:rPr>
      </w:pPr>
      <w:r>
        <w:rPr>
          <w:rFonts w:ascii="宋体" w:cs="宋体" w:hint="eastAsia"/>
          <w:kern w:val="0"/>
          <w:sz w:val="24"/>
        </w:rPr>
        <w:t>投资者可通过以下途径咨询有关详情</w:t>
      </w:r>
      <w:r>
        <w:rPr>
          <w:rFonts w:ascii="宋体" w:cs="宋体" w:hint="eastAsia"/>
          <w:kern w:val="0"/>
          <w:sz w:val="24"/>
        </w:rPr>
        <w:t>:</w:t>
      </w:r>
    </w:p>
    <w:p w:rsidR="00216C4D" w:rsidRDefault="004102A4">
      <w:pPr>
        <w:widowControl/>
        <w:spacing w:line="360" w:lineRule="auto"/>
        <w:ind w:firstLine="420"/>
        <w:rPr>
          <w:rFonts w:ascii="宋体" w:cs="宋体"/>
          <w:sz w:val="24"/>
        </w:rPr>
      </w:pPr>
      <w:r>
        <w:rPr>
          <w:rFonts w:ascii="宋体" w:cs="宋体" w:hint="eastAsia"/>
          <w:kern w:val="0"/>
          <w:sz w:val="24"/>
        </w:rPr>
        <w:t>1</w:t>
      </w:r>
      <w:r>
        <w:rPr>
          <w:rFonts w:ascii="宋体" w:cs="宋体" w:hint="eastAsia"/>
          <w:kern w:val="0"/>
          <w:sz w:val="24"/>
        </w:rPr>
        <w:t>、华西证券股份有限公司</w:t>
      </w:r>
    </w:p>
    <w:p w:rsidR="00216C4D" w:rsidRDefault="004102A4">
      <w:pPr>
        <w:widowControl/>
        <w:spacing w:line="360" w:lineRule="auto"/>
        <w:ind w:firstLine="420"/>
        <w:rPr>
          <w:rFonts w:ascii="宋体" w:cs="宋体"/>
          <w:sz w:val="24"/>
        </w:rPr>
      </w:pPr>
      <w:r>
        <w:rPr>
          <w:rFonts w:ascii="宋体" w:cs="宋体" w:hint="eastAsia"/>
          <w:kern w:val="0"/>
          <w:sz w:val="24"/>
        </w:rPr>
        <w:t>客户服务电话：</w:t>
      </w:r>
      <w:r>
        <w:rPr>
          <w:rFonts w:ascii="宋体" w:cs="宋体" w:hint="eastAsia"/>
          <w:kern w:val="0"/>
          <w:sz w:val="24"/>
        </w:rPr>
        <w:t>95584</w:t>
      </w:r>
    </w:p>
    <w:p w:rsidR="00216C4D" w:rsidRDefault="004102A4">
      <w:pPr>
        <w:widowControl/>
        <w:spacing w:line="360" w:lineRule="auto"/>
        <w:ind w:firstLine="420"/>
        <w:rPr>
          <w:rFonts w:ascii="宋体" w:cs="宋体"/>
          <w:sz w:val="24"/>
        </w:rPr>
      </w:pPr>
      <w:r>
        <w:rPr>
          <w:rFonts w:ascii="宋体" w:cs="宋体" w:hint="eastAsia"/>
          <w:kern w:val="0"/>
          <w:sz w:val="24"/>
        </w:rPr>
        <w:t>网址：</w:t>
      </w:r>
      <w:r>
        <w:rPr>
          <w:rFonts w:ascii="宋体" w:cs="宋体" w:hint="eastAsia"/>
          <w:kern w:val="0"/>
          <w:sz w:val="24"/>
        </w:rPr>
        <w:t>www.hx168.com.cn</w:t>
      </w:r>
    </w:p>
    <w:p w:rsidR="00216C4D" w:rsidRDefault="004102A4">
      <w:pPr>
        <w:widowControl/>
        <w:spacing w:line="360" w:lineRule="auto"/>
        <w:ind w:firstLine="420"/>
        <w:rPr>
          <w:rFonts w:ascii="宋体" w:cs="宋体"/>
          <w:sz w:val="24"/>
        </w:rPr>
      </w:pPr>
      <w:r>
        <w:rPr>
          <w:rFonts w:ascii="宋体" w:cs="宋体" w:hint="eastAsia"/>
          <w:kern w:val="0"/>
          <w:sz w:val="24"/>
        </w:rPr>
        <w:t>2</w:t>
      </w:r>
      <w:r>
        <w:rPr>
          <w:rFonts w:ascii="宋体" w:cs="宋体" w:hint="eastAsia"/>
          <w:kern w:val="0"/>
          <w:sz w:val="24"/>
        </w:rPr>
        <w:t>、大成基金管理有限公司</w:t>
      </w:r>
    </w:p>
    <w:p w:rsidR="00216C4D" w:rsidRDefault="004102A4">
      <w:pPr>
        <w:widowControl/>
        <w:spacing w:line="360" w:lineRule="auto"/>
        <w:ind w:firstLine="420"/>
        <w:rPr>
          <w:rFonts w:ascii="宋体" w:cs="宋体"/>
          <w:sz w:val="24"/>
        </w:rPr>
      </w:pPr>
      <w:r>
        <w:rPr>
          <w:rFonts w:ascii="宋体" w:cs="宋体" w:hint="eastAsia"/>
          <w:kern w:val="0"/>
          <w:sz w:val="24"/>
        </w:rPr>
        <w:t>客户服</w:t>
      </w:r>
      <w:r>
        <w:rPr>
          <w:rFonts w:ascii="宋体" w:cs="宋体" w:hint="eastAsia"/>
          <w:kern w:val="0"/>
          <w:sz w:val="24"/>
        </w:rPr>
        <w:t>务电话：</w:t>
      </w:r>
      <w:r>
        <w:rPr>
          <w:rFonts w:ascii="宋体" w:cs="宋体" w:hint="eastAsia"/>
          <w:kern w:val="0"/>
          <w:sz w:val="24"/>
        </w:rPr>
        <w:t>400-888-5558</w:t>
      </w:r>
      <w:r>
        <w:rPr>
          <w:rFonts w:ascii="宋体" w:cs="宋体" w:hint="eastAsia"/>
          <w:kern w:val="0"/>
          <w:sz w:val="24"/>
        </w:rPr>
        <w:t>（免长途通话费用）</w:t>
      </w:r>
    </w:p>
    <w:p w:rsidR="00216C4D" w:rsidRDefault="004102A4">
      <w:pPr>
        <w:widowControl/>
        <w:spacing w:line="360" w:lineRule="auto"/>
        <w:ind w:firstLine="420"/>
        <w:rPr>
          <w:rFonts w:ascii="宋体" w:cs="宋体"/>
          <w:sz w:val="24"/>
        </w:rPr>
      </w:pPr>
      <w:r>
        <w:rPr>
          <w:rFonts w:ascii="宋体" w:cs="宋体" w:hint="eastAsia"/>
          <w:kern w:val="0"/>
          <w:sz w:val="24"/>
        </w:rPr>
        <w:t>网址：</w:t>
      </w:r>
      <w:r>
        <w:rPr>
          <w:rFonts w:ascii="宋体" w:cs="宋体" w:hint="eastAsia"/>
          <w:kern w:val="0"/>
          <w:sz w:val="24"/>
        </w:rPr>
        <w:t>www.dcfund.com.cn</w:t>
      </w:r>
    </w:p>
    <w:p w:rsidR="00216C4D" w:rsidRDefault="004102A4">
      <w:pPr>
        <w:widowControl/>
        <w:spacing w:line="360" w:lineRule="auto"/>
        <w:ind w:firstLine="420"/>
        <w:rPr>
          <w:sz w:val="24"/>
        </w:rPr>
      </w:pPr>
      <w:r>
        <w:rPr>
          <w:rFonts w:ascii="宋体" w:cs="宋体"/>
          <w:kern w:val="0"/>
          <w:sz w:val="24"/>
        </w:rPr>
        <w:t> </w:t>
      </w:r>
    </w:p>
    <w:p w:rsidR="00216C4D" w:rsidRDefault="004102A4">
      <w:pPr>
        <w:widowControl/>
        <w:spacing w:line="360" w:lineRule="auto"/>
        <w:ind w:firstLine="420"/>
        <w:rPr>
          <w:sz w:val="24"/>
        </w:rPr>
      </w:pPr>
      <w:r>
        <w:rPr>
          <w:rFonts w:ascii="宋体" w:cs="宋体" w:hint="eastAsia"/>
          <w:kern w:val="0"/>
          <w:sz w:val="24"/>
        </w:rPr>
        <w:lastRenderedPageBreak/>
        <w:t>风险提示</w:t>
      </w:r>
      <w:r>
        <w:rPr>
          <w:rFonts w:ascii="宋体" w:cs="宋体" w:hint="eastAsia"/>
          <w:kern w:val="0"/>
          <w:sz w:val="24"/>
        </w:rPr>
        <w:t>:</w:t>
      </w:r>
      <w:r>
        <w:rPr>
          <w:rFonts w:ascii="宋体" w:cs="宋体" w:hint="eastAsia"/>
          <w:kern w:val="0"/>
          <w:sz w:val="24"/>
        </w:rPr>
        <w:t>基金管理人承诺以诚实信用、勤勉尽责的原则管理和运用基金资产</w:t>
      </w:r>
      <w:r>
        <w:rPr>
          <w:rFonts w:ascii="宋体" w:cs="宋体" w:hint="eastAsia"/>
          <w:kern w:val="0"/>
          <w:sz w:val="24"/>
        </w:rPr>
        <w:t>,</w:t>
      </w:r>
      <w:r>
        <w:rPr>
          <w:rFonts w:ascii="宋体" w:cs="宋体" w:hint="eastAsia"/>
          <w:kern w:val="0"/>
          <w:sz w:val="24"/>
        </w:rPr>
        <w:t>但不保证基金一定盈利</w:t>
      </w:r>
      <w:r>
        <w:rPr>
          <w:rFonts w:ascii="宋体" w:cs="宋体" w:hint="eastAsia"/>
          <w:kern w:val="0"/>
          <w:sz w:val="24"/>
        </w:rPr>
        <w:t>,</w:t>
      </w:r>
      <w:r>
        <w:rPr>
          <w:rFonts w:ascii="宋体" w:cs="宋体" w:hint="eastAsia"/>
          <w:kern w:val="0"/>
          <w:sz w:val="24"/>
        </w:rPr>
        <w:t>也不保证最低收益。投资者投资于基金时应认真阅读基金的基金合同、招募说明书、产品资料概要等基金法律文件，了解基金的风险收益特征，并根据自身的投资目的、投资期限、投资经验、资产状况等判断基金是否和投资者的风险承受能力相适应。</w:t>
      </w:r>
    </w:p>
    <w:p w:rsidR="00216C4D" w:rsidRDefault="004102A4">
      <w:pPr>
        <w:widowControl/>
        <w:spacing w:line="360" w:lineRule="auto"/>
        <w:ind w:firstLine="420"/>
        <w:rPr>
          <w:sz w:val="24"/>
        </w:rPr>
      </w:pPr>
      <w:r>
        <w:rPr>
          <w:rFonts w:ascii="宋体" w:cs="宋体" w:hint="eastAsia"/>
          <w:kern w:val="0"/>
          <w:sz w:val="24"/>
        </w:rPr>
        <w:t>特此公告。</w:t>
      </w:r>
    </w:p>
    <w:p w:rsidR="00216C4D" w:rsidRDefault="004102A4">
      <w:pPr>
        <w:widowControl/>
        <w:spacing w:line="360" w:lineRule="auto"/>
        <w:ind w:firstLine="420"/>
        <w:jc w:val="right"/>
        <w:rPr>
          <w:sz w:val="24"/>
        </w:rPr>
      </w:pPr>
      <w:r>
        <w:rPr>
          <w:rFonts w:ascii="宋体" w:cs="宋体"/>
          <w:kern w:val="0"/>
          <w:sz w:val="24"/>
        </w:rPr>
        <w:t> </w:t>
      </w:r>
    </w:p>
    <w:p w:rsidR="00216C4D" w:rsidRDefault="004102A4">
      <w:pPr>
        <w:widowControl/>
        <w:spacing w:line="360" w:lineRule="auto"/>
        <w:ind w:firstLine="420"/>
        <w:rPr>
          <w:sz w:val="24"/>
        </w:rPr>
      </w:pPr>
      <w:r>
        <w:rPr>
          <w:rFonts w:ascii="宋体" w:cs="宋体"/>
          <w:kern w:val="0"/>
          <w:sz w:val="24"/>
        </w:rPr>
        <w:t> </w:t>
      </w:r>
    </w:p>
    <w:p w:rsidR="00216C4D" w:rsidRDefault="004102A4">
      <w:pPr>
        <w:widowControl/>
        <w:spacing w:line="360" w:lineRule="auto"/>
        <w:ind w:firstLine="420"/>
        <w:jc w:val="right"/>
        <w:rPr>
          <w:sz w:val="24"/>
        </w:rPr>
      </w:pPr>
      <w:r>
        <w:rPr>
          <w:rFonts w:ascii="宋体" w:cs="宋体" w:hint="eastAsia"/>
          <w:kern w:val="0"/>
          <w:sz w:val="24"/>
        </w:rPr>
        <w:t>大成基金管理有限公司</w:t>
      </w:r>
    </w:p>
    <w:p w:rsidR="00216C4D" w:rsidRDefault="004102A4">
      <w:pPr>
        <w:widowControl/>
        <w:spacing w:line="360" w:lineRule="auto"/>
        <w:ind w:firstLine="420"/>
        <w:jc w:val="right"/>
      </w:pPr>
      <w:r>
        <w:rPr>
          <w:rFonts w:ascii="宋体" w:cs="宋体" w:hint="eastAsia"/>
          <w:kern w:val="0"/>
          <w:sz w:val="24"/>
        </w:rPr>
        <w:t>2025</w:t>
      </w:r>
      <w:r>
        <w:rPr>
          <w:rFonts w:ascii="宋体" w:cs="宋体" w:hint="eastAsia"/>
          <w:kern w:val="0"/>
          <w:sz w:val="24"/>
        </w:rPr>
        <w:t>年</w:t>
      </w:r>
      <w:r>
        <w:rPr>
          <w:rFonts w:ascii="宋体" w:cs="宋体" w:hint="eastAsia"/>
          <w:kern w:val="0"/>
          <w:sz w:val="24"/>
        </w:rPr>
        <w:t>4</w:t>
      </w:r>
      <w:r>
        <w:rPr>
          <w:rFonts w:ascii="宋体" w:cs="宋体" w:hint="eastAsia"/>
          <w:kern w:val="0"/>
          <w:sz w:val="24"/>
        </w:rPr>
        <w:t>月</w:t>
      </w:r>
      <w:r>
        <w:rPr>
          <w:rFonts w:ascii="宋体" w:cs="宋体" w:hint="eastAsia"/>
          <w:kern w:val="0"/>
          <w:sz w:val="24"/>
        </w:rPr>
        <w:t>3</w:t>
      </w:r>
      <w:r>
        <w:rPr>
          <w:rFonts w:ascii="宋体" w:cs="宋体" w:hint="eastAsia"/>
          <w:kern w:val="0"/>
          <w:sz w:val="24"/>
        </w:rPr>
        <w:t>日</w:t>
      </w:r>
    </w:p>
    <w:sectPr w:rsidR="00216C4D" w:rsidSect="00216C4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xi Sans">
    <w:altName w:val="Arial"/>
    <w:charset w:val="00"/>
    <w:family w:val="auto"/>
    <w:pitch w:val="default"/>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noPunctuationKerning/>
  <w:characterSpacingControl w:val="compressPunctuation"/>
  <w:compat>
    <w:spaceForUL/>
    <w:balanceSingleByteDoubleByteWidth/>
    <w:ulTrailSpace/>
    <w:doNotExpandShiftReturn/>
    <w:adjustLineHeightInTable/>
    <w:useFELayout/>
    <w:doNotUseIndentAsNumberingTabStop/>
  </w:compat>
  <w:rsids>
    <w:rsidRoot w:val="00216C4D"/>
    <w:rsid w:val="00216C4D"/>
    <w:rsid w:val="004102A4"/>
    <w:rsid w:val="7FFF06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6C4D"/>
    <w:pPr>
      <w:widowControl w:val="0"/>
      <w:jc w:val="both"/>
    </w:pPr>
    <w:rPr>
      <w:rFonts w:ascii="Calibri" w:hAnsi="Calibri" w:cs="Arial"/>
      <w:kern w:val="2"/>
      <w:sz w:val="21"/>
      <w:szCs w:val="24"/>
    </w:rPr>
  </w:style>
  <w:style w:type="paragraph" w:styleId="1">
    <w:name w:val="heading 1"/>
    <w:basedOn w:val="a"/>
    <w:next w:val="a"/>
    <w:rsid w:val="00216C4D"/>
    <w:pPr>
      <w:keepNext/>
      <w:keepLines/>
      <w:spacing w:before="340" w:after="330" w:line="578" w:lineRule="auto"/>
      <w:outlineLvl w:val="0"/>
    </w:pPr>
    <w:rPr>
      <w:b/>
      <w:bCs/>
      <w:kern w:val="44"/>
      <w:sz w:val="44"/>
    </w:rPr>
  </w:style>
  <w:style w:type="paragraph" w:styleId="2">
    <w:name w:val="heading 2"/>
    <w:basedOn w:val="a"/>
    <w:next w:val="a"/>
    <w:rsid w:val="00216C4D"/>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216C4D"/>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a"/>
    <w:next w:val="a"/>
    <w:rsid w:val="00216C4D"/>
    <w:pPr>
      <w:ind w:left="1680"/>
    </w:pPr>
  </w:style>
  <w:style w:type="paragraph" w:styleId="30">
    <w:name w:val="toc 3"/>
    <w:basedOn w:val="a"/>
    <w:next w:val="a"/>
    <w:rsid w:val="00216C4D"/>
    <w:pPr>
      <w:ind w:left="840"/>
    </w:pPr>
  </w:style>
  <w:style w:type="paragraph" w:styleId="a3">
    <w:name w:val="footer"/>
    <w:basedOn w:val="a"/>
    <w:rsid w:val="00216C4D"/>
    <w:pPr>
      <w:tabs>
        <w:tab w:val="center" w:pos="4153"/>
        <w:tab w:val="right" w:pos="8306"/>
      </w:tabs>
      <w:snapToGrid w:val="0"/>
      <w:jc w:val="left"/>
    </w:pPr>
    <w:rPr>
      <w:sz w:val="18"/>
      <w:szCs w:val="18"/>
    </w:rPr>
  </w:style>
  <w:style w:type="paragraph" w:styleId="a4">
    <w:name w:val="header"/>
    <w:basedOn w:val="a"/>
    <w:rsid w:val="00216C4D"/>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216C4D"/>
  </w:style>
  <w:style w:type="paragraph" w:styleId="4">
    <w:name w:val="toc 4"/>
    <w:basedOn w:val="a"/>
    <w:next w:val="a"/>
    <w:rsid w:val="00216C4D"/>
    <w:pPr>
      <w:ind w:left="1260"/>
    </w:pPr>
  </w:style>
  <w:style w:type="paragraph" w:styleId="20">
    <w:name w:val="toc 2"/>
    <w:basedOn w:val="a"/>
    <w:next w:val="a"/>
    <w:rsid w:val="00216C4D"/>
    <w:pPr>
      <w:ind w:left="420"/>
    </w:pPr>
  </w:style>
  <w:style w:type="character" w:styleId="a5">
    <w:name w:val="Strong"/>
    <w:basedOn w:val="a0"/>
    <w:rsid w:val="00216C4D"/>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900</Characters>
  <Application>Microsoft Office Word</Application>
  <DocSecurity>4</DocSecurity>
  <Lines>7</Lines>
  <Paragraphs>2</Paragraphs>
  <ScaleCrop>false</ScaleCrop>
  <Company>CNSTOCK</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達♚✌︎⚒⚔</dc:creator>
  <cp:lastModifiedBy>ZHONGM</cp:lastModifiedBy>
  <cp:revision>2</cp:revision>
  <dcterms:created xsi:type="dcterms:W3CDTF">2025-04-02T16:02:00Z</dcterms:created>
  <dcterms:modified xsi:type="dcterms:W3CDTF">2025-04-02T16:02:00Z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2052-11.8.2.10170</vt:lpwstr>
  </property>
  <property fmtid="{D5CDD505-2E9C-101B-9397-08002B2CF9AE}" pid="3" name="ICV">
    <vt:lpwstr>90531BFD3315D21A088EE267A8DE8DCB_41</vt:lpwstr>
  </property>
</Properties>
</file>