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01" w:rsidRDefault="00674877">
      <w:pPr>
        <w:keepNext/>
        <w:keepLines/>
        <w:widowControl/>
        <w:spacing w:before="120" w:after="120" w:line="360" w:lineRule="auto"/>
        <w:jc w:val="center"/>
        <w:outlineLvl w:val="2"/>
        <w:rPr>
          <w:rFonts w:ascii="宋体" w:eastAsia="宋体" w:hAnsi="宋体" w:cs="Times New Roman"/>
          <w:b/>
          <w:bCs/>
          <w:kern w:val="0"/>
          <w:sz w:val="30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0"/>
          <w:szCs w:val="32"/>
        </w:rPr>
        <w:t>工银瑞信基金管理有限公司关于工银瑞信大和日经</w:t>
      </w:r>
      <w:r>
        <w:rPr>
          <w:rFonts w:ascii="宋体" w:eastAsia="宋体" w:hAnsi="宋体" w:cs="Times New Roman"/>
          <w:b/>
          <w:bCs/>
          <w:kern w:val="0"/>
          <w:sz w:val="30"/>
          <w:szCs w:val="32"/>
        </w:rPr>
        <w:t>225</w:t>
      </w:r>
      <w:r>
        <w:rPr>
          <w:rFonts w:ascii="宋体" w:eastAsia="宋体" w:hAnsi="宋体" w:cs="Times New Roman"/>
          <w:b/>
          <w:bCs/>
          <w:kern w:val="0"/>
          <w:sz w:val="30"/>
          <w:szCs w:val="32"/>
        </w:rPr>
        <w:t>交易型开放式指数证券投资基金（</w:t>
      </w:r>
      <w:r>
        <w:rPr>
          <w:rFonts w:ascii="宋体" w:eastAsia="宋体" w:hAnsi="宋体" w:cs="Times New Roman"/>
          <w:b/>
          <w:bCs/>
          <w:kern w:val="0"/>
          <w:sz w:val="30"/>
          <w:szCs w:val="32"/>
        </w:rPr>
        <w:t>QDII</w:t>
      </w:r>
      <w:r>
        <w:rPr>
          <w:rFonts w:ascii="宋体" w:eastAsia="宋体" w:hAnsi="宋体" w:cs="Times New Roman"/>
          <w:b/>
          <w:bCs/>
          <w:kern w:val="0"/>
          <w:sz w:val="30"/>
          <w:szCs w:val="32"/>
        </w:rPr>
        <w:t>）二级市场交易价格溢价风险提示公告</w:t>
      </w:r>
    </w:p>
    <w:p w:rsidR="002E3801" w:rsidRDefault="00674877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2E3801" w:rsidRDefault="00674877">
      <w:pPr>
        <w:spacing w:line="360" w:lineRule="auto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 xml:space="preserve">　</w:t>
      </w:r>
      <w:r>
        <w:rPr>
          <w:rFonts w:ascii="Times New Roman" w:eastAsia="宋体" w:hAnsi="Times New Roman" w:cs="Times New Roman" w:hint="eastAsia"/>
          <w:szCs w:val="20"/>
        </w:rPr>
        <w:t xml:space="preserve"> </w:t>
      </w:r>
      <w:r>
        <w:rPr>
          <w:rFonts w:ascii="Times New Roman" w:eastAsia="宋体" w:hAnsi="Times New Roman" w:cs="Times New Roman"/>
          <w:szCs w:val="20"/>
        </w:rPr>
        <w:t xml:space="preserve">  </w:t>
      </w:r>
      <w:r>
        <w:rPr>
          <w:rFonts w:ascii="Times New Roman" w:eastAsia="宋体" w:hAnsi="Times New Roman" w:cs="Times New Roman" w:hint="eastAsia"/>
          <w:szCs w:val="20"/>
        </w:rPr>
        <w:t>近期，工银瑞信基金管理有限公司（以下简称“基金管理人”）旗下工银瑞信大和日经</w:t>
      </w:r>
      <w:r>
        <w:rPr>
          <w:rFonts w:ascii="Times New Roman" w:eastAsia="宋体" w:hAnsi="Times New Roman" w:cs="Times New Roman"/>
          <w:szCs w:val="20"/>
        </w:rPr>
        <w:t>225</w:t>
      </w:r>
      <w:r>
        <w:rPr>
          <w:rFonts w:ascii="Times New Roman" w:eastAsia="宋体" w:hAnsi="Times New Roman" w:cs="Times New Roman"/>
          <w:szCs w:val="20"/>
        </w:rPr>
        <w:t>交易型开放式指数证券投资基金（</w:t>
      </w:r>
      <w:r>
        <w:rPr>
          <w:rFonts w:ascii="Times New Roman" w:eastAsia="宋体" w:hAnsi="Times New Roman" w:cs="Times New Roman"/>
          <w:szCs w:val="20"/>
        </w:rPr>
        <w:t>QDII</w:t>
      </w:r>
      <w:r>
        <w:rPr>
          <w:rFonts w:ascii="Times New Roman" w:eastAsia="宋体" w:hAnsi="Times New Roman" w:cs="Times New Roman"/>
          <w:szCs w:val="20"/>
        </w:rPr>
        <w:t>）（</w:t>
      </w:r>
      <w:r>
        <w:rPr>
          <w:rFonts w:ascii="Times New Roman" w:eastAsia="宋体" w:hAnsi="Times New Roman" w:cs="Times New Roman" w:hint="eastAsia"/>
          <w:szCs w:val="20"/>
        </w:rPr>
        <w:t>基金</w:t>
      </w:r>
      <w:r>
        <w:rPr>
          <w:rFonts w:ascii="Times New Roman" w:eastAsia="宋体" w:hAnsi="Times New Roman" w:cs="Times New Roman"/>
          <w:szCs w:val="20"/>
        </w:rPr>
        <w:t>简称：日经</w:t>
      </w:r>
      <w:r>
        <w:rPr>
          <w:rFonts w:ascii="Times New Roman" w:eastAsia="宋体" w:hAnsi="Times New Roman" w:cs="Times New Roman"/>
          <w:szCs w:val="20"/>
        </w:rPr>
        <w:t xml:space="preserve"> ETF</w:t>
      </w:r>
      <w:r>
        <w:rPr>
          <w:rFonts w:ascii="Times New Roman" w:eastAsia="宋体" w:hAnsi="Times New Roman" w:cs="Times New Roman"/>
          <w:szCs w:val="20"/>
        </w:rPr>
        <w:t>，交易代码：</w:t>
      </w:r>
      <w:r>
        <w:rPr>
          <w:rFonts w:ascii="Times New Roman" w:eastAsia="宋体" w:hAnsi="Times New Roman" w:cs="Times New Roman"/>
          <w:szCs w:val="20"/>
        </w:rPr>
        <w:t>159866</w:t>
      </w:r>
      <w:r>
        <w:rPr>
          <w:rFonts w:ascii="Times New Roman" w:eastAsia="宋体" w:hAnsi="Times New Roman" w:cs="Times New Roman"/>
          <w:szCs w:val="20"/>
        </w:rPr>
        <w:t>，以下简称</w:t>
      </w:r>
      <w:r>
        <w:rPr>
          <w:rFonts w:ascii="Times New Roman" w:eastAsia="宋体" w:hAnsi="Times New Roman" w:cs="Times New Roman"/>
          <w:szCs w:val="20"/>
        </w:rPr>
        <w:t>“</w:t>
      </w:r>
      <w:r>
        <w:rPr>
          <w:rFonts w:ascii="Times New Roman" w:eastAsia="宋体" w:hAnsi="Times New Roman" w:cs="Times New Roman"/>
          <w:szCs w:val="20"/>
        </w:rPr>
        <w:t>本基金</w:t>
      </w:r>
      <w:r>
        <w:rPr>
          <w:rFonts w:ascii="Times New Roman" w:eastAsia="宋体" w:hAnsi="Times New Roman" w:cs="Times New Roman"/>
          <w:szCs w:val="20"/>
        </w:rPr>
        <w:t>”</w:t>
      </w:r>
      <w:r>
        <w:rPr>
          <w:rFonts w:ascii="Times New Roman" w:eastAsia="宋体" w:hAnsi="Times New Roman" w:cs="Times New Roman"/>
          <w:szCs w:val="20"/>
        </w:rPr>
        <w:t>）二级市场交易价格明显高于基金份额参考净值，出现较大幅度溢价。</w:t>
      </w:r>
      <w:r>
        <w:rPr>
          <w:rFonts w:ascii="Times New Roman" w:eastAsia="宋体" w:hAnsi="Times New Roman" w:cs="Times New Roman"/>
          <w:b/>
          <w:szCs w:val="20"/>
        </w:rPr>
        <w:t>特此提示投资者关注二级市场交易价格溢价风险，投资者如果盲目投资，可能遭受</w:t>
      </w:r>
      <w:r>
        <w:rPr>
          <w:rFonts w:ascii="Times New Roman" w:eastAsia="宋体" w:hAnsi="Times New Roman" w:cs="Times New Roman" w:hint="eastAsia"/>
          <w:b/>
          <w:szCs w:val="20"/>
        </w:rPr>
        <w:t>较大</w:t>
      </w:r>
      <w:r>
        <w:rPr>
          <w:rFonts w:ascii="Times New Roman" w:eastAsia="宋体" w:hAnsi="Times New Roman" w:cs="Times New Roman"/>
          <w:b/>
          <w:szCs w:val="20"/>
        </w:rPr>
        <w:t>损失</w:t>
      </w:r>
      <w:r>
        <w:rPr>
          <w:rFonts w:ascii="Times New Roman" w:eastAsia="宋体" w:hAnsi="Times New Roman" w:cs="Times New Roman"/>
          <w:szCs w:val="20"/>
        </w:rPr>
        <w:t>。本基金有权采取向深圳证券交易所申请盘中临时停牌、延长停牌时间等措施以向市场警示风险，具体以届时公告为准。为保护投资者利益，</w:t>
      </w:r>
      <w:r>
        <w:rPr>
          <w:rFonts w:ascii="Times New Roman" w:eastAsia="宋体" w:hAnsi="Times New Roman" w:cs="Times New Roman" w:hint="eastAsia"/>
          <w:szCs w:val="20"/>
        </w:rPr>
        <w:t>基金管理人现</w:t>
      </w:r>
      <w:r>
        <w:rPr>
          <w:rFonts w:ascii="Times New Roman" w:eastAsia="宋体" w:hAnsi="Times New Roman" w:cs="Times New Roman"/>
          <w:szCs w:val="20"/>
        </w:rPr>
        <w:t>特向投资者提示如下：</w:t>
      </w:r>
    </w:p>
    <w:p w:rsidR="002E3801" w:rsidRDefault="0067487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一、本基金为交易型开放式基金，投资者可在二级市场交易本基金，也可以申购、赎回本基金。本基金二级市场的交易价格，除了有基金份额净值变化的风险外，还会受到市场供求关系、系统性风险、流动性风险等其他因素的影响，可能使投资人面临损失。</w:t>
      </w:r>
    </w:p>
    <w:p w:rsidR="002E3801" w:rsidRDefault="0067487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二、截至目前，本基金运作正常且无应披露而未披露的重大信息，基金管理人将严格按照法律法规及基金合同的规定进行投资运作，履行信息披</w:t>
      </w:r>
      <w:r>
        <w:rPr>
          <w:rFonts w:ascii="Times New Roman" w:eastAsia="宋体" w:hAnsi="Times New Roman" w:cs="Times New Roman" w:hint="eastAsia"/>
          <w:szCs w:val="20"/>
        </w:rPr>
        <w:t>露义务。</w:t>
      </w:r>
    </w:p>
    <w:p w:rsidR="002E3801" w:rsidRDefault="00674877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风险提示：基金管理人承诺以诚实信用、勤勉尽责的原则管理和运用基金资产，但不保证基金一定盈利，也不保证最低收益。基金的过往业绩及其净值高低并不预示其未来业绩表现。基金管理人提醒投资者基金投资的“买者自负”原则，在做出投资决策后，基金运营状况与基金净值变化引致的投资风险，由投资者自行负担。投资者在投资基金之前，请仔细阅读本基金的基金合同、招募说明书、基金产品资料概要等法律文件，全面认识基金的风险收益特征和产品特性，充分考虑自身的风险承受能力，在了解产品情况、听取销售机构适当性匹配意见的基础上，理性判断</w:t>
      </w:r>
      <w:r>
        <w:rPr>
          <w:rFonts w:ascii="Times New Roman" w:eastAsia="宋体" w:hAnsi="Times New Roman" w:cs="Times New Roman" w:hint="eastAsia"/>
          <w:szCs w:val="20"/>
        </w:rPr>
        <w:t>市场，谨慎做出投资决策。基金具体风险评级结果以销售机构提供的评级结果为准。</w:t>
      </w:r>
    </w:p>
    <w:p w:rsidR="002E3801" w:rsidRDefault="00674877">
      <w:pPr>
        <w:spacing w:line="360" w:lineRule="auto"/>
        <w:jc w:val="lef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 xml:space="preserve">　　特此公告。</w:t>
      </w:r>
    </w:p>
    <w:p w:rsidR="002E3801" w:rsidRDefault="00674877">
      <w:pPr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szCs w:val="20"/>
        </w:rPr>
        <w:t xml:space="preserve"> </w:t>
      </w:r>
    </w:p>
    <w:p w:rsidR="002E3801" w:rsidRDefault="00674877">
      <w:pPr>
        <w:spacing w:line="360" w:lineRule="auto"/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工银瑞信基金管理有限公司</w:t>
      </w:r>
    </w:p>
    <w:p w:rsidR="002E3801" w:rsidRDefault="00674877">
      <w:pPr>
        <w:spacing w:line="360" w:lineRule="auto"/>
        <w:ind w:firstLine="420"/>
        <w:jc w:val="right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2025</w:t>
      </w:r>
      <w:r>
        <w:rPr>
          <w:rFonts w:ascii="Times New Roman" w:eastAsia="宋体" w:hAnsi="Times New Roman" w:cs="Times New Roman" w:hint="eastAsia"/>
          <w:szCs w:val="20"/>
        </w:rPr>
        <w:t>年</w:t>
      </w:r>
      <w:r>
        <w:rPr>
          <w:rFonts w:ascii="Times New Roman" w:eastAsia="宋体" w:hAnsi="Times New Roman" w:cs="Times New Roman" w:hint="eastAsia"/>
          <w:szCs w:val="20"/>
        </w:rPr>
        <w:t>4</w:t>
      </w:r>
      <w:r>
        <w:rPr>
          <w:rFonts w:ascii="Times New Roman" w:eastAsia="宋体" w:hAnsi="Times New Roman" w:cs="Times New Roman" w:hint="eastAsia"/>
          <w:szCs w:val="20"/>
        </w:rPr>
        <w:t>月</w:t>
      </w:r>
      <w:r>
        <w:rPr>
          <w:rFonts w:ascii="Times New Roman" w:eastAsia="宋体" w:hAnsi="Times New Roman" w:cs="Times New Roman" w:hint="eastAsia"/>
          <w:szCs w:val="20"/>
        </w:rPr>
        <w:t>3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Cs w:val="20"/>
        </w:rPr>
        <w:t>日</w:t>
      </w:r>
    </w:p>
    <w:sectPr w:rsidR="002E3801" w:rsidSect="002E3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12F08"/>
    <w:rsid w:val="00050E70"/>
    <w:rsid w:val="00072D3D"/>
    <w:rsid w:val="00077E7D"/>
    <w:rsid w:val="00082D1F"/>
    <w:rsid w:val="00092C75"/>
    <w:rsid w:val="00097E5B"/>
    <w:rsid w:val="000D61B5"/>
    <w:rsid w:val="000E1B8F"/>
    <w:rsid w:val="00115E49"/>
    <w:rsid w:val="00127620"/>
    <w:rsid w:val="001525DA"/>
    <w:rsid w:val="00155459"/>
    <w:rsid w:val="00186B81"/>
    <w:rsid w:val="001B6C1A"/>
    <w:rsid w:val="001C4A68"/>
    <w:rsid w:val="001C502A"/>
    <w:rsid w:val="001E0429"/>
    <w:rsid w:val="00215C1B"/>
    <w:rsid w:val="0022103F"/>
    <w:rsid w:val="0026070B"/>
    <w:rsid w:val="00272E21"/>
    <w:rsid w:val="00291E99"/>
    <w:rsid w:val="002940C4"/>
    <w:rsid w:val="002A4C70"/>
    <w:rsid w:val="002A7BB6"/>
    <w:rsid w:val="002E3801"/>
    <w:rsid w:val="00343D34"/>
    <w:rsid w:val="003741C1"/>
    <w:rsid w:val="00380128"/>
    <w:rsid w:val="003D316F"/>
    <w:rsid w:val="003D650F"/>
    <w:rsid w:val="003F3994"/>
    <w:rsid w:val="003F4071"/>
    <w:rsid w:val="004011FE"/>
    <w:rsid w:val="004902A3"/>
    <w:rsid w:val="004A20BE"/>
    <w:rsid w:val="004D2A4A"/>
    <w:rsid w:val="00531628"/>
    <w:rsid w:val="00542F05"/>
    <w:rsid w:val="00546433"/>
    <w:rsid w:val="00564EDB"/>
    <w:rsid w:val="00594CCC"/>
    <w:rsid w:val="005C55C4"/>
    <w:rsid w:val="005C6C5C"/>
    <w:rsid w:val="005F2F10"/>
    <w:rsid w:val="00614411"/>
    <w:rsid w:val="00615280"/>
    <w:rsid w:val="00615408"/>
    <w:rsid w:val="006720F6"/>
    <w:rsid w:val="00674877"/>
    <w:rsid w:val="006C2378"/>
    <w:rsid w:val="006D6207"/>
    <w:rsid w:val="006F5603"/>
    <w:rsid w:val="00740371"/>
    <w:rsid w:val="00744FA1"/>
    <w:rsid w:val="00763DAA"/>
    <w:rsid w:val="00783D52"/>
    <w:rsid w:val="007A4099"/>
    <w:rsid w:val="007B2188"/>
    <w:rsid w:val="007B6E11"/>
    <w:rsid w:val="008008FF"/>
    <w:rsid w:val="008106E0"/>
    <w:rsid w:val="00813D49"/>
    <w:rsid w:val="0083111D"/>
    <w:rsid w:val="00843687"/>
    <w:rsid w:val="00853B58"/>
    <w:rsid w:val="00886562"/>
    <w:rsid w:val="008C3CED"/>
    <w:rsid w:val="008D0F9B"/>
    <w:rsid w:val="008F0D0F"/>
    <w:rsid w:val="00930CE5"/>
    <w:rsid w:val="0093404A"/>
    <w:rsid w:val="00942F4E"/>
    <w:rsid w:val="00976B84"/>
    <w:rsid w:val="009A5981"/>
    <w:rsid w:val="009B073E"/>
    <w:rsid w:val="009B301F"/>
    <w:rsid w:val="009B7AB7"/>
    <w:rsid w:val="009B7C8E"/>
    <w:rsid w:val="009D1DE7"/>
    <w:rsid w:val="009F6CEA"/>
    <w:rsid w:val="00AA2F30"/>
    <w:rsid w:val="00AD01AA"/>
    <w:rsid w:val="00AE4FDA"/>
    <w:rsid w:val="00B23863"/>
    <w:rsid w:val="00B503B2"/>
    <w:rsid w:val="00B50B2B"/>
    <w:rsid w:val="00B575E2"/>
    <w:rsid w:val="00B57C32"/>
    <w:rsid w:val="00B6157A"/>
    <w:rsid w:val="00B71ACE"/>
    <w:rsid w:val="00B83101"/>
    <w:rsid w:val="00B95244"/>
    <w:rsid w:val="00BE1DD8"/>
    <w:rsid w:val="00BF69F1"/>
    <w:rsid w:val="00C0109F"/>
    <w:rsid w:val="00C20E2F"/>
    <w:rsid w:val="00C36960"/>
    <w:rsid w:val="00C84B0F"/>
    <w:rsid w:val="00C86D59"/>
    <w:rsid w:val="00CA0F33"/>
    <w:rsid w:val="00CB6019"/>
    <w:rsid w:val="00CE0E8E"/>
    <w:rsid w:val="00CE54A2"/>
    <w:rsid w:val="00D35B68"/>
    <w:rsid w:val="00D40EED"/>
    <w:rsid w:val="00D919DC"/>
    <w:rsid w:val="00DB676C"/>
    <w:rsid w:val="00DE5DD7"/>
    <w:rsid w:val="00DF7527"/>
    <w:rsid w:val="00E041FC"/>
    <w:rsid w:val="00E2607C"/>
    <w:rsid w:val="00E42F8A"/>
    <w:rsid w:val="00E42FC2"/>
    <w:rsid w:val="00E47454"/>
    <w:rsid w:val="00E632E5"/>
    <w:rsid w:val="00E85A6D"/>
    <w:rsid w:val="00EE1F7E"/>
    <w:rsid w:val="00F10213"/>
    <w:rsid w:val="00F11112"/>
    <w:rsid w:val="00F76779"/>
    <w:rsid w:val="00F8460C"/>
    <w:rsid w:val="00F86E3A"/>
    <w:rsid w:val="00F97685"/>
    <w:rsid w:val="00FA1884"/>
    <w:rsid w:val="00FB06A4"/>
    <w:rsid w:val="00FC2A28"/>
    <w:rsid w:val="00FD638B"/>
    <w:rsid w:val="00FE0443"/>
    <w:rsid w:val="00FE4A60"/>
    <w:rsid w:val="00FE5261"/>
    <w:rsid w:val="00FF61BE"/>
    <w:rsid w:val="1669324A"/>
    <w:rsid w:val="16922EE6"/>
    <w:rsid w:val="19AA5A5D"/>
    <w:rsid w:val="1B455E62"/>
    <w:rsid w:val="1D704684"/>
    <w:rsid w:val="350E5D88"/>
    <w:rsid w:val="38AA1B36"/>
    <w:rsid w:val="3F5672FF"/>
    <w:rsid w:val="4FD06F97"/>
    <w:rsid w:val="4FDA3B0A"/>
    <w:rsid w:val="5F35799E"/>
    <w:rsid w:val="6D8B7622"/>
    <w:rsid w:val="6DD65410"/>
    <w:rsid w:val="702F07F9"/>
    <w:rsid w:val="7EEB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3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E3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E38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38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4</DocSecurity>
  <Lines>5</Lines>
  <Paragraphs>1</Paragraphs>
  <ScaleCrop>false</ScaleCrop>
  <Company>ICBC.V20200907.01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2024-03-29T07:21:00Z</cp:lastPrinted>
  <dcterms:created xsi:type="dcterms:W3CDTF">2025-04-02T16:02:00Z</dcterms:created>
  <dcterms:modified xsi:type="dcterms:W3CDTF">2025-04-02T16:02:00Z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70F57FC91B344F2B83A2AE05BF7110F5</vt:lpwstr>
  </property>
</Properties>
</file>