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CE" w:rsidRDefault="00080B90">
      <w:pPr>
        <w:pStyle w:val="a4"/>
        <w:spacing w:before="201" w:line="364" w:lineRule="auto"/>
        <w:ind w:left="0" w:right="239"/>
        <w:jc w:val="center"/>
        <w:rPr>
          <w:b/>
          <w:bCs/>
          <w:spacing w:val="-8"/>
          <w:sz w:val="30"/>
          <w:szCs w:val="30"/>
        </w:rPr>
      </w:pPr>
      <w:r>
        <w:rPr>
          <w:b/>
          <w:bCs/>
          <w:spacing w:val="-8"/>
          <w:sz w:val="30"/>
          <w:szCs w:val="30"/>
        </w:rPr>
        <w:t>关于增加</w:t>
      </w:r>
      <w:r>
        <w:rPr>
          <w:rFonts w:hint="eastAsia"/>
          <w:b/>
          <w:bCs/>
          <w:spacing w:val="-8"/>
          <w:sz w:val="30"/>
          <w:szCs w:val="30"/>
          <w:lang w:val="en-US"/>
        </w:rPr>
        <w:t>华西证券股份有限公司等两家机构</w:t>
      </w:r>
      <w:r>
        <w:rPr>
          <w:b/>
          <w:bCs/>
          <w:spacing w:val="-8"/>
          <w:sz w:val="30"/>
          <w:szCs w:val="30"/>
        </w:rPr>
        <w:t>为</w:t>
      </w:r>
      <w:r>
        <w:rPr>
          <w:rFonts w:hint="eastAsia"/>
          <w:b/>
          <w:bCs/>
          <w:spacing w:val="-8"/>
          <w:sz w:val="30"/>
          <w:szCs w:val="30"/>
          <w:lang w:val="en-US"/>
        </w:rPr>
        <w:t>东方基金旗下部分基金销售机构同时开通定投及转换业务的公告</w:t>
      </w:r>
    </w:p>
    <w:p w:rsidR="00BB01CE" w:rsidRDefault="00080B90">
      <w:pPr>
        <w:pStyle w:val="a4"/>
        <w:spacing w:before="201" w:line="364" w:lineRule="auto"/>
        <w:ind w:right="239" w:firstLine="480"/>
        <w:jc w:val="both"/>
        <w:rPr>
          <w:spacing w:val="-8"/>
          <w:lang w:val="en-US"/>
        </w:rPr>
      </w:pPr>
      <w:r>
        <w:rPr>
          <w:rFonts w:hint="eastAsia"/>
          <w:spacing w:val="-8"/>
          <w:lang w:val="en-US"/>
        </w:rPr>
        <w:t>经东方基金管理股份有限公司（以下简称“本公司”）与华西证券股份有限公司（以下简称“华西证券”）、平安证券股份有限公司（以下简称“平安证券”）两家机构协商一致，自</w:t>
      </w:r>
      <w:r>
        <w:rPr>
          <w:rFonts w:hint="eastAsia"/>
          <w:spacing w:val="-8"/>
          <w:lang w:val="en-US"/>
        </w:rPr>
        <w:t>2025</w:t>
      </w:r>
      <w:r>
        <w:rPr>
          <w:rFonts w:hint="eastAsia"/>
          <w:spacing w:val="-8"/>
          <w:lang w:val="en-US"/>
        </w:rPr>
        <w:t>年</w:t>
      </w:r>
      <w:r>
        <w:rPr>
          <w:rFonts w:hint="eastAsia"/>
          <w:spacing w:val="-8"/>
          <w:lang w:val="en-US"/>
        </w:rPr>
        <w:t>04</w:t>
      </w:r>
      <w:r>
        <w:rPr>
          <w:rFonts w:hint="eastAsia"/>
          <w:spacing w:val="-8"/>
          <w:lang w:val="en-US"/>
        </w:rPr>
        <w:t>月</w:t>
      </w:r>
      <w:r>
        <w:rPr>
          <w:rFonts w:hint="eastAsia"/>
          <w:spacing w:val="-8"/>
          <w:lang w:val="en-US"/>
        </w:rPr>
        <w:t>02</w:t>
      </w:r>
      <w:r>
        <w:rPr>
          <w:rFonts w:hint="eastAsia"/>
          <w:spacing w:val="-8"/>
          <w:lang w:val="en-US"/>
        </w:rPr>
        <w:t>日起，新增华西证券、平安证券两家机构办理本公司旗下部分基金的销售业务（仅限前端申购模式）。现将有关事项公告如下：</w:t>
      </w:r>
    </w:p>
    <w:p w:rsidR="00BB01CE" w:rsidRDefault="00080B90">
      <w:pPr>
        <w:pStyle w:val="1"/>
        <w:numPr>
          <w:ilvl w:val="0"/>
          <w:numId w:val="1"/>
        </w:numPr>
        <w:rPr>
          <w:w w:val="95"/>
        </w:rPr>
      </w:pPr>
      <w:r>
        <w:rPr>
          <w:rFonts w:hint="eastAsia"/>
          <w:w w:val="95"/>
          <w:lang w:val="en-US"/>
        </w:rPr>
        <w:t>新增销售</w:t>
      </w:r>
      <w:r>
        <w:rPr>
          <w:rFonts w:hint="eastAsia"/>
          <w:w w:val="95"/>
        </w:rPr>
        <w:t>基金及业务范围</w:t>
      </w:r>
    </w:p>
    <w:p w:rsidR="00BB01CE" w:rsidRDefault="00BB01CE">
      <w:pPr>
        <w:rPr>
          <w:w w:val="95"/>
        </w:rPr>
      </w:pPr>
    </w:p>
    <w:tbl>
      <w:tblPr>
        <w:tblW w:w="5686"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5668"/>
        <w:gridCol w:w="1229"/>
        <w:gridCol w:w="1545"/>
        <w:gridCol w:w="1449"/>
      </w:tblGrid>
      <w:tr w:rsidR="00BB01CE">
        <w:trPr>
          <w:trHeight w:val="256"/>
        </w:trPr>
        <w:tc>
          <w:tcPr>
            <w:tcW w:w="332" w:type="pct"/>
            <w:shd w:val="clear" w:color="auto" w:fill="auto"/>
            <w:noWrap/>
            <w:vAlign w:val="center"/>
          </w:tcPr>
          <w:p w:rsidR="00BB01CE" w:rsidRDefault="00080B90">
            <w:pPr>
              <w:widowControl/>
              <w:jc w:val="center"/>
              <w:textAlignment w:val="center"/>
              <w:rPr>
                <w:b/>
                <w:bCs/>
                <w:color w:val="000000"/>
                <w:sz w:val="24"/>
                <w:szCs w:val="24"/>
              </w:rPr>
            </w:pPr>
            <w:r>
              <w:rPr>
                <w:rFonts w:hint="eastAsia"/>
                <w:b/>
                <w:bCs/>
                <w:color w:val="000000"/>
                <w:sz w:val="24"/>
                <w:szCs w:val="24"/>
                <w:lang w:val="en-US"/>
              </w:rPr>
              <w:t>序号</w:t>
            </w:r>
          </w:p>
        </w:tc>
        <w:tc>
          <w:tcPr>
            <w:tcW w:w="2675" w:type="pct"/>
            <w:shd w:val="clear" w:color="auto" w:fill="auto"/>
            <w:noWrap/>
            <w:vAlign w:val="center"/>
          </w:tcPr>
          <w:p w:rsidR="00BB01CE" w:rsidRDefault="00080B90">
            <w:pPr>
              <w:widowControl/>
              <w:jc w:val="center"/>
              <w:textAlignment w:val="center"/>
              <w:rPr>
                <w:b/>
                <w:bCs/>
                <w:color w:val="000000"/>
                <w:sz w:val="24"/>
                <w:szCs w:val="24"/>
              </w:rPr>
            </w:pPr>
            <w:r>
              <w:rPr>
                <w:rFonts w:hint="eastAsia"/>
                <w:b/>
                <w:bCs/>
                <w:color w:val="000000"/>
                <w:sz w:val="24"/>
                <w:szCs w:val="24"/>
                <w:lang w:val="en-US"/>
              </w:rPr>
              <w:t>基金名称</w:t>
            </w:r>
          </w:p>
        </w:tc>
        <w:tc>
          <w:tcPr>
            <w:tcW w:w="580" w:type="pct"/>
            <w:shd w:val="clear" w:color="auto" w:fill="auto"/>
            <w:noWrap/>
            <w:vAlign w:val="center"/>
          </w:tcPr>
          <w:p w:rsidR="00BB01CE" w:rsidRDefault="00080B90">
            <w:pPr>
              <w:widowControl/>
              <w:jc w:val="center"/>
              <w:textAlignment w:val="center"/>
              <w:rPr>
                <w:b/>
                <w:bCs/>
                <w:color w:val="000000"/>
                <w:sz w:val="24"/>
                <w:szCs w:val="24"/>
              </w:rPr>
            </w:pPr>
            <w:r>
              <w:rPr>
                <w:rFonts w:hint="eastAsia"/>
                <w:b/>
                <w:bCs/>
                <w:color w:val="000000"/>
                <w:sz w:val="24"/>
                <w:szCs w:val="24"/>
                <w:lang w:val="en-US"/>
              </w:rPr>
              <w:t>基金代码</w:t>
            </w:r>
          </w:p>
        </w:tc>
        <w:tc>
          <w:tcPr>
            <w:tcW w:w="729" w:type="pct"/>
            <w:shd w:val="clear" w:color="auto" w:fill="auto"/>
            <w:noWrap/>
            <w:vAlign w:val="center"/>
          </w:tcPr>
          <w:p w:rsidR="00BB01CE" w:rsidRDefault="00080B90">
            <w:pPr>
              <w:widowControl/>
              <w:jc w:val="center"/>
              <w:textAlignment w:val="center"/>
              <w:rPr>
                <w:b/>
                <w:bCs/>
                <w:color w:val="000000"/>
                <w:sz w:val="24"/>
                <w:szCs w:val="24"/>
              </w:rPr>
            </w:pPr>
            <w:r>
              <w:rPr>
                <w:rFonts w:hint="eastAsia"/>
                <w:b/>
                <w:bCs/>
                <w:color w:val="000000"/>
                <w:sz w:val="24"/>
                <w:szCs w:val="24"/>
                <w:lang w:val="en-US"/>
              </w:rPr>
              <w:t>销售机构</w:t>
            </w:r>
          </w:p>
        </w:tc>
        <w:tc>
          <w:tcPr>
            <w:tcW w:w="682" w:type="pct"/>
            <w:shd w:val="clear" w:color="auto" w:fill="auto"/>
            <w:noWrap/>
            <w:vAlign w:val="center"/>
          </w:tcPr>
          <w:p w:rsidR="00BB01CE" w:rsidRDefault="00080B90">
            <w:pPr>
              <w:widowControl/>
              <w:jc w:val="center"/>
              <w:textAlignment w:val="center"/>
              <w:rPr>
                <w:b/>
                <w:bCs/>
                <w:color w:val="000000"/>
                <w:sz w:val="24"/>
                <w:szCs w:val="24"/>
              </w:rPr>
            </w:pPr>
            <w:r>
              <w:rPr>
                <w:rFonts w:hint="eastAsia"/>
                <w:b/>
                <w:bCs/>
                <w:color w:val="000000"/>
                <w:sz w:val="24"/>
                <w:szCs w:val="24"/>
                <w:lang w:val="en-US"/>
              </w:rPr>
              <w:t>开通业务</w:t>
            </w: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东方周期优选混合型证券投资基金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004244</w:t>
            </w:r>
          </w:p>
        </w:tc>
        <w:tc>
          <w:tcPr>
            <w:tcW w:w="729" w:type="pct"/>
            <w:vMerge w:val="restart"/>
            <w:shd w:val="clear" w:color="auto" w:fill="auto"/>
            <w:noWrap/>
            <w:vAlign w:val="center"/>
          </w:tcPr>
          <w:p w:rsidR="00BB01CE" w:rsidRDefault="00BB01CE">
            <w:pPr>
              <w:widowControl/>
              <w:jc w:val="center"/>
              <w:textAlignment w:val="center"/>
              <w:rPr>
                <w:spacing w:val="-8"/>
                <w:lang w:val="en-US"/>
              </w:rPr>
            </w:pPr>
          </w:p>
          <w:p w:rsidR="00BB01CE" w:rsidRDefault="00080B90">
            <w:pPr>
              <w:widowControl/>
              <w:jc w:val="center"/>
              <w:textAlignment w:val="center"/>
              <w:rPr>
                <w:color w:val="000000"/>
                <w:sz w:val="21"/>
                <w:szCs w:val="21"/>
              </w:rPr>
            </w:pPr>
            <w:r>
              <w:rPr>
                <w:rFonts w:hint="eastAsia"/>
                <w:color w:val="000000"/>
                <w:sz w:val="21"/>
                <w:szCs w:val="21"/>
                <w:lang w:val="en-US"/>
              </w:rPr>
              <w:t>华西证券</w:t>
            </w:r>
          </w:p>
        </w:tc>
        <w:tc>
          <w:tcPr>
            <w:tcW w:w="682" w:type="pct"/>
            <w:vMerge w:val="restart"/>
            <w:shd w:val="clear" w:color="auto" w:fill="auto"/>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开户、申购、赎回、定期定额投资、转换业务（仅限前端申购模式）</w:t>
            </w:r>
          </w:p>
          <w:p w:rsidR="00BB01CE" w:rsidRDefault="00BB01CE">
            <w:pPr>
              <w:jc w:val="center"/>
              <w:rPr>
                <w:color w:val="000000"/>
                <w:sz w:val="21"/>
                <w:szCs w:val="21"/>
                <w:lang w:val="en-US"/>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东方中国红利混合型证券投资基金</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009999</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60"/>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3</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东方匠心优选混合型证券投资基金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015586</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4</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东方匠心优选混合型证券投资基金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015587</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5</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东方沪深</w:t>
            </w:r>
            <w:r>
              <w:rPr>
                <w:rFonts w:hint="eastAsia"/>
                <w:color w:val="000000"/>
                <w:sz w:val="21"/>
                <w:szCs w:val="21"/>
                <w:lang w:val="en-US"/>
              </w:rPr>
              <w:t>300</w:t>
            </w:r>
            <w:r>
              <w:rPr>
                <w:rFonts w:hint="eastAsia"/>
                <w:color w:val="000000"/>
                <w:sz w:val="21"/>
                <w:szCs w:val="21"/>
                <w:lang w:val="en-US"/>
              </w:rPr>
              <w:t>指数增强型证券投资基金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016204</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6</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东方沪深</w:t>
            </w:r>
            <w:r>
              <w:rPr>
                <w:rFonts w:hint="eastAsia"/>
                <w:color w:val="000000"/>
                <w:sz w:val="21"/>
                <w:szCs w:val="21"/>
                <w:lang w:val="en-US"/>
              </w:rPr>
              <w:t>300</w:t>
            </w:r>
            <w:r>
              <w:rPr>
                <w:rFonts w:hint="eastAsia"/>
                <w:color w:val="000000"/>
                <w:sz w:val="21"/>
                <w:szCs w:val="21"/>
                <w:lang w:val="en-US"/>
              </w:rPr>
              <w:t>指数增强型证券投资基金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016205</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7</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东方高端制造混合型证券投资基金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014699</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8</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东方高端制造混合型证券投资基金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014700</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9</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东方创新医疗股票型证券投资基金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018045</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10</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东方创新医疗股票型证券投资基金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018046</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11</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东方专精特新混合型发起式证券投资基金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015765</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12</w:t>
            </w:r>
          </w:p>
        </w:tc>
        <w:tc>
          <w:tcPr>
            <w:tcW w:w="2675"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东方专精特新混合型发起式证券投资基金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bottom"/>
          </w:tcPr>
          <w:p w:rsidR="00BB01CE" w:rsidRDefault="00080B90">
            <w:pPr>
              <w:widowControl/>
              <w:jc w:val="center"/>
              <w:textAlignment w:val="center"/>
              <w:rPr>
                <w:color w:val="000000"/>
                <w:sz w:val="21"/>
                <w:szCs w:val="21"/>
                <w:lang w:val="en-US"/>
              </w:rPr>
            </w:pPr>
            <w:r>
              <w:rPr>
                <w:rFonts w:hint="eastAsia"/>
                <w:color w:val="000000"/>
                <w:sz w:val="21"/>
                <w:szCs w:val="21"/>
                <w:lang w:val="en-US"/>
              </w:rPr>
              <w:t>015766</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13</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东方惠新灵活配置混合型证券投资基金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001198 </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14</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东方惠新灵活配置混合型证券投资基金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002163</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15</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东方新策略灵活配置混合型证券投资基金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001318</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16</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东方新策略灵活配置混合型证券投资基金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002060</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17</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东方低碳经济混合型证券投资基金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021094</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18</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东方低碳经济混合型证券投资基金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021095</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19</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东方招益债券型证券投资基金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022637</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20</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东方招益债券型证券投资基金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022638</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lang w:val="en-US"/>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21</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东方中债绿色普惠主题金融债券优选指数证券投资基金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021303</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22</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东方中债绿色普惠主题金融债券优选指数证券投资基金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021304</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lastRenderedPageBreak/>
              <w:t>23</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东方享誉</w:t>
            </w:r>
            <w:r>
              <w:rPr>
                <w:rFonts w:hint="eastAsia"/>
                <w:color w:val="000000"/>
                <w:sz w:val="21"/>
                <w:szCs w:val="21"/>
                <w:lang w:val="en-US"/>
              </w:rPr>
              <w:t>30</w:t>
            </w:r>
            <w:r>
              <w:rPr>
                <w:rFonts w:hint="eastAsia"/>
                <w:color w:val="000000"/>
                <w:sz w:val="21"/>
                <w:szCs w:val="21"/>
                <w:lang w:val="en-US"/>
              </w:rPr>
              <w:t>天滚动持有债券型证券投资基金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020946</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90"/>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24</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东方享誉</w:t>
            </w:r>
            <w:r>
              <w:rPr>
                <w:rFonts w:hint="eastAsia"/>
                <w:color w:val="000000"/>
                <w:sz w:val="21"/>
                <w:szCs w:val="21"/>
                <w:lang w:val="en-US"/>
              </w:rPr>
              <w:t>30</w:t>
            </w:r>
            <w:r>
              <w:rPr>
                <w:rFonts w:hint="eastAsia"/>
                <w:color w:val="000000"/>
                <w:sz w:val="21"/>
                <w:szCs w:val="21"/>
                <w:lang w:val="en-US"/>
              </w:rPr>
              <w:t>天滚动持有债券型证券投资基金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020947</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25</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东方享悦</w:t>
            </w:r>
            <w:r>
              <w:rPr>
                <w:rFonts w:hint="eastAsia"/>
                <w:color w:val="000000"/>
                <w:sz w:val="21"/>
                <w:szCs w:val="21"/>
                <w:lang w:val="en-US"/>
              </w:rPr>
              <w:t>90</w:t>
            </w:r>
            <w:r>
              <w:rPr>
                <w:rFonts w:hint="eastAsia"/>
                <w:color w:val="000000"/>
                <w:sz w:val="21"/>
                <w:szCs w:val="21"/>
                <w:lang w:val="en-US"/>
              </w:rPr>
              <w:t>天滚动持有债券型证券投资基金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020850</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26</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东方享悦</w:t>
            </w:r>
            <w:r>
              <w:rPr>
                <w:rFonts w:hint="eastAsia"/>
                <w:color w:val="000000"/>
                <w:sz w:val="21"/>
                <w:szCs w:val="21"/>
                <w:lang w:val="en-US"/>
              </w:rPr>
              <w:t>90</w:t>
            </w:r>
            <w:r>
              <w:rPr>
                <w:rFonts w:hint="eastAsia"/>
                <w:color w:val="000000"/>
                <w:sz w:val="21"/>
                <w:szCs w:val="21"/>
                <w:lang w:val="en-US"/>
              </w:rPr>
              <w:t>天滚动持有债券型证券投资基金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020851</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27</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东方养老目标</w:t>
            </w:r>
            <w:r>
              <w:rPr>
                <w:rFonts w:hint="eastAsia"/>
                <w:color w:val="000000"/>
                <w:sz w:val="21"/>
                <w:szCs w:val="21"/>
                <w:lang w:val="en-US"/>
              </w:rPr>
              <w:t>2050</w:t>
            </w:r>
            <w:r>
              <w:rPr>
                <w:rFonts w:hint="eastAsia"/>
                <w:color w:val="000000"/>
                <w:sz w:val="21"/>
                <w:szCs w:val="21"/>
                <w:lang w:val="en-US"/>
              </w:rPr>
              <w:t>五年持有混合发起（</w:t>
            </w:r>
            <w:r>
              <w:rPr>
                <w:rFonts w:hint="eastAsia"/>
                <w:color w:val="000000"/>
                <w:sz w:val="21"/>
                <w:szCs w:val="21"/>
                <w:lang w:val="en-US"/>
              </w:rPr>
              <w:t>FOF</w:t>
            </w:r>
            <w:r>
              <w:rPr>
                <w:rFonts w:hint="eastAsia"/>
                <w:color w:val="000000"/>
                <w:sz w:val="21"/>
                <w:szCs w:val="21"/>
                <w:lang w:val="en-US"/>
              </w:rPr>
              <w:t>）</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018687</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28</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东方锦合一年定期开放债券型发起式证券投资基金</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018855</w:t>
            </w:r>
          </w:p>
        </w:tc>
        <w:tc>
          <w:tcPr>
            <w:tcW w:w="729" w:type="pct"/>
            <w:vMerge/>
            <w:shd w:val="clear" w:color="auto" w:fill="auto"/>
            <w:noWrap/>
            <w:vAlign w:val="center"/>
          </w:tcPr>
          <w:p w:rsidR="00BB01CE" w:rsidRDefault="00BB01CE">
            <w:pPr>
              <w:jc w:val="center"/>
              <w:rPr>
                <w:color w:val="000000"/>
                <w:sz w:val="21"/>
                <w:szCs w:val="21"/>
              </w:rPr>
            </w:pPr>
          </w:p>
        </w:tc>
        <w:tc>
          <w:tcPr>
            <w:tcW w:w="682" w:type="pct"/>
            <w:shd w:val="clear" w:color="auto" w:fill="auto"/>
            <w:vAlign w:val="center"/>
          </w:tcPr>
          <w:p w:rsidR="00BB01CE" w:rsidRDefault="00080B90">
            <w:pPr>
              <w:jc w:val="center"/>
              <w:rPr>
                <w:color w:val="000000"/>
                <w:sz w:val="21"/>
                <w:szCs w:val="21"/>
                <w:lang w:val="en-US"/>
              </w:rPr>
            </w:pPr>
            <w:r>
              <w:rPr>
                <w:rFonts w:hint="eastAsia"/>
                <w:color w:val="000000"/>
                <w:sz w:val="21"/>
                <w:szCs w:val="21"/>
                <w:lang w:val="en-US"/>
              </w:rPr>
              <w:t>开户、申购、赎回、转换业务（仅限前端申购模式</w:t>
            </w:r>
          </w:p>
          <w:p w:rsidR="00BB01CE" w:rsidRDefault="00BB01CE">
            <w:pPr>
              <w:jc w:val="center"/>
              <w:rPr>
                <w:color w:val="000000"/>
                <w:sz w:val="21"/>
                <w:szCs w:val="21"/>
              </w:rPr>
            </w:pPr>
          </w:p>
        </w:tc>
      </w:tr>
      <w:tr w:rsidR="00BB01CE">
        <w:trPr>
          <w:trHeight w:val="260"/>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29</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东方臻宝纯债债券型证券投资基金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006210</w:t>
            </w:r>
          </w:p>
        </w:tc>
        <w:tc>
          <w:tcPr>
            <w:tcW w:w="729" w:type="pct"/>
            <w:vMerge w:val="restart"/>
            <w:shd w:val="clear" w:color="auto" w:fill="auto"/>
            <w:noWrap/>
            <w:vAlign w:val="center"/>
          </w:tcPr>
          <w:p w:rsidR="00BB01CE" w:rsidRDefault="00BB01CE">
            <w:pPr>
              <w:jc w:val="center"/>
              <w:rPr>
                <w:color w:val="000000"/>
                <w:sz w:val="21"/>
                <w:szCs w:val="21"/>
                <w:lang w:val="en-US"/>
              </w:rPr>
            </w:pPr>
          </w:p>
          <w:p w:rsidR="00BB01CE" w:rsidRDefault="00080B90">
            <w:pPr>
              <w:jc w:val="center"/>
              <w:rPr>
                <w:color w:val="000000"/>
                <w:sz w:val="21"/>
                <w:szCs w:val="21"/>
                <w:lang w:val="en-US"/>
              </w:rPr>
            </w:pPr>
            <w:r>
              <w:rPr>
                <w:rFonts w:hint="eastAsia"/>
                <w:color w:val="000000"/>
                <w:sz w:val="21"/>
                <w:szCs w:val="21"/>
                <w:lang w:val="en-US"/>
              </w:rPr>
              <w:t>平安证券</w:t>
            </w:r>
          </w:p>
        </w:tc>
        <w:tc>
          <w:tcPr>
            <w:tcW w:w="682" w:type="pct"/>
            <w:vMerge w:val="restart"/>
            <w:shd w:val="clear" w:color="auto" w:fill="auto"/>
            <w:vAlign w:val="center"/>
          </w:tcPr>
          <w:p w:rsidR="00BB01CE" w:rsidRDefault="00080B90">
            <w:pPr>
              <w:jc w:val="center"/>
              <w:rPr>
                <w:color w:val="000000"/>
                <w:sz w:val="21"/>
                <w:szCs w:val="21"/>
              </w:rPr>
            </w:pPr>
            <w:r>
              <w:rPr>
                <w:rFonts w:hint="eastAsia"/>
                <w:color w:val="000000"/>
                <w:sz w:val="21"/>
                <w:szCs w:val="21"/>
                <w:lang w:val="en-US"/>
              </w:rPr>
              <w:t>开户、申购、赎回、定期定额投资、转换业务（仅限前端申购模式）</w:t>
            </w: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30</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东方臻宝纯债债券型证券投资基金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006211</w:t>
            </w:r>
          </w:p>
        </w:tc>
        <w:tc>
          <w:tcPr>
            <w:tcW w:w="729" w:type="pct"/>
            <w:vMerge/>
            <w:shd w:val="clear" w:color="auto" w:fill="auto"/>
            <w:noWrap/>
            <w:vAlign w:val="center"/>
          </w:tcPr>
          <w:p w:rsidR="00BB01CE" w:rsidRDefault="00BB01CE">
            <w:pPr>
              <w:jc w:val="center"/>
              <w:rPr>
                <w:color w:val="000000"/>
                <w:sz w:val="21"/>
                <w:szCs w:val="21"/>
                <w:lang w:val="en-US"/>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31</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东方鑫享价值成长一年持有期混合型证券投资基金</w:t>
            </w:r>
            <w:r>
              <w:rPr>
                <w:rFonts w:hint="eastAsia"/>
                <w:color w:val="000000"/>
                <w:sz w:val="21"/>
                <w:szCs w:val="21"/>
                <w:lang w:val="en-US"/>
              </w:rPr>
              <w:t>A</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011458</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332"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32</w:t>
            </w:r>
          </w:p>
        </w:tc>
        <w:tc>
          <w:tcPr>
            <w:tcW w:w="2675"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东方鑫享价值成长一年持有期混合型证券投资基金</w:t>
            </w:r>
            <w:r>
              <w:rPr>
                <w:rFonts w:hint="eastAsia"/>
                <w:color w:val="000000"/>
                <w:sz w:val="21"/>
                <w:szCs w:val="21"/>
                <w:lang w:val="en-US"/>
              </w:rPr>
              <w:t>C</w:t>
            </w:r>
            <w:r>
              <w:rPr>
                <w:rFonts w:hint="eastAsia"/>
                <w:color w:val="000000"/>
                <w:sz w:val="21"/>
                <w:szCs w:val="21"/>
                <w:lang w:val="en-US"/>
              </w:rPr>
              <w:t>类</w:t>
            </w:r>
          </w:p>
        </w:tc>
        <w:tc>
          <w:tcPr>
            <w:tcW w:w="580" w:type="pct"/>
            <w:shd w:val="clear" w:color="auto" w:fill="auto"/>
            <w:noWrap/>
            <w:vAlign w:val="center"/>
          </w:tcPr>
          <w:p w:rsidR="00BB01CE" w:rsidRDefault="00080B90">
            <w:pPr>
              <w:widowControl/>
              <w:jc w:val="center"/>
              <w:textAlignment w:val="center"/>
              <w:rPr>
                <w:color w:val="000000"/>
                <w:sz w:val="21"/>
                <w:szCs w:val="21"/>
                <w:lang w:val="en-US"/>
              </w:rPr>
            </w:pPr>
            <w:r>
              <w:rPr>
                <w:rFonts w:hint="eastAsia"/>
                <w:color w:val="000000"/>
                <w:sz w:val="21"/>
                <w:szCs w:val="21"/>
                <w:lang w:val="en-US"/>
              </w:rPr>
              <w:t>011459</w:t>
            </w:r>
          </w:p>
        </w:tc>
        <w:tc>
          <w:tcPr>
            <w:tcW w:w="729" w:type="pct"/>
            <w:vMerge/>
            <w:shd w:val="clear" w:color="auto" w:fill="auto"/>
            <w:noWrap/>
            <w:vAlign w:val="center"/>
          </w:tcPr>
          <w:p w:rsidR="00BB01CE" w:rsidRDefault="00BB01CE">
            <w:pPr>
              <w:jc w:val="center"/>
              <w:rPr>
                <w:color w:val="000000"/>
                <w:sz w:val="21"/>
                <w:szCs w:val="21"/>
              </w:rPr>
            </w:pPr>
          </w:p>
        </w:tc>
        <w:tc>
          <w:tcPr>
            <w:tcW w:w="682" w:type="pct"/>
            <w:vMerge/>
            <w:shd w:val="clear" w:color="auto" w:fill="auto"/>
            <w:vAlign w:val="center"/>
          </w:tcPr>
          <w:p w:rsidR="00BB01CE" w:rsidRDefault="00BB01CE">
            <w:pPr>
              <w:jc w:val="center"/>
              <w:rPr>
                <w:color w:val="000000"/>
                <w:sz w:val="21"/>
                <w:szCs w:val="21"/>
              </w:rPr>
            </w:pPr>
          </w:p>
        </w:tc>
      </w:tr>
      <w:tr w:rsidR="00BB01CE">
        <w:trPr>
          <w:trHeight w:val="285"/>
        </w:trPr>
        <w:tc>
          <w:tcPr>
            <w:tcW w:w="5000" w:type="pct"/>
            <w:gridSpan w:val="5"/>
            <w:shd w:val="clear" w:color="auto" w:fill="auto"/>
            <w:noWrap/>
            <w:vAlign w:val="center"/>
          </w:tcPr>
          <w:p w:rsidR="00BB01CE" w:rsidRDefault="00080B90">
            <w:pPr>
              <w:widowControl/>
              <w:numPr>
                <w:ilvl w:val="255"/>
                <w:numId w:val="0"/>
              </w:numPr>
              <w:textAlignment w:val="center"/>
              <w:rPr>
                <w:color w:val="000000"/>
                <w:sz w:val="21"/>
                <w:szCs w:val="21"/>
                <w:lang w:val="en-US"/>
              </w:rPr>
            </w:pPr>
            <w:r>
              <w:rPr>
                <w:rFonts w:hint="eastAsia"/>
                <w:color w:val="000000"/>
                <w:sz w:val="21"/>
                <w:szCs w:val="21"/>
                <w:lang w:val="en-US"/>
              </w:rPr>
              <w:t>备注：</w:t>
            </w:r>
          </w:p>
          <w:p w:rsidR="00BB01CE" w:rsidRDefault="00080B90">
            <w:pPr>
              <w:numPr>
                <w:ilvl w:val="255"/>
                <w:numId w:val="0"/>
              </w:numPr>
              <w:rPr>
                <w:color w:val="000000"/>
                <w:sz w:val="21"/>
                <w:szCs w:val="21"/>
                <w:lang w:val="en-US"/>
              </w:rPr>
            </w:pPr>
            <w:r>
              <w:rPr>
                <w:rFonts w:hint="eastAsia"/>
                <w:color w:val="000000"/>
                <w:sz w:val="21"/>
                <w:szCs w:val="21"/>
                <w:lang w:val="en-US"/>
              </w:rPr>
              <w:t>1.</w:t>
            </w:r>
            <w:r>
              <w:rPr>
                <w:rFonts w:hint="eastAsia"/>
                <w:color w:val="000000"/>
                <w:sz w:val="21"/>
                <w:szCs w:val="21"/>
                <w:lang w:val="en-US"/>
              </w:rPr>
              <w:t>自</w:t>
            </w:r>
            <w:r>
              <w:rPr>
                <w:rFonts w:hint="eastAsia"/>
                <w:color w:val="000000"/>
                <w:sz w:val="21"/>
                <w:szCs w:val="21"/>
                <w:lang w:val="en-US"/>
              </w:rPr>
              <w:t>2025</w:t>
            </w:r>
            <w:r>
              <w:rPr>
                <w:rFonts w:hint="eastAsia"/>
                <w:color w:val="000000"/>
                <w:sz w:val="21"/>
                <w:szCs w:val="21"/>
                <w:lang w:val="en-US"/>
              </w:rPr>
              <w:t>年</w:t>
            </w:r>
            <w:r>
              <w:rPr>
                <w:rFonts w:hint="eastAsia"/>
                <w:color w:val="000000"/>
                <w:sz w:val="21"/>
                <w:szCs w:val="21"/>
                <w:lang w:val="en-US"/>
              </w:rPr>
              <w:t>3</w:t>
            </w:r>
            <w:r>
              <w:rPr>
                <w:rFonts w:hint="eastAsia"/>
                <w:color w:val="000000"/>
                <w:sz w:val="21"/>
                <w:szCs w:val="21"/>
                <w:lang w:val="en-US"/>
              </w:rPr>
              <w:t>月</w:t>
            </w:r>
            <w:r>
              <w:rPr>
                <w:rFonts w:hint="eastAsia"/>
                <w:color w:val="000000"/>
                <w:sz w:val="21"/>
                <w:szCs w:val="21"/>
                <w:lang w:val="en-US"/>
              </w:rPr>
              <w:t>26</w:t>
            </w:r>
            <w:r>
              <w:rPr>
                <w:rFonts w:hint="eastAsia"/>
                <w:color w:val="000000"/>
                <w:sz w:val="21"/>
                <w:szCs w:val="21"/>
                <w:lang w:val="en-US"/>
              </w:rPr>
              <w:t>日起，本基金管理人暂停接受对东方新策略灵活配置混合型证券投资基金的单笔金额</w:t>
            </w:r>
            <w:r>
              <w:rPr>
                <w:rFonts w:hint="eastAsia"/>
                <w:color w:val="000000"/>
                <w:sz w:val="21"/>
                <w:szCs w:val="21"/>
                <w:lang w:val="en-US"/>
              </w:rPr>
              <w:t>50</w:t>
            </w:r>
            <w:r>
              <w:rPr>
                <w:rFonts w:hint="eastAsia"/>
                <w:color w:val="000000"/>
                <w:sz w:val="21"/>
                <w:szCs w:val="21"/>
                <w:lang w:val="en-US"/>
              </w:rPr>
              <w:t>万元以上（不含</w:t>
            </w:r>
            <w:r>
              <w:rPr>
                <w:rFonts w:hint="eastAsia"/>
                <w:color w:val="000000"/>
                <w:sz w:val="21"/>
                <w:szCs w:val="21"/>
                <w:lang w:val="en-US"/>
              </w:rPr>
              <w:t>50</w:t>
            </w:r>
            <w:r>
              <w:rPr>
                <w:rFonts w:hint="eastAsia"/>
                <w:color w:val="000000"/>
                <w:sz w:val="21"/>
                <w:szCs w:val="21"/>
                <w:lang w:val="en-US"/>
              </w:rPr>
              <w:t>万元）申购（包括日常申购和定期定额申购）、转换转入申请，且单个基金账户单日累计申购（包括日常申购和定期定额申购）及转换转入金额不得超过</w:t>
            </w:r>
            <w:r>
              <w:rPr>
                <w:rFonts w:hint="eastAsia"/>
                <w:color w:val="000000"/>
                <w:sz w:val="21"/>
                <w:szCs w:val="21"/>
                <w:lang w:val="en-US"/>
              </w:rPr>
              <w:t>50</w:t>
            </w:r>
            <w:r>
              <w:rPr>
                <w:rFonts w:hint="eastAsia"/>
                <w:color w:val="000000"/>
                <w:sz w:val="21"/>
                <w:szCs w:val="21"/>
                <w:lang w:val="en-US"/>
              </w:rPr>
              <w:t>万元（不含</w:t>
            </w:r>
            <w:r>
              <w:rPr>
                <w:rFonts w:hint="eastAsia"/>
                <w:color w:val="000000"/>
                <w:sz w:val="21"/>
                <w:szCs w:val="21"/>
                <w:lang w:val="en-US"/>
              </w:rPr>
              <w:t>50</w:t>
            </w:r>
            <w:r>
              <w:rPr>
                <w:rFonts w:hint="eastAsia"/>
                <w:color w:val="000000"/>
                <w:sz w:val="21"/>
                <w:szCs w:val="21"/>
                <w:lang w:val="en-US"/>
              </w:rPr>
              <w:t>万元）。对于超过限额的申请，本基金管理人有权拒绝，不予确认。</w:t>
            </w:r>
          </w:p>
          <w:p w:rsidR="00BB01CE" w:rsidRDefault="00080B90">
            <w:pPr>
              <w:numPr>
                <w:ilvl w:val="255"/>
                <w:numId w:val="0"/>
              </w:numPr>
              <w:rPr>
                <w:color w:val="000000"/>
                <w:sz w:val="21"/>
                <w:szCs w:val="21"/>
                <w:lang w:val="en-US"/>
              </w:rPr>
            </w:pPr>
            <w:r>
              <w:rPr>
                <w:rFonts w:hint="eastAsia"/>
                <w:color w:val="000000"/>
                <w:sz w:val="21"/>
                <w:szCs w:val="21"/>
                <w:lang w:val="en-US"/>
              </w:rPr>
              <w:t>2.</w:t>
            </w:r>
            <w:r>
              <w:rPr>
                <w:rFonts w:hint="eastAsia"/>
                <w:color w:val="000000"/>
                <w:sz w:val="21"/>
                <w:szCs w:val="21"/>
                <w:lang w:val="en-US"/>
              </w:rPr>
              <w:t>东方中债绿色普惠主题金融债券优选指数证券投资基金销售对象为符合法律法规规定的可投资于证券投资</w:t>
            </w:r>
          </w:p>
          <w:p w:rsidR="00BB01CE" w:rsidRDefault="00080B90">
            <w:pPr>
              <w:numPr>
                <w:ilvl w:val="255"/>
                <w:numId w:val="0"/>
              </w:numPr>
              <w:rPr>
                <w:color w:val="000000"/>
                <w:sz w:val="21"/>
                <w:szCs w:val="21"/>
                <w:lang w:val="en-US"/>
              </w:rPr>
            </w:pPr>
            <w:r>
              <w:rPr>
                <w:rFonts w:hint="eastAsia"/>
                <w:color w:val="000000"/>
                <w:sz w:val="21"/>
                <w:szCs w:val="21"/>
                <w:lang w:val="en-US"/>
              </w:rPr>
              <w:t>基金的个人投资者、机构投资者、合格境外投资者以及法律法规或中国证监会允许购买证券</w:t>
            </w:r>
            <w:r>
              <w:rPr>
                <w:rFonts w:hint="eastAsia"/>
                <w:color w:val="000000"/>
                <w:sz w:val="21"/>
                <w:szCs w:val="21"/>
                <w:lang w:val="en-US"/>
              </w:rPr>
              <w:t>投资基金的其他投</w:t>
            </w:r>
          </w:p>
          <w:p w:rsidR="00BB01CE" w:rsidRDefault="00080B90">
            <w:pPr>
              <w:numPr>
                <w:ilvl w:val="255"/>
                <w:numId w:val="0"/>
              </w:numPr>
              <w:rPr>
                <w:color w:val="000000"/>
                <w:sz w:val="21"/>
                <w:szCs w:val="21"/>
                <w:lang w:val="en-US"/>
              </w:rPr>
            </w:pPr>
            <w:r>
              <w:rPr>
                <w:rFonts w:hint="eastAsia"/>
                <w:color w:val="000000"/>
                <w:sz w:val="21"/>
                <w:szCs w:val="21"/>
                <w:lang w:val="en-US"/>
              </w:rPr>
              <w:t>资人。该基金暂不向个人投资者公开销售，如未来本基金开放向个人投资者公开销售或对销售对象的范围予以进一步限定，基金管理人将另行公告。</w:t>
            </w:r>
          </w:p>
          <w:p w:rsidR="00BB01CE" w:rsidRDefault="00080B90">
            <w:pPr>
              <w:rPr>
                <w:color w:val="000000"/>
                <w:sz w:val="21"/>
                <w:szCs w:val="21"/>
                <w:lang w:val="en-US"/>
              </w:rPr>
            </w:pPr>
            <w:r>
              <w:rPr>
                <w:rFonts w:hint="eastAsia"/>
                <w:color w:val="000000"/>
                <w:sz w:val="21"/>
                <w:szCs w:val="21"/>
                <w:lang w:val="en-US"/>
              </w:rPr>
              <w:t>3.</w:t>
            </w:r>
            <w:r>
              <w:rPr>
                <w:rFonts w:hint="eastAsia"/>
                <w:color w:val="000000"/>
                <w:sz w:val="21"/>
                <w:szCs w:val="21"/>
                <w:lang w:val="en-US"/>
              </w:rPr>
              <w:t>东方享誉</w:t>
            </w:r>
            <w:r>
              <w:rPr>
                <w:rFonts w:hint="eastAsia"/>
                <w:color w:val="000000"/>
                <w:sz w:val="21"/>
                <w:szCs w:val="21"/>
                <w:lang w:val="en-US"/>
              </w:rPr>
              <w:t>30</w:t>
            </w:r>
            <w:r>
              <w:rPr>
                <w:rFonts w:hint="eastAsia"/>
                <w:color w:val="000000"/>
                <w:sz w:val="21"/>
                <w:szCs w:val="21"/>
                <w:lang w:val="en-US"/>
              </w:rPr>
              <w:t>天滚动持有债券型证券投资基金（以下简称“本基金”）对于每份基金份额，设定</w:t>
            </w:r>
            <w:r>
              <w:rPr>
                <w:rFonts w:hint="eastAsia"/>
                <w:color w:val="000000"/>
                <w:sz w:val="21"/>
                <w:szCs w:val="21"/>
                <w:lang w:val="en-US"/>
              </w:rPr>
              <w:t>30</w:t>
            </w:r>
            <w:r>
              <w:rPr>
                <w:rFonts w:hint="eastAsia"/>
                <w:color w:val="000000"/>
                <w:sz w:val="21"/>
                <w:szCs w:val="21"/>
                <w:lang w:val="en-US"/>
              </w:rPr>
              <w:t>天的滚动运作期。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color w:val="000000"/>
                <w:sz w:val="21"/>
                <w:szCs w:val="21"/>
                <w:lang w:val="en-US"/>
              </w:rPr>
              <w:t>30</w:t>
            </w:r>
            <w:r>
              <w:rPr>
                <w:rFonts w:hint="eastAsia"/>
                <w:color w:val="000000"/>
                <w:sz w:val="21"/>
                <w:szCs w:val="21"/>
                <w:lang w:val="en-US"/>
              </w:rPr>
              <w:t>天（即第一个运</w:t>
            </w:r>
            <w:r>
              <w:rPr>
                <w:rFonts w:hint="eastAsia"/>
                <w:color w:val="000000"/>
                <w:sz w:val="21"/>
                <w:szCs w:val="21"/>
                <w:lang w:val="en-US"/>
              </w:rPr>
              <w:t>作期到期日。如该日为非工作日，则顺延至下一工作日）止。第二个运作期指第一个运作期到期日的次一日起，至基金合同生效日或基金份额申购申请日后的第</w:t>
            </w:r>
            <w:r>
              <w:rPr>
                <w:rFonts w:hint="eastAsia"/>
                <w:color w:val="000000"/>
                <w:sz w:val="21"/>
                <w:szCs w:val="21"/>
                <w:lang w:val="en-US"/>
              </w:rPr>
              <w:t>60</w:t>
            </w:r>
            <w:r>
              <w:rPr>
                <w:rFonts w:hint="eastAsia"/>
                <w:color w:val="000000"/>
                <w:sz w:val="21"/>
                <w:szCs w:val="21"/>
                <w:lang w:val="en-US"/>
              </w:rPr>
              <w:t>天（如该日为非工作日，则顺延至下一工作日）止。以此类推。每个运作期到期日，基金份额持有人可提出赎回申请。如果基金份额持有人在当期运作期到期日未申请赎回或赎回被确认失败，则自该运作期到期日下一日起该基金份额进入下一个运作期。本基金投资者范围为符合法律法规规定的可投资于证券投资基金的个人投资者、机构投资者、合格境外投资者以及法律法规或中国证监会允许购买证券投资基金的其他</w:t>
            </w:r>
            <w:r>
              <w:rPr>
                <w:rFonts w:hint="eastAsia"/>
                <w:color w:val="000000"/>
                <w:sz w:val="21"/>
                <w:szCs w:val="21"/>
                <w:lang w:val="en-US"/>
              </w:rPr>
              <w:t>投资人。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本基金单一投资者单日认购金额不超过</w:t>
            </w:r>
            <w:r>
              <w:rPr>
                <w:rFonts w:hint="eastAsia"/>
                <w:color w:val="000000"/>
                <w:sz w:val="21"/>
                <w:szCs w:val="21"/>
                <w:lang w:val="en-US"/>
              </w:rPr>
              <w:t>1000</w:t>
            </w:r>
            <w:r>
              <w:rPr>
                <w:rFonts w:hint="eastAsia"/>
                <w:color w:val="000000"/>
                <w:sz w:val="21"/>
                <w:szCs w:val="21"/>
                <w:lang w:val="en-US"/>
              </w:rPr>
              <w:t>万元（个人投资者、公募资产管理产品、职业年金、企业年金计划和基金管理人自有资金除外），基金管理人在履行适当程序后，可以调整单一投资者单日认购金额上限，具体规定请参见更新的招募说明书或相关公告。</w:t>
            </w:r>
          </w:p>
          <w:p w:rsidR="00BB01CE" w:rsidRDefault="00080B90">
            <w:pPr>
              <w:numPr>
                <w:ilvl w:val="255"/>
                <w:numId w:val="0"/>
              </w:numPr>
              <w:rPr>
                <w:color w:val="000000"/>
                <w:sz w:val="21"/>
                <w:szCs w:val="21"/>
                <w:lang w:val="en-US"/>
              </w:rPr>
            </w:pPr>
            <w:r>
              <w:rPr>
                <w:rFonts w:hint="eastAsia"/>
                <w:color w:val="000000"/>
                <w:sz w:val="21"/>
                <w:szCs w:val="21"/>
                <w:lang w:val="en-US"/>
              </w:rPr>
              <w:lastRenderedPageBreak/>
              <w:t>4.</w:t>
            </w:r>
            <w:r>
              <w:rPr>
                <w:rFonts w:hint="eastAsia"/>
                <w:color w:val="000000"/>
                <w:sz w:val="21"/>
                <w:szCs w:val="21"/>
                <w:lang w:val="en-US"/>
              </w:rPr>
              <w:t>东方享悦</w:t>
            </w:r>
            <w:r>
              <w:rPr>
                <w:rFonts w:hint="eastAsia"/>
                <w:color w:val="000000"/>
                <w:sz w:val="21"/>
                <w:szCs w:val="21"/>
                <w:lang w:val="en-US"/>
              </w:rPr>
              <w:t>90</w:t>
            </w:r>
            <w:r>
              <w:rPr>
                <w:rFonts w:hint="eastAsia"/>
                <w:color w:val="000000"/>
                <w:sz w:val="21"/>
                <w:szCs w:val="21"/>
                <w:lang w:val="en-US"/>
              </w:rPr>
              <w:t>天滚动持有债券型证券投资基金对于每份基金份额，设</w:t>
            </w:r>
            <w:r>
              <w:rPr>
                <w:rFonts w:hint="eastAsia"/>
                <w:color w:val="000000"/>
                <w:sz w:val="21"/>
                <w:szCs w:val="21"/>
                <w:lang w:val="en-US"/>
              </w:rPr>
              <w:t>定</w:t>
            </w:r>
            <w:r>
              <w:rPr>
                <w:rFonts w:hint="eastAsia"/>
                <w:color w:val="000000"/>
                <w:sz w:val="21"/>
                <w:szCs w:val="21"/>
                <w:lang w:val="en-US"/>
              </w:rPr>
              <w:t>90</w:t>
            </w:r>
            <w:r>
              <w:rPr>
                <w:rFonts w:hint="eastAsia"/>
                <w:color w:val="000000"/>
                <w:sz w:val="21"/>
                <w:szCs w:val="21"/>
                <w:lang w:val="en-US"/>
              </w:rPr>
              <w:t>天的滚动运作期。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color w:val="000000"/>
                <w:sz w:val="21"/>
                <w:szCs w:val="21"/>
                <w:lang w:val="en-US"/>
              </w:rPr>
              <w:t>90</w:t>
            </w:r>
            <w:r>
              <w:rPr>
                <w:rFonts w:hint="eastAsia"/>
                <w:color w:val="000000"/>
                <w:sz w:val="21"/>
                <w:szCs w:val="21"/>
                <w:lang w:val="en-US"/>
              </w:rPr>
              <w:t>天（即第一个运作期到期日。如该日为非工作日，则顺延至下一工作日）止。第二个运作期指第一个运作期到期日的次一日起，至基金合同生效日或基金份额申购申请日后的第</w:t>
            </w:r>
            <w:r>
              <w:rPr>
                <w:rFonts w:hint="eastAsia"/>
                <w:color w:val="000000"/>
                <w:sz w:val="21"/>
                <w:szCs w:val="21"/>
                <w:lang w:val="en-US"/>
              </w:rPr>
              <w:t>180</w:t>
            </w:r>
            <w:r>
              <w:rPr>
                <w:rFonts w:hint="eastAsia"/>
                <w:color w:val="000000"/>
                <w:sz w:val="21"/>
                <w:szCs w:val="21"/>
                <w:lang w:val="en-US"/>
              </w:rPr>
              <w:t>天（如该日为非工作日，则顺延至下一工作日）止。以此类推。每个运作期到期日，基金份额持有人可</w:t>
            </w:r>
            <w:r>
              <w:rPr>
                <w:rFonts w:hint="eastAsia"/>
                <w:color w:val="000000"/>
                <w:sz w:val="21"/>
                <w:szCs w:val="21"/>
                <w:lang w:val="en-US"/>
              </w:rPr>
              <w:t>提出赎回申请。如果基金份额持有人在当期运作期到期日未申请赎回或赎回被确认失败，则自该运作期到期日下一日起该基金份额进入下一个运作期。本基金投资者范围为符合法律法规规定的可投资于证券投资基金的个人投资者、机构投资者、合格境外投资者以及法律法规或中国证监会允许购买证券投资基金的其他投资人。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本基金单一投资者单日申</w:t>
            </w:r>
            <w:r>
              <w:rPr>
                <w:rFonts w:hint="eastAsia"/>
                <w:color w:val="000000"/>
                <w:sz w:val="21"/>
                <w:szCs w:val="21"/>
                <w:lang w:val="en-US"/>
              </w:rPr>
              <w:t>购金额不超过</w:t>
            </w:r>
            <w:r>
              <w:rPr>
                <w:rFonts w:hint="eastAsia"/>
                <w:color w:val="000000"/>
                <w:sz w:val="21"/>
                <w:szCs w:val="21"/>
                <w:lang w:val="en-US"/>
              </w:rPr>
              <w:t>1000</w:t>
            </w:r>
            <w:r>
              <w:rPr>
                <w:rFonts w:hint="eastAsia"/>
                <w:color w:val="000000"/>
                <w:sz w:val="21"/>
                <w:szCs w:val="21"/>
                <w:lang w:val="en-US"/>
              </w:rPr>
              <w:t>万元（个人投资者、公募资产管理产品、职业年金、企业年金计划和基金管理人自有资金除外），基金管理人可以调整单一投资者单日申购金额上限，具体规定请参见更新的招募说明书或相关公告。</w:t>
            </w:r>
          </w:p>
          <w:p w:rsidR="00BB01CE" w:rsidRDefault="00080B90">
            <w:pPr>
              <w:numPr>
                <w:ilvl w:val="255"/>
                <w:numId w:val="0"/>
              </w:numPr>
              <w:rPr>
                <w:color w:val="000000"/>
                <w:sz w:val="21"/>
                <w:szCs w:val="21"/>
                <w:lang w:val="en-US"/>
              </w:rPr>
            </w:pPr>
            <w:r>
              <w:rPr>
                <w:rFonts w:hint="eastAsia"/>
                <w:color w:val="000000"/>
                <w:sz w:val="21"/>
                <w:szCs w:val="21"/>
                <w:lang w:val="en-US"/>
              </w:rPr>
              <w:t>5.</w:t>
            </w:r>
            <w:r>
              <w:rPr>
                <w:rFonts w:hint="eastAsia"/>
                <w:color w:val="000000"/>
                <w:sz w:val="21"/>
                <w:szCs w:val="21"/>
                <w:lang w:val="en-US"/>
              </w:rPr>
              <w:t>东方养老目标日期</w:t>
            </w:r>
            <w:r>
              <w:rPr>
                <w:rFonts w:hint="eastAsia"/>
                <w:color w:val="000000"/>
                <w:sz w:val="21"/>
                <w:szCs w:val="21"/>
                <w:lang w:val="en-US"/>
              </w:rPr>
              <w:t>2050</w:t>
            </w:r>
            <w:r>
              <w:rPr>
                <w:rFonts w:hint="eastAsia"/>
                <w:color w:val="000000"/>
                <w:sz w:val="21"/>
                <w:szCs w:val="21"/>
                <w:lang w:val="en-US"/>
              </w:rPr>
              <w:t>五年持有期混合型发起式基金中基金（</w:t>
            </w:r>
            <w:r>
              <w:rPr>
                <w:rFonts w:hint="eastAsia"/>
                <w:color w:val="000000"/>
                <w:sz w:val="21"/>
                <w:szCs w:val="21"/>
                <w:lang w:val="en-US"/>
              </w:rPr>
              <w:t>FOF</w:t>
            </w:r>
            <w:r>
              <w:rPr>
                <w:rFonts w:hint="eastAsia"/>
                <w:color w:val="000000"/>
                <w:sz w:val="21"/>
                <w:szCs w:val="21"/>
                <w:lang w:val="en-US"/>
              </w:rPr>
              <w:t>）（以下简称“本基金”）对每份基金份额设置</w:t>
            </w:r>
            <w:r>
              <w:rPr>
                <w:rFonts w:hint="eastAsia"/>
                <w:color w:val="000000"/>
                <w:sz w:val="21"/>
                <w:szCs w:val="21"/>
                <w:lang w:val="en-US"/>
              </w:rPr>
              <w:t>5</w:t>
            </w:r>
            <w:r>
              <w:rPr>
                <w:rFonts w:hint="eastAsia"/>
                <w:color w:val="000000"/>
                <w:sz w:val="21"/>
                <w:szCs w:val="21"/>
                <w:lang w:val="en-US"/>
              </w:rPr>
              <w:t>年的最短持有期限，即：自基金合同生效日（对认购份额而言）、基金份额申购确认日（对申购份额而言）至该日</w:t>
            </w:r>
            <w:r>
              <w:rPr>
                <w:rFonts w:hint="eastAsia"/>
                <w:color w:val="000000"/>
                <w:sz w:val="21"/>
                <w:szCs w:val="21"/>
                <w:lang w:val="en-US"/>
              </w:rPr>
              <w:t>5</w:t>
            </w:r>
            <w:r>
              <w:rPr>
                <w:rFonts w:hint="eastAsia"/>
                <w:color w:val="000000"/>
                <w:sz w:val="21"/>
                <w:szCs w:val="21"/>
                <w:lang w:val="en-US"/>
              </w:rPr>
              <w:t>年后的年度对日的期间内，投资者不能提出赎回申请；该日</w:t>
            </w:r>
            <w:r>
              <w:rPr>
                <w:rFonts w:hint="eastAsia"/>
                <w:color w:val="000000"/>
                <w:sz w:val="21"/>
                <w:szCs w:val="21"/>
                <w:lang w:val="en-US"/>
              </w:rPr>
              <w:t>5</w:t>
            </w:r>
            <w:r>
              <w:rPr>
                <w:rFonts w:hint="eastAsia"/>
                <w:color w:val="000000"/>
                <w:sz w:val="21"/>
                <w:szCs w:val="21"/>
                <w:lang w:val="en-US"/>
              </w:rPr>
              <w:t>年后的年度对日之后的第</w:t>
            </w:r>
            <w:r>
              <w:rPr>
                <w:rFonts w:hint="eastAsia"/>
                <w:color w:val="000000"/>
                <w:sz w:val="21"/>
                <w:szCs w:val="21"/>
                <w:lang w:val="en-US"/>
              </w:rPr>
              <w:t>1</w:t>
            </w:r>
            <w:r>
              <w:rPr>
                <w:rFonts w:hint="eastAsia"/>
                <w:color w:val="000000"/>
                <w:sz w:val="21"/>
                <w:szCs w:val="21"/>
                <w:lang w:val="en-US"/>
              </w:rPr>
              <w:t>个工作日起，投资者可以提</w:t>
            </w:r>
            <w:r>
              <w:rPr>
                <w:rFonts w:hint="eastAsia"/>
                <w:color w:val="000000"/>
                <w:sz w:val="21"/>
                <w:szCs w:val="21"/>
                <w:lang w:val="en-US"/>
              </w:rPr>
              <w:t>出赎回申请。目标日期到达后即</w:t>
            </w:r>
            <w:r>
              <w:rPr>
                <w:rFonts w:hint="eastAsia"/>
                <w:color w:val="000000"/>
                <w:sz w:val="21"/>
                <w:szCs w:val="21"/>
                <w:lang w:val="en-US"/>
              </w:rPr>
              <w:t>2051</w:t>
            </w:r>
            <w:r>
              <w:rPr>
                <w:rFonts w:hint="eastAsia"/>
                <w:color w:val="000000"/>
                <w:sz w:val="21"/>
                <w:szCs w:val="21"/>
                <w:lang w:val="en-US"/>
              </w:rPr>
              <w:t>年</w:t>
            </w:r>
            <w:r>
              <w:rPr>
                <w:rFonts w:hint="eastAsia"/>
                <w:color w:val="000000"/>
                <w:sz w:val="21"/>
                <w:szCs w:val="21"/>
                <w:lang w:val="en-US"/>
              </w:rPr>
              <w:t>1</w:t>
            </w:r>
            <w:r>
              <w:rPr>
                <w:rFonts w:hint="eastAsia"/>
                <w:color w:val="000000"/>
                <w:sz w:val="21"/>
                <w:szCs w:val="21"/>
                <w:lang w:val="en-US"/>
              </w:rPr>
              <w:t>月</w:t>
            </w:r>
            <w:r>
              <w:rPr>
                <w:rFonts w:hint="eastAsia"/>
                <w:color w:val="000000"/>
                <w:sz w:val="21"/>
                <w:szCs w:val="21"/>
                <w:lang w:val="en-US"/>
              </w:rPr>
              <w:t>1</w:t>
            </w:r>
            <w:r>
              <w:rPr>
                <w:rFonts w:hint="eastAsia"/>
                <w:color w:val="000000"/>
                <w:sz w:val="21"/>
                <w:szCs w:val="21"/>
                <w:lang w:val="en-US"/>
              </w:rPr>
              <w:t>日起，本基金名称变更为“东方泰成混合型基金中基金（</w:t>
            </w:r>
            <w:r>
              <w:rPr>
                <w:rFonts w:hint="eastAsia"/>
                <w:color w:val="000000"/>
                <w:sz w:val="21"/>
                <w:szCs w:val="21"/>
                <w:lang w:val="en-US"/>
              </w:rPr>
              <w:t>FOF</w:t>
            </w:r>
            <w:r>
              <w:rPr>
                <w:rFonts w:hint="eastAsia"/>
                <w:color w:val="000000"/>
                <w:sz w:val="21"/>
                <w:szCs w:val="21"/>
                <w:lang w:val="en-US"/>
              </w:rPr>
              <w:t>）”，本基金不再设置每份基金份额的锁定期，申购、赎回等业务将按照普通开放式基金规则办理。基金份额持有人在转型前申购本基金，至转型日持有基金份额不足</w:t>
            </w:r>
            <w:r>
              <w:rPr>
                <w:rFonts w:hint="eastAsia"/>
                <w:color w:val="000000"/>
                <w:sz w:val="21"/>
                <w:szCs w:val="21"/>
                <w:lang w:val="en-US"/>
              </w:rPr>
              <w:t>5</w:t>
            </w:r>
            <w:r>
              <w:rPr>
                <w:rFonts w:hint="eastAsia"/>
                <w:color w:val="000000"/>
                <w:sz w:val="21"/>
                <w:szCs w:val="21"/>
                <w:lang w:val="en-US"/>
              </w:rPr>
              <w:t>年的，在转型日之后的第</w:t>
            </w:r>
            <w:r>
              <w:rPr>
                <w:rFonts w:hint="eastAsia"/>
                <w:color w:val="000000"/>
                <w:sz w:val="21"/>
                <w:szCs w:val="21"/>
                <w:lang w:val="en-US"/>
              </w:rPr>
              <w:t>1</w:t>
            </w:r>
            <w:r>
              <w:rPr>
                <w:rFonts w:hint="eastAsia"/>
                <w:color w:val="000000"/>
                <w:sz w:val="21"/>
                <w:szCs w:val="21"/>
                <w:lang w:val="en-US"/>
              </w:rPr>
              <w:t>个工作日起可以提出赎回申请，不受</w:t>
            </w:r>
            <w:r>
              <w:rPr>
                <w:rFonts w:hint="eastAsia"/>
                <w:color w:val="000000"/>
                <w:sz w:val="21"/>
                <w:szCs w:val="21"/>
                <w:lang w:val="en-US"/>
              </w:rPr>
              <w:t>5</w:t>
            </w:r>
            <w:r>
              <w:rPr>
                <w:rFonts w:hint="eastAsia"/>
                <w:color w:val="000000"/>
                <w:sz w:val="21"/>
                <w:szCs w:val="21"/>
                <w:lang w:val="en-US"/>
              </w:rPr>
              <w:t>年持有期限制。</w:t>
            </w:r>
          </w:p>
          <w:p w:rsidR="00BB01CE" w:rsidRDefault="00080B90">
            <w:pPr>
              <w:rPr>
                <w:color w:val="000000"/>
                <w:sz w:val="21"/>
                <w:szCs w:val="21"/>
                <w:lang w:val="en-US"/>
              </w:rPr>
            </w:pPr>
            <w:r>
              <w:rPr>
                <w:rFonts w:hint="eastAsia"/>
                <w:color w:val="000000"/>
                <w:sz w:val="21"/>
                <w:szCs w:val="21"/>
                <w:lang w:val="en-US"/>
              </w:rPr>
              <w:t>6.</w:t>
            </w:r>
            <w:r>
              <w:rPr>
                <w:rFonts w:hint="eastAsia"/>
                <w:color w:val="000000"/>
                <w:sz w:val="21"/>
                <w:szCs w:val="21"/>
                <w:lang w:val="en-US"/>
              </w:rPr>
              <w:t>东方锦合一年定期开放债券型发起式证券投资基金销售对象为符合法律法规规定的可投资于证券投资基金的机构投资者、合格境外投资者、发起资金提供方以及法律法规或中国证监会允许购买证券投资基金的其他</w:t>
            </w:r>
            <w:r>
              <w:rPr>
                <w:rFonts w:hint="eastAsia"/>
                <w:color w:val="000000"/>
                <w:sz w:val="21"/>
                <w:szCs w:val="21"/>
                <w:lang w:val="en-US"/>
              </w:rPr>
              <w:t>投资人。本基金不向个人投资者公开销售。本基金尚在封闭期内，待封闭期结束，本公司会及时发布相关开放公告，敬请留意。具体业务办理流程、规则请遵循相关销售机构的规定。</w:t>
            </w:r>
          </w:p>
          <w:p w:rsidR="00BB01CE" w:rsidRDefault="00080B90">
            <w:pPr>
              <w:numPr>
                <w:ilvl w:val="255"/>
                <w:numId w:val="0"/>
              </w:numPr>
              <w:rPr>
                <w:color w:val="000000"/>
                <w:sz w:val="21"/>
                <w:szCs w:val="21"/>
                <w:lang w:val="en-US"/>
              </w:rPr>
            </w:pPr>
            <w:r>
              <w:rPr>
                <w:rFonts w:hint="eastAsia"/>
                <w:color w:val="000000"/>
                <w:sz w:val="21"/>
                <w:szCs w:val="21"/>
                <w:lang w:val="en-US"/>
              </w:rPr>
              <w:t>7.</w:t>
            </w:r>
            <w:r>
              <w:rPr>
                <w:color w:val="000000"/>
                <w:sz w:val="21"/>
                <w:szCs w:val="21"/>
                <w:lang w:val="en-US"/>
              </w:rPr>
              <w:t>自</w:t>
            </w:r>
            <w:r>
              <w:rPr>
                <w:color w:val="000000"/>
                <w:sz w:val="21"/>
                <w:szCs w:val="21"/>
                <w:lang w:val="en-US"/>
              </w:rPr>
              <w:t>2024</w:t>
            </w:r>
            <w:r>
              <w:rPr>
                <w:color w:val="000000"/>
                <w:sz w:val="21"/>
                <w:szCs w:val="21"/>
                <w:lang w:val="en-US"/>
              </w:rPr>
              <w:t>年</w:t>
            </w:r>
            <w:r>
              <w:rPr>
                <w:color w:val="000000"/>
                <w:sz w:val="21"/>
                <w:szCs w:val="21"/>
                <w:lang w:val="en-US"/>
              </w:rPr>
              <w:t>11</w:t>
            </w:r>
            <w:r>
              <w:rPr>
                <w:color w:val="000000"/>
                <w:sz w:val="21"/>
                <w:szCs w:val="21"/>
                <w:lang w:val="en-US"/>
              </w:rPr>
              <w:t>月</w:t>
            </w:r>
            <w:r>
              <w:rPr>
                <w:color w:val="000000"/>
                <w:sz w:val="21"/>
                <w:szCs w:val="21"/>
                <w:lang w:val="en-US"/>
              </w:rPr>
              <w:t>28</w:t>
            </w:r>
            <w:r>
              <w:rPr>
                <w:color w:val="000000"/>
                <w:sz w:val="21"/>
                <w:szCs w:val="21"/>
                <w:lang w:val="en-US"/>
              </w:rPr>
              <w:t>日起，本基金管理人暂停接受对</w:t>
            </w:r>
            <w:r>
              <w:rPr>
                <w:rFonts w:hint="eastAsia"/>
                <w:color w:val="000000"/>
                <w:sz w:val="21"/>
                <w:szCs w:val="21"/>
                <w:lang w:val="en-US"/>
              </w:rPr>
              <w:t>东方臻宝纯债债券型证券投资基金</w:t>
            </w:r>
            <w:r>
              <w:rPr>
                <w:color w:val="000000"/>
                <w:sz w:val="21"/>
                <w:szCs w:val="21"/>
                <w:lang w:val="en-US"/>
              </w:rPr>
              <w:t>的单笔金额</w:t>
            </w:r>
            <w:r>
              <w:rPr>
                <w:color w:val="000000"/>
                <w:sz w:val="21"/>
                <w:szCs w:val="21"/>
                <w:lang w:val="en-US"/>
              </w:rPr>
              <w:t>3</w:t>
            </w:r>
            <w:r>
              <w:rPr>
                <w:color w:val="000000"/>
                <w:sz w:val="21"/>
                <w:szCs w:val="21"/>
                <w:lang w:val="en-US"/>
              </w:rPr>
              <w:t>万元以上（不含</w:t>
            </w:r>
            <w:r>
              <w:rPr>
                <w:color w:val="000000"/>
                <w:sz w:val="21"/>
                <w:szCs w:val="21"/>
                <w:lang w:val="en-US"/>
              </w:rPr>
              <w:t>3</w:t>
            </w:r>
            <w:r>
              <w:rPr>
                <w:color w:val="000000"/>
                <w:sz w:val="21"/>
                <w:szCs w:val="21"/>
                <w:lang w:val="en-US"/>
              </w:rPr>
              <w:t>万元）申购（包括日常申购和定期定额申购）、转换转入申请，且单个基金账户单日累计申购（包括日常申购和定期定额申购）及转换转入金额不得超过</w:t>
            </w:r>
            <w:r>
              <w:rPr>
                <w:color w:val="000000"/>
                <w:sz w:val="21"/>
                <w:szCs w:val="21"/>
                <w:lang w:val="en-US"/>
              </w:rPr>
              <w:t>3</w:t>
            </w:r>
            <w:r>
              <w:rPr>
                <w:color w:val="000000"/>
                <w:sz w:val="21"/>
                <w:szCs w:val="21"/>
                <w:lang w:val="en-US"/>
              </w:rPr>
              <w:t>万元（不含</w:t>
            </w:r>
            <w:r>
              <w:rPr>
                <w:color w:val="000000"/>
                <w:sz w:val="21"/>
                <w:szCs w:val="21"/>
                <w:lang w:val="en-US"/>
              </w:rPr>
              <w:t>3</w:t>
            </w:r>
            <w:r>
              <w:rPr>
                <w:color w:val="000000"/>
                <w:sz w:val="21"/>
                <w:szCs w:val="21"/>
                <w:lang w:val="en-US"/>
              </w:rPr>
              <w:t>万元）。对于超过限额的申请，本基金管理人有权拒绝，不予确认。</w:t>
            </w:r>
          </w:p>
          <w:p w:rsidR="00BB01CE" w:rsidRDefault="00080B90">
            <w:pPr>
              <w:numPr>
                <w:ilvl w:val="255"/>
                <w:numId w:val="0"/>
              </w:numPr>
              <w:rPr>
                <w:color w:val="000000"/>
                <w:sz w:val="21"/>
                <w:szCs w:val="21"/>
                <w:lang w:val="en-US"/>
              </w:rPr>
            </w:pPr>
            <w:r>
              <w:rPr>
                <w:rFonts w:hint="eastAsia"/>
                <w:color w:val="000000"/>
                <w:sz w:val="21"/>
                <w:szCs w:val="21"/>
                <w:lang w:val="en-US"/>
              </w:rPr>
              <w:t>8.</w:t>
            </w:r>
            <w:r>
              <w:rPr>
                <w:rFonts w:hint="eastAsia"/>
                <w:color w:val="000000"/>
                <w:sz w:val="21"/>
                <w:szCs w:val="21"/>
                <w:lang w:val="en-US"/>
              </w:rPr>
              <w:t>东方鑫享价值成长一年持有</w:t>
            </w:r>
            <w:r>
              <w:rPr>
                <w:rFonts w:hint="eastAsia"/>
                <w:color w:val="000000"/>
                <w:sz w:val="21"/>
                <w:szCs w:val="21"/>
                <w:lang w:val="en-US"/>
              </w:rPr>
              <w:t>期混合型证券投资基金对每份基金份额设置</w:t>
            </w:r>
            <w:r>
              <w:rPr>
                <w:rFonts w:hint="eastAsia"/>
                <w:color w:val="000000"/>
                <w:sz w:val="21"/>
                <w:szCs w:val="21"/>
                <w:lang w:val="en-US"/>
              </w:rPr>
              <w:t>1</w:t>
            </w:r>
            <w:r>
              <w:rPr>
                <w:rFonts w:hint="eastAsia"/>
                <w:color w:val="000000"/>
                <w:sz w:val="21"/>
                <w:szCs w:val="21"/>
                <w:lang w:val="en-US"/>
              </w:rPr>
              <w:t>年的最短持有期限，即：自基金合同生效日（对认购份额而言）、基金份额申购确认日（对申购份额而言）或基金份额转换转入确认日（对转换转入份额而言）至该日次年的年度对日的期间内，投资者不能提出赎回申请；该日次年的年度对日之后，投资者可以提出赎回申请。</w:t>
            </w:r>
          </w:p>
          <w:p w:rsidR="00BB01CE" w:rsidRDefault="00080B90">
            <w:pPr>
              <w:widowControl/>
              <w:numPr>
                <w:ilvl w:val="255"/>
                <w:numId w:val="0"/>
              </w:numPr>
              <w:rPr>
                <w:color w:val="000000"/>
                <w:sz w:val="24"/>
                <w:szCs w:val="24"/>
                <w:lang w:val="en-US"/>
              </w:rPr>
            </w:pPr>
            <w:r>
              <w:rPr>
                <w:rFonts w:hint="eastAsia"/>
                <w:color w:val="000000"/>
                <w:sz w:val="21"/>
                <w:szCs w:val="21"/>
                <w:lang w:val="en-US"/>
              </w:rPr>
              <w:t>后续产品上线及业务开通事宜本公司将另行公告。</w:t>
            </w:r>
          </w:p>
        </w:tc>
      </w:tr>
    </w:tbl>
    <w:p w:rsidR="00BB01CE" w:rsidRDefault="00BB01CE">
      <w:pPr>
        <w:rPr>
          <w:w w:val="95"/>
        </w:rPr>
      </w:pPr>
    </w:p>
    <w:p w:rsidR="00BB01CE" w:rsidRDefault="00080B90">
      <w:pPr>
        <w:pStyle w:val="2"/>
      </w:pPr>
      <w:r>
        <w:rPr>
          <w:rFonts w:hint="eastAsia"/>
          <w:lang w:val="en-US"/>
        </w:rPr>
        <w:t>二</w:t>
      </w:r>
      <w:r>
        <w:t>、重要提示</w:t>
      </w:r>
    </w:p>
    <w:p w:rsidR="00BB01CE" w:rsidRDefault="00080B90">
      <w:pPr>
        <w:pStyle w:val="ae"/>
        <w:numPr>
          <w:ilvl w:val="0"/>
          <w:numId w:val="2"/>
        </w:numPr>
        <w:tabs>
          <w:tab w:val="left" w:pos="861"/>
        </w:tabs>
        <w:spacing w:before="0" w:line="360" w:lineRule="auto"/>
        <w:ind w:left="0" w:firstLine="482"/>
        <w:rPr>
          <w:sz w:val="24"/>
          <w:szCs w:val="24"/>
        </w:rPr>
      </w:pPr>
      <w:r>
        <w:rPr>
          <w:rFonts w:hint="eastAsia"/>
          <w:sz w:val="24"/>
          <w:szCs w:val="24"/>
        </w:rPr>
        <w:t>上述基金费率请详见基金的《基金合同》、《招募说明书</w:t>
      </w:r>
      <w:r>
        <w:rPr>
          <w:sz w:val="24"/>
        </w:rPr>
        <w:t>（更新）</w:t>
      </w:r>
      <w:r>
        <w:rPr>
          <w:rFonts w:hint="eastAsia"/>
          <w:sz w:val="24"/>
          <w:szCs w:val="24"/>
        </w:rPr>
        <w:t>》、《基金产品资料概要》等相关法律文件及本公司发布的最新业务公告。</w:t>
      </w:r>
    </w:p>
    <w:p w:rsidR="00BB01CE" w:rsidRDefault="00080B90">
      <w:pPr>
        <w:pStyle w:val="ae"/>
        <w:numPr>
          <w:ilvl w:val="0"/>
          <w:numId w:val="2"/>
        </w:numPr>
        <w:tabs>
          <w:tab w:val="left" w:pos="861"/>
        </w:tabs>
        <w:spacing w:before="0" w:line="360" w:lineRule="auto"/>
        <w:ind w:left="0" w:firstLine="482"/>
        <w:rPr>
          <w:sz w:val="24"/>
          <w:szCs w:val="24"/>
        </w:rPr>
      </w:pPr>
      <w:r>
        <w:rPr>
          <w:rFonts w:hint="eastAsia"/>
          <w:sz w:val="24"/>
          <w:szCs w:val="24"/>
        </w:rPr>
        <w:t>定期定额投资业务不额外收取手续费用，定期定额申购费率与相关基金的日常的申购费率相同。</w:t>
      </w:r>
    </w:p>
    <w:p w:rsidR="00BB01CE" w:rsidRDefault="00080B90">
      <w:pPr>
        <w:pStyle w:val="ae"/>
        <w:numPr>
          <w:ilvl w:val="0"/>
          <w:numId w:val="2"/>
        </w:numPr>
        <w:tabs>
          <w:tab w:val="left" w:pos="861"/>
        </w:tabs>
        <w:spacing w:before="0" w:line="360" w:lineRule="auto"/>
        <w:ind w:left="0" w:firstLine="482"/>
        <w:rPr>
          <w:sz w:val="24"/>
          <w:szCs w:val="24"/>
          <w:lang w:val="en-US"/>
        </w:rPr>
      </w:pPr>
      <w:r>
        <w:rPr>
          <w:rFonts w:hint="eastAsia"/>
          <w:sz w:val="24"/>
          <w:szCs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BB01CE" w:rsidRDefault="00080B90">
      <w:pPr>
        <w:pStyle w:val="ae"/>
        <w:numPr>
          <w:ilvl w:val="0"/>
          <w:numId w:val="2"/>
        </w:numPr>
        <w:tabs>
          <w:tab w:val="left" w:pos="861"/>
        </w:tabs>
        <w:spacing w:before="0" w:line="360" w:lineRule="auto"/>
        <w:ind w:left="0" w:firstLine="482"/>
        <w:rPr>
          <w:sz w:val="24"/>
          <w:lang w:val="en-US"/>
        </w:rPr>
      </w:pPr>
      <w:r>
        <w:rPr>
          <w:rFonts w:hint="eastAsia"/>
          <w:sz w:val="24"/>
          <w:szCs w:val="24"/>
          <w:lang w:val="en-US"/>
        </w:rPr>
        <w:t>业务办理的业务规则和流程以上述机构的安排和规定为准。相关活动的具体规定如有变化，以上述机构网站或平台的最新公告为准，敬请投资者关注。</w:t>
      </w:r>
    </w:p>
    <w:p w:rsidR="00BB01CE" w:rsidRDefault="00080B90">
      <w:pPr>
        <w:pStyle w:val="a4"/>
        <w:spacing w:before="1" w:line="364" w:lineRule="auto"/>
        <w:ind w:right="4559"/>
        <w:rPr>
          <w:b/>
          <w:w w:val="95"/>
          <w:szCs w:val="22"/>
        </w:rPr>
      </w:pPr>
      <w:r>
        <w:rPr>
          <w:rFonts w:hint="eastAsia"/>
          <w:b/>
          <w:w w:val="95"/>
          <w:szCs w:val="22"/>
          <w:lang w:val="en-US"/>
        </w:rPr>
        <w:t>三</w:t>
      </w:r>
      <w:r>
        <w:rPr>
          <w:b/>
          <w:w w:val="95"/>
          <w:szCs w:val="22"/>
        </w:rPr>
        <w:t>、投资者可通过以下途径咨询有关详情</w:t>
      </w:r>
      <w:bookmarkStart w:id="0" w:name="1.宁波银行股份有限公司"/>
      <w:bookmarkEnd w:id="0"/>
    </w:p>
    <w:p w:rsidR="00BB01CE" w:rsidRDefault="00080B90">
      <w:pPr>
        <w:pStyle w:val="a4"/>
        <w:spacing w:before="161"/>
        <w:rPr>
          <w:spacing w:val="-14"/>
          <w:lang w:val="en-US"/>
        </w:rPr>
      </w:pPr>
      <w:r>
        <w:rPr>
          <w:rFonts w:hint="eastAsia"/>
          <w:spacing w:val="-14"/>
          <w:lang w:val="en-US"/>
        </w:rPr>
        <w:t>1.</w:t>
      </w:r>
      <w:r>
        <w:rPr>
          <w:rFonts w:hint="eastAsia"/>
          <w:spacing w:val="-14"/>
          <w:lang w:val="en-US"/>
        </w:rPr>
        <w:t>华西证券股份有限公司</w:t>
      </w:r>
    </w:p>
    <w:p w:rsidR="00BB01CE" w:rsidRDefault="00080B90">
      <w:pPr>
        <w:pStyle w:val="a4"/>
        <w:spacing w:before="161"/>
        <w:rPr>
          <w:spacing w:val="-14"/>
          <w:lang w:val="en-US"/>
        </w:rPr>
      </w:pPr>
      <w:r>
        <w:rPr>
          <w:rFonts w:hint="eastAsia"/>
          <w:spacing w:val="-14"/>
          <w:lang w:val="en-US"/>
        </w:rPr>
        <w:t>客服电话：</w:t>
      </w:r>
      <w:r>
        <w:rPr>
          <w:rFonts w:hint="eastAsia"/>
          <w:spacing w:val="-14"/>
          <w:lang w:val="en-US"/>
        </w:rPr>
        <w:t>400-8888-818</w:t>
      </w:r>
      <w:r>
        <w:rPr>
          <w:rFonts w:hint="eastAsia"/>
          <w:spacing w:val="-14"/>
          <w:lang w:val="en-US"/>
        </w:rPr>
        <w:t>或</w:t>
      </w:r>
      <w:r>
        <w:rPr>
          <w:rFonts w:hint="eastAsia"/>
          <w:spacing w:val="-14"/>
          <w:lang w:val="en-US"/>
        </w:rPr>
        <w:t>95584</w:t>
      </w:r>
    </w:p>
    <w:p w:rsidR="00BB01CE" w:rsidRDefault="00080B90">
      <w:pPr>
        <w:pStyle w:val="a4"/>
        <w:spacing w:before="161"/>
        <w:rPr>
          <w:spacing w:val="-14"/>
          <w:lang w:val="en-US"/>
        </w:rPr>
      </w:pPr>
      <w:r>
        <w:rPr>
          <w:rFonts w:hint="eastAsia"/>
          <w:spacing w:val="-14"/>
          <w:lang w:val="en-US"/>
        </w:rPr>
        <w:t>网址：</w:t>
      </w:r>
      <w:r>
        <w:rPr>
          <w:rFonts w:hint="eastAsia"/>
          <w:spacing w:val="-14"/>
          <w:lang w:val="en-US"/>
        </w:rPr>
        <w:t>www.hx168.com.cn</w:t>
      </w:r>
    </w:p>
    <w:p w:rsidR="00BB01CE" w:rsidRDefault="00080B90">
      <w:pPr>
        <w:pStyle w:val="a4"/>
        <w:spacing w:before="161"/>
        <w:rPr>
          <w:spacing w:val="-14"/>
          <w:lang w:val="en-US"/>
        </w:rPr>
      </w:pPr>
      <w:r>
        <w:rPr>
          <w:rFonts w:hint="eastAsia"/>
          <w:spacing w:val="-14"/>
          <w:lang w:val="en-US"/>
        </w:rPr>
        <w:t>2.</w:t>
      </w:r>
      <w:r>
        <w:rPr>
          <w:rFonts w:hint="eastAsia"/>
          <w:spacing w:val="-14"/>
          <w:lang w:val="en-US"/>
        </w:rPr>
        <w:t>平安证券股份有限公司</w:t>
      </w:r>
    </w:p>
    <w:p w:rsidR="00BB01CE" w:rsidRDefault="00080B90">
      <w:pPr>
        <w:pStyle w:val="a4"/>
        <w:spacing w:before="161"/>
        <w:rPr>
          <w:spacing w:val="-14"/>
          <w:lang w:val="en-US"/>
        </w:rPr>
      </w:pPr>
      <w:r>
        <w:rPr>
          <w:rFonts w:hint="eastAsia"/>
          <w:spacing w:val="-14"/>
          <w:lang w:val="en-US"/>
        </w:rPr>
        <w:t>客服电话：</w:t>
      </w:r>
      <w:r>
        <w:rPr>
          <w:rFonts w:hint="eastAsia"/>
          <w:spacing w:val="-14"/>
          <w:lang w:val="en-US"/>
        </w:rPr>
        <w:t>95511-8</w:t>
      </w:r>
    </w:p>
    <w:p w:rsidR="00BB01CE" w:rsidRDefault="00080B90">
      <w:pPr>
        <w:pStyle w:val="a4"/>
        <w:spacing w:before="161"/>
        <w:rPr>
          <w:spacing w:val="-14"/>
          <w:lang w:val="en-US"/>
        </w:rPr>
      </w:pPr>
      <w:r>
        <w:rPr>
          <w:rFonts w:hint="eastAsia"/>
          <w:spacing w:val="-14"/>
          <w:lang w:val="en-US"/>
        </w:rPr>
        <w:t>网址：</w:t>
      </w:r>
      <w:r>
        <w:rPr>
          <w:rFonts w:hint="eastAsia"/>
          <w:spacing w:val="-14"/>
          <w:lang w:val="en-US"/>
        </w:rPr>
        <w:t>stock.pingan.com</w:t>
      </w:r>
    </w:p>
    <w:p w:rsidR="00BB01CE" w:rsidRDefault="00080B90">
      <w:pPr>
        <w:pStyle w:val="a4"/>
        <w:spacing w:before="161"/>
        <w:rPr>
          <w:lang w:val="en-US"/>
        </w:rPr>
      </w:pPr>
      <w:r>
        <w:rPr>
          <w:rFonts w:hint="eastAsia"/>
          <w:spacing w:val="-14"/>
          <w:lang w:val="en-US"/>
        </w:rPr>
        <w:t>3.</w:t>
      </w:r>
      <w:r>
        <w:t>本公司客户服务中心电话</w:t>
      </w:r>
      <w:r>
        <w:rPr>
          <w:lang w:val="en-US"/>
        </w:rPr>
        <w:t>：</w:t>
      </w:r>
      <w:r>
        <w:rPr>
          <w:lang w:val="en-US"/>
        </w:rPr>
        <w:t>400-628-5888</w:t>
      </w:r>
    </w:p>
    <w:p w:rsidR="00BB01CE" w:rsidRDefault="00080B90">
      <w:pPr>
        <w:pStyle w:val="a4"/>
        <w:spacing w:line="364" w:lineRule="auto"/>
        <w:ind w:left="0" w:right="3839" w:firstLineChars="100" w:firstLine="224"/>
        <w:rPr>
          <w:b/>
          <w:lang w:val="en-US"/>
        </w:rPr>
      </w:pPr>
      <w:r>
        <w:rPr>
          <w:rFonts w:hint="eastAsia"/>
          <w:spacing w:val="-8"/>
          <w:lang w:val="en-US"/>
        </w:rPr>
        <w:t>网址：</w:t>
      </w:r>
      <w:hyperlink r:id="rId7">
        <w:r>
          <w:rPr>
            <w:lang w:val="en-US"/>
          </w:rPr>
          <w:t>www.orient-fund.com</w:t>
        </w:r>
      </w:hyperlink>
    </w:p>
    <w:p w:rsidR="00BB01CE" w:rsidRDefault="00080B90">
      <w:pPr>
        <w:pStyle w:val="a4"/>
        <w:spacing w:line="364" w:lineRule="auto"/>
        <w:ind w:right="3839"/>
        <w:rPr>
          <w:b/>
        </w:rPr>
      </w:pPr>
      <w:r>
        <w:rPr>
          <w:b/>
        </w:rPr>
        <w:t>风险提示：</w:t>
      </w:r>
    </w:p>
    <w:p w:rsidR="00BB01CE" w:rsidRDefault="00080B90">
      <w:pPr>
        <w:pStyle w:val="a4"/>
        <w:spacing w:before="1" w:line="360" w:lineRule="auto"/>
        <w:ind w:left="0" w:right="239" w:firstLineChars="200" w:firstLine="480"/>
        <w:jc w:val="both"/>
      </w:pPr>
      <w:r>
        <w:t>基金管理人承诺以诚实信用、勤勉尽责的原则管理和运用基金资产，但不保证基金一定盈利，也不保证最低收益。</w:t>
      </w:r>
      <w:r>
        <w:rPr>
          <w:rFonts w:hint="eastAsia"/>
        </w:rPr>
        <w:t>基金的过往业绩及其净值高低</w:t>
      </w:r>
      <w:r>
        <w:rPr>
          <w:rFonts w:hint="eastAsia"/>
        </w:rPr>
        <w:t>并不预示其未来业绩表现。</w:t>
      </w:r>
      <w:r>
        <w:t>基金管理人管理的基金业绩不构成对其他基金业绩表现的保证。基金管理人提醒投资人遵循基金投资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BB01CE" w:rsidRDefault="00080B90">
      <w:pPr>
        <w:pStyle w:val="a4"/>
        <w:spacing w:before="1" w:line="360" w:lineRule="auto"/>
        <w:ind w:right="239" w:firstLine="480"/>
        <w:jc w:val="both"/>
      </w:pPr>
      <w:r>
        <w:t>特此公告。</w:t>
      </w:r>
    </w:p>
    <w:p w:rsidR="00BB01CE" w:rsidRDefault="00080B90">
      <w:pPr>
        <w:spacing w:line="364" w:lineRule="auto"/>
        <w:jc w:val="right"/>
        <w:rPr>
          <w:sz w:val="24"/>
          <w:szCs w:val="24"/>
        </w:rPr>
      </w:pPr>
      <w:r>
        <w:rPr>
          <w:sz w:val="24"/>
          <w:szCs w:val="24"/>
        </w:rPr>
        <w:t>东方基金管理股份有限公</w:t>
      </w:r>
      <w:r>
        <w:rPr>
          <w:rFonts w:hint="eastAsia"/>
          <w:sz w:val="24"/>
          <w:szCs w:val="24"/>
        </w:rPr>
        <w:t>司</w:t>
      </w:r>
      <w:bookmarkStart w:id="1" w:name="_GoBack"/>
      <w:bookmarkEnd w:id="1"/>
    </w:p>
    <w:p w:rsidR="00BB01CE" w:rsidRDefault="00080B90">
      <w:pPr>
        <w:jc w:val="right"/>
      </w:pPr>
      <w:r>
        <w:rPr>
          <w:sz w:val="24"/>
          <w:szCs w:val="24"/>
        </w:rPr>
        <w:t>二〇二</w:t>
      </w:r>
      <w:r>
        <w:rPr>
          <w:rFonts w:hint="eastAsia"/>
          <w:sz w:val="24"/>
          <w:szCs w:val="24"/>
          <w:lang w:val="en-US"/>
        </w:rPr>
        <w:t>五</w:t>
      </w:r>
      <w:r>
        <w:rPr>
          <w:sz w:val="24"/>
          <w:szCs w:val="24"/>
        </w:rPr>
        <w:t>年</w:t>
      </w:r>
      <w:r>
        <w:rPr>
          <w:rFonts w:hint="eastAsia"/>
          <w:sz w:val="24"/>
          <w:szCs w:val="24"/>
          <w:lang w:val="en-US"/>
        </w:rPr>
        <w:t>四</w:t>
      </w:r>
      <w:r>
        <w:rPr>
          <w:sz w:val="24"/>
          <w:szCs w:val="24"/>
        </w:rPr>
        <w:t>月</w:t>
      </w:r>
      <w:r>
        <w:rPr>
          <w:rFonts w:hint="eastAsia"/>
          <w:sz w:val="24"/>
          <w:szCs w:val="24"/>
          <w:lang w:val="en-US"/>
        </w:rPr>
        <w:t>二</w:t>
      </w:r>
      <w:r>
        <w:rPr>
          <w:sz w:val="24"/>
          <w:szCs w:val="24"/>
        </w:rPr>
        <w:t>日</w:t>
      </w:r>
    </w:p>
    <w:p w:rsidR="00BB01CE" w:rsidRDefault="00BB01CE"/>
    <w:sectPr w:rsidR="00BB01CE" w:rsidSect="00BB01CE">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1CE" w:rsidRDefault="00BB01CE"/>
  </w:endnote>
  <w:endnote w:type="continuationSeparator" w:id="0">
    <w:p w:rsidR="00BB01CE" w:rsidRDefault="00BB01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1CE" w:rsidRDefault="00BB01CE"/>
  </w:footnote>
  <w:footnote w:type="continuationSeparator" w:id="0">
    <w:p w:rsidR="00BB01CE" w:rsidRDefault="00BB01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C4CCB"/>
    <w:multiLevelType w:val="singleLevel"/>
    <w:tmpl w:val="C78C4CCB"/>
    <w:lvl w:ilvl="0">
      <w:start w:val="1"/>
      <w:numFmt w:val="chineseCounting"/>
      <w:suff w:val="nothing"/>
      <w:lvlText w:val="%1、"/>
      <w:lvlJc w:val="left"/>
      <w:rPr>
        <w:rFonts w:hint="eastAsia"/>
      </w:rPr>
    </w:lvl>
  </w:abstractNum>
  <w:abstractNum w:abstractNumId="1">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hMDUxNThhNDBmZmJmOGUwNTMyNjAzZDFhODEwNmIifQ=="/>
    <w:docVar w:name="KSO_WPS_MARK_KEY" w:val="3f42b576-a8e2-42e4-9c68-ee0269888ec6"/>
  </w:docVars>
  <w:rsids>
    <w:rsidRoot w:val="25D16C29"/>
    <w:rsid w:val="00080B90"/>
    <w:rsid w:val="00087B53"/>
    <w:rsid w:val="00172861"/>
    <w:rsid w:val="002220B1"/>
    <w:rsid w:val="0039762A"/>
    <w:rsid w:val="003A4015"/>
    <w:rsid w:val="00503E6A"/>
    <w:rsid w:val="00534C1F"/>
    <w:rsid w:val="005871BD"/>
    <w:rsid w:val="005E67A0"/>
    <w:rsid w:val="00656658"/>
    <w:rsid w:val="00877AAF"/>
    <w:rsid w:val="00A12B13"/>
    <w:rsid w:val="00A31BF3"/>
    <w:rsid w:val="00A32308"/>
    <w:rsid w:val="00BB01CE"/>
    <w:rsid w:val="00EB718B"/>
    <w:rsid w:val="00F107D3"/>
    <w:rsid w:val="00F37C3A"/>
    <w:rsid w:val="00F649F1"/>
    <w:rsid w:val="00FA5A3D"/>
    <w:rsid w:val="00FD0AA6"/>
    <w:rsid w:val="00FE206F"/>
    <w:rsid w:val="010960A3"/>
    <w:rsid w:val="0A7F1F9C"/>
    <w:rsid w:val="0DDD58FD"/>
    <w:rsid w:val="10CC7973"/>
    <w:rsid w:val="11B150E0"/>
    <w:rsid w:val="13DE7C07"/>
    <w:rsid w:val="14863B07"/>
    <w:rsid w:val="15B60A2A"/>
    <w:rsid w:val="163B15D8"/>
    <w:rsid w:val="1F8B0281"/>
    <w:rsid w:val="21BF2778"/>
    <w:rsid w:val="25D16C29"/>
    <w:rsid w:val="26C85066"/>
    <w:rsid w:val="31B93423"/>
    <w:rsid w:val="32A321E0"/>
    <w:rsid w:val="40ED378D"/>
    <w:rsid w:val="421566C0"/>
    <w:rsid w:val="46EA45FC"/>
    <w:rsid w:val="4BF17A2B"/>
    <w:rsid w:val="4DA61B17"/>
    <w:rsid w:val="50DE2EE2"/>
    <w:rsid w:val="5BA34148"/>
    <w:rsid w:val="5BB82CF7"/>
    <w:rsid w:val="61506D4D"/>
    <w:rsid w:val="61CB49E4"/>
    <w:rsid w:val="678053AC"/>
    <w:rsid w:val="71974AEA"/>
    <w:rsid w:val="73CE60D5"/>
    <w:rsid w:val="77652B67"/>
    <w:rsid w:val="79F87DAE"/>
    <w:rsid w:val="7F001FA6"/>
    <w:rsid w:val="7F444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B01CE"/>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BB01CE"/>
    <w:pPr>
      <w:spacing w:before="3"/>
      <w:ind w:left="220"/>
      <w:outlineLvl w:val="0"/>
    </w:pPr>
    <w:rPr>
      <w:b/>
      <w:bCs/>
      <w:sz w:val="24"/>
      <w:szCs w:val="24"/>
    </w:rPr>
  </w:style>
  <w:style w:type="paragraph" w:styleId="2">
    <w:name w:val="heading 2"/>
    <w:basedOn w:val="a"/>
    <w:next w:val="a"/>
    <w:autoRedefine/>
    <w:uiPriority w:val="1"/>
    <w:qFormat/>
    <w:rsid w:val="00BB01CE"/>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BB01CE"/>
  </w:style>
  <w:style w:type="paragraph" w:styleId="a4">
    <w:name w:val="Body Text"/>
    <w:basedOn w:val="a"/>
    <w:autoRedefine/>
    <w:uiPriority w:val="1"/>
    <w:qFormat/>
    <w:rsid w:val="00BB01CE"/>
    <w:pPr>
      <w:spacing w:before="160"/>
      <w:ind w:left="220"/>
    </w:pPr>
    <w:rPr>
      <w:sz w:val="24"/>
      <w:szCs w:val="24"/>
    </w:rPr>
  </w:style>
  <w:style w:type="paragraph" w:styleId="a5">
    <w:name w:val="Balloon Text"/>
    <w:basedOn w:val="a"/>
    <w:link w:val="Char0"/>
    <w:qFormat/>
    <w:rsid w:val="00BB01CE"/>
    <w:rPr>
      <w:sz w:val="18"/>
      <w:szCs w:val="18"/>
    </w:rPr>
  </w:style>
  <w:style w:type="paragraph" w:styleId="a6">
    <w:name w:val="footer"/>
    <w:basedOn w:val="a"/>
    <w:link w:val="Char1"/>
    <w:autoRedefine/>
    <w:qFormat/>
    <w:rsid w:val="00BB01CE"/>
    <w:pPr>
      <w:tabs>
        <w:tab w:val="center" w:pos="4153"/>
        <w:tab w:val="right" w:pos="8306"/>
      </w:tabs>
      <w:snapToGrid w:val="0"/>
    </w:pPr>
    <w:rPr>
      <w:sz w:val="18"/>
      <w:szCs w:val="18"/>
    </w:rPr>
  </w:style>
  <w:style w:type="paragraph" w:styleId="a7">
    <w:name w:val="header"/>
    <w:basedOn w:val="a"/>
    <w:link w:val="Char2"/>
    <w:qFormat/>
    <w:rsid w:val="00BB01CE"/>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BB01CE"/>
    <w:rPr>
      <w:rFonts w:cs="Times New Roman"/>
      <w:sz w:val="24"/>
      <w:lang w:val="en-US" w:bidi="ar-SA"/>
    </w:rPr>
  </w:style>
  <w:style w:type="paragraph" w:styleId="a9">
    <w:name w:val="annotation subject"/>
    <w:basedOn w:val="a3"/>
    <w:next w:val="a3"/>
    <w:link w:val="Char3"/>
    <w:qFormat/>
    <w:rsid w:val="00BB01CE"/>
    <w:rPr>
      <w:b/>
      <w:bCs/>
    </w:rPr>
  </w:style>
  <w:style w:type="table" w:styleId="aa">
    <w:name w:val="Table Grid"/>
    <w:basedOn w:val="a1"/>
    <w:qFormat/>
    <w:rsid w:val="00BB01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autoRedefine/>
    <w:qFormat/>
    <w:rsid w:val="00BB01CE"/>
    <w:rPr>
      <w:color w:val="555555"/>
      <w:u w:val="none"/>
    </w:rPr>
  </w:style>
  <w:style w:type="character" w:styleId="ac">
    <w:name w:val="Hyperlink"/>
    <w:basedOn w:val="a0"/>
    <w:autoRedefine/>
    <w:qFormat/>
    <w:rsid w:val="00BB01CE"/>
    <w:rPr>
      <w:color w:val="555555"/>
      <w:u w:val="none"/>
    </w:rPr>
  </w:style>
  <w:style w:type="character" w:styleId="ad">
    <w:name w:val="annotation reference"/>
    <w:basedOn w:val="a0"/>
    <w:autoRedefine/>
    <w:qFormat/>
    <w:rsid w:val="00BB01CE"/>
    <w:rPr>
      <w:sz w:val="21"/>
      <w:szCs w:val="21"/>
    </w:rPr>
  </w:style>
  <w:style w:type="paragraph" w:styleId="ae">
    <w:name w:val="List Paragraph"/>
    <w:basedOn w:val="a"/>
    <w:autoRedefine/>
    <w:uiPriority w:val="1"/>
    <w:qFormat/>
    <w:rsid w:val="00BB01CE"/>
    <w:pPr>
      <w:spacing w:before="160"/>
      <w:ind w:left="220" w:hanging="241"/>
    </w:pPr>
  </w:style>
  <w:style w:type="paragraph" w:customStyle="1" w:styleId="TableParagraph">
    <w:name w:val="Table Paragraph"/>
    <w:basedOn w:val="a"/>
    <w:autoRedefine/>
    <w:uiPriority w:val="1"/>
    <w:qFormat/>
    <w:rsid w:val="00BB01CE"/>
    <w:pPr>
      <w:spacing w:before="42"/>
      <w:ind w:left="161"/>
      <w:jc w:val="center"/>
    </w:pPr>
  </w:style>
  <w:style w:type="character" w:customStyle="1" w:styleId="ico1">
    <w:name w:val="ico1"/>
    <w:basedOn w:val="a0"/>
    <w:autoRedefine/>
    <w:qFormat/>
    <w:rsid w:val="00BB01CE"/>
  </w:style>
  <w:style w:type="character" w:customStyle="1" w:styleId="ico2">
    <w:name w:val="ico2"/>
    <w:basedOn w:val="a0"/>
    <w:autoRedefine/>
    <w:qFormat/>
    <w:rsid w:val="00BB01CE"/>
  </w:style>
  <w:style w:type="character" w:customStyle="1" w:styleId="ico3">
    <w:name w:val="ico3"/>
    <w:basedOn w:val="a0"/>
    <w:autoRedefine/>
    <w:qFormat/>
    <w:rsid w:val="00BB01CE"/>
  </w:style>
  <w:style w:type="character" w:customStyle="1" w:styleId="new">
    <w:name w:val="new"/>
    <w:basedOn w:val="a0"/>
    <w:autoRedefine/>
    <w:qFormat/>
    <w:rsid w:val="00BB01CE"/>
  </w:style>
  <w:style w:type="character" w:customStyle="1" w:styleId="ico4">
    <w:name w:val="ico4"/>
    <w:basedOn w:val="a0"/>
    <w:autoRedefine/>
    <w:qFormat/>
    <w:rsid w:val="00BB01CE"/>
  </w:style>
  <w:style w:type="character" w:customStyle="1" w:styleId="Char2">
    <w:name w:val="页眉 Char"/>
    <w:basedOn w:val="a0"/>
    <w:link w:val="a7"/>
    <w:autoRedefine/>
    <w:qFormat/>
    <w:rsid w:val="00BB01CE"/>
    <w:rPr>
      <w:rFonts w:ascii="仿宋" w:eastAsia="仿宋" w:hAnsi="仿宋" w:cs="仿宋"/>
      <w:sz w:val="18"/>
      <w:szCs w:val="18"/>
      <w:lang w:val="zh-CN" w:bidi="zh-CN"/>
    </w:rPr>
  </w:style>
  <w:style w:type="character" w:customStyle="1" w:styleId="Char1">
    <w:name w:val="页脚 Char"/>
    <w:basedOn w:val="a0"/>
    <w:link w:val="a6"/>
    <w:autoRedefine/>
    <w:qFormat/>
    <w:rsid w:val="00BB01CE"/>
    <w:rPr>
      <w:rFonts w:ascii="仿宋" w:eastAsia="仿宋" w:hAnsi="仿宋" w:cs="仿宋"/>
      <w:sz w:val="18"/>
      <w:szCs w:val="18"/>
      <w:lang w:val="zh-CN" w:bidi="zh-CN"/>
    </w:rPr>
  </w:style>
  <w:style w:type="character" w:customStyle="1" w:styleId="Char">
    <w:name w:val="批注文字 Char"/>
    <w:basedOn w:val="a0"/>
    <w:link w:val="a3"/>
    <w:qFormat/>
    <w:rsid w:val="00BB01CE"/>
    <w:rPr>
      <w:rFonts w:ascii="仿宋" w:eastAsia="仿宋" w:hAnsi="仿宋" w:cs="仿宋"/>
      <w:sz w:val="22"/>
      <w:szCs w:val="22"/>
      <w:lang w:val="zh-CN" w:bidi="zh-CN"/>
    </w:rPr>
  </w:style>
  <w:style w:type="character" w:customStyle="1" w:styleId="Char3">
    <w:name w:val="批注主题 Char"/>
    <w:basedOn w:val="Char"/>
    <w:link w:val="a9"/>
    <w:autoRedefine/>
    <w:qFormat/>
    <w:rsid w:val="00BB01CE"/>
    <w:rPr>
      <w:b/>
      <w:bCs/>
    </w:rPr>
  </w:style>
  <w:style w:type="character" w:customStyle="1" w:styleId="Char0">
    <w:name w:val="批注框文本 Char"/>
    <w:basedOn w:val="a0"/>
    <w:link w:val="a5"/>
    <w:autoRedefine/>
    <w:qFormat/>
    <w:rsid w:val="00BB01CE"/>
    <w:rPr>
      <w:rFonts w:ascii="仿宋" w:eastAsia="仿宋" w:hAnsi="仿宋" w:cs="仿宋"/>
      <w:sz w:val="18"/>
      <w:szCs w:val="18"/>
      <w:lang w:val="zh-CN" w:bidi="zh-CN"/>
    </w:rPr>
  </w:style>
  <w:style w:type="character" w:customStyle="1" w:styleId="font21">
    <w:name w:val="font21"/>
    <w:basedOn w:val="a0"/>
    <w:qFormat/>
    <w:rsid w:val="00BB01CE"/>
    <w:rPr>
      <w:rFonts w:ascii="Arial" w:hAnsi="Arial" w:cs="Arial"/>
      <w:color w:val="000000"/>
      <w:sz w:val="20"/>
      <w:szCs w:val="20"/>
      <w:u w:val="none"/>
    </w:rPr>
  </w:style>
  <w:style w:type="character" w:customStyle="1" w:styleId="font11">
    <w:name w:val="font11"/>
    <w:basedOn w:val="a0"/>
    <w:qFormat/>
    <w:rsid w:val="00BB01C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en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4</DocSecurity>
  <Lines>33</Lines>
  <Paragraphs>9</Paragraphs>
  <ScaleCrop>false</ScaleCrop>
  <Company>CNSTOCK</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cp:lastPrinted>2025-03-10T06:18:00Z</cp:lastPrinted>
  <dcterms:created xsi:type="dcterms:W3CDTF">2025-04-01T16:00:00Z</dcterms:created>
  <dcterms:modified xsi:type="dcterms:W3CDTF">2025-04-01T16:00:00Z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166ADFF3D90A45CCBC7A095B31082AC0_13</vt:lpwstr>
  </property>
  <property fmtid="{D5CDD505-2E9C-101B-9397-08002B2CF9AE}" pid="4" name="KSOTemplateDocerSaveRecord">
    <vt:lpwstr>eyJoZGlkIjoiYzBhMDUxNThhNDBmZmJmOGUwNTMyNjAzZDFhODEwNmIiLCJ1c2VySWQiOiIyNjIwNTA5MDQifQ==</vt:lpwstr>
  </property>
</Properties>
</file>