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84CCD" w:rsidP="009218F7">
      <w:pPr>
        <w:spacing w:line="540" w:lineRule="exact"/>
        <w:ind w:firstLineChars="50" w:firstLine="160"/>
        <w:jc w:val="center"/>
        <w:rPr>
          <w:rFonts w:ascii="仿宋" w:eastAsia="仿宋" w:hAnsi="仿宋"/>
          <w:b/>
          <w:color w:val="000000" w:themeColor="text1"/>
          <w:sz w:val="32"/>
          <w:szCs w:val="32"/>
        </w:rPr>
      </w:pPr>
      <w:bookmarkStart w:id="0" w:name="_GoBack"/>
      <w:r>
        <w:rPr>
          <w:rFonts w:ascii="仿宋" w:eastAsia="仿宋" w:hAnsi="仿宋" w:hint="eastAsia"/>
          <w:b/>
          <w:color w:val="000000" w:themeColor="text1"/>
          <w:sz w:val="32"/>
          <w:szCs w:val="32"/>
        </w:rPr>
        <w:t xml:space="preserve"> </w:t>
      </w:r>
      <w:bookmarkStart w:id="1" w:name="PO_reportTitle"/>
      <w:r w:rsidR="00B41C83">
        <w:rPr>
          <w:rFonts w:ascii="仿宋" w:eastAsia="仿宋" w:hAnsi="仿宋" w:hint="eastAsia"/>
          <w:b/>
          <w:color w:val="000000" w:themeColor="text1"/>
          <w:sz w:val="32"/>
          <w:szCs w:val="32"/>
        </w:rPr>
        <w:t>天弘基金管理有限公司旗下全部基金年度报告提示性公告</w:t>
      </w:r>
      <w:bookmarkEnd w:id="1"/>
    </w:p>
    <w:p w:rsidR="00B16987" w:rsidRPr="00584CCD" w:rsidRDefault="00B16987" w:rsidP="009218F7">
      <w:pPr>
        <w:spacing w:line="540" w:lineRule="exact"/>
        <w:ind w:firstLineChars="50" w:firstLine="160"/>
        <w:jc w:val="center"/>
        <w:rPr>
          <w:rFonts w:ascii="仿宋" w:eastAsia="仿宋" w:hAnsi="仿宋"/>
          <w:b/>
          <w:color w:val="000000" w:themeColor="text1"/>
          <w:sz w:val="32"/>
          <w:szCs w:val="32"/>
        </w:rPr>
      </w:pPr>
    </w:p>
    <w:p w:rsidR="00BB3501" w:rsidRPr="00B16987" w:rsidRDefault="00B16987" w:rsidP="00902F34">
      <w:pPr>
        <w:spacing w:line="540" w:lineRule="exact"/>
        <w:ind w:firstLineChars="200" w:firstLine="640"/>
        <w:rPr>
          <w:rFonts w:ascii="仿宋" w:eastAsia="仿宋" w:hAnsi="仿宋"/>
          <w:color w:val="000000" w:themeColor="text1"/>
          <w:sz w:val="32"/>
          <w:szCs w:val="32"/>
        </w:rPr>
      </w:pPr>
      <w:r w:rsidRPr="0043655D">
        <w:rPr>
          <w:rFonts w:ascii="仿宋" w:eastAsia="仿宋" w:hAnsi="仿宋" w:hint="eastAsia"/>
          <w:color w:val="000000" w:themeColor="text1"/>
          <w:sz w:val="32"/>
          <w:szCs w:val="32"/>
        </w:rPr>
        <w:t>本公司董事会及董事保证</w:t>
      </w:r>
      <w:r w:rsidRPr="00B16987">
        <w:rPr>
          <w:rFonts w:ascii="仿宋" w:eastAsia="仿宋" w:hAnsi="仿宋" w:hint="eastAsia"/>
          <w:color w:val="000000" w:themeColor="text1"/>
          <w:sz w:val="32"/>
          <w:szCs w:val="32"/>
        </w:rPr>
        <w:t>基金</w:t>
      </w:r>
      <w:r w:rsidR="00B41C83">
        <w:rPr>
          <w:rFonts w:ascii="仿宋" w:eastAsia="仿宋" w:hAnsi="仿宋" w:hint="eastAsia"/>
          <w:color w:val="000000" w:themeColor="text1"/>
          <w:sz w:val="32"/>
          <w:szCs w:val="32"/>
        </w:rPr>
        <w:t>年度</w:t>
      </w:r>
      <w:r w:rsidRPr="00B16987">
        <w:rPr>
          <w:rFonts w:ascii="仿宋" w:eastAsia="仿宋" w:hAnsi="仿宋" w:hint="eastAsia"/>
          <w:color w:val="000000" w:themeColor="text1"/>
          <w:sz w:val="32"/>
          <w:szCs w:val="32"/>
        </w:rPr>
        <w:t>报告所载资料不存在虚假记载、误导性陈述或重大遗漏，并对其内容的真实性、准确性和完整性承担个别及连带责任。</w:t>
      </w:r>
    </w:p>
    <w:p w:rsidR="00056EE0" w:rsidRDefault="0058597A" w:rsidP="00902F34">
      <w:pPr>
        <w:spacing w:line="540" w:lineRule="exact"/>
        <w:ind w:firstLineChars="200" w:firstLine="640"/>
        <w:rPr>
          <w:rFonts w:ascii="仿宋" w:eastAsia="仿宋" w:hAnsi="仿宋"/>
          <w:color w:val="000000" w:themeColor="text1"/>
          <w:sz w:val="32"/>
          <w:szCs w:val="32"/>
        </w:rPr>
      </w:pPr>
      <w:r w:rsidRPr="0058597A">
        <w:rPr>
          <w:rFonts w:ascii="仿宋" w:eastAsia="仿宋" w:hAnsi="仿宋" w:hint="eastAsia"/>
          <w:color w:val="000000" w:themeColor="text1"/>
          <w:sz w:val="32"/>
          <w:szCs w:val="32"/>
        </w:rPr>
        <w:t>天弘基金管理有限公司</w:t>
      </w:r>
      <w:r w:rsidR="00056EE0">
        <w:rPr>
          <w:rFonts w:ascii="仿宋" w:eastAsia="仿宋" w:hAnsi="仿宋" w:hint="eastAsia"/>
          <w:color w:val="000000" w:themeColor="text1"/>
          <w:sz w:val="32"/>
          <w:szCs w:val="32"/>
        </w:rPr>
        <w:t>旗下</w:t>
      </w:r>
      <w:r w:rsidR="00BC43F4">
        <w:rPr>
          <w:rFonts w:ascii="仿宋" w:eastAsia="仿宋" w:hAnsi="仿宋" w:hint="eastAsia"/>
          <w:color w:val="000000" w:themeColor="text1"/>
          <w:sz w:val="32"/>
          <w:szCs w:val="32"/>
        </w:rPr>
        <w:t>：</w:t>
      </w:r>
    </w:p>
    <w:p w:rsidR="00B41C83" w:rsidRDefault="00B41C83" w:rsidP="008E3E4B">
      <w:pPr>
        <w:spacing w:line="540" w:lineRule="exact"/>
        <w:ind w:firstLineChars="200" w:firstLine="640"/>
        <w:rPr>
          <w:rFonts w:ascii="仿宋" w:eastAsia="仿宋" w:hAnsi="仿宋"/>
          <w:color w:val="000000" w:themeColor="text1"/>
          <w:sz w:val="32"/>
          <w:szCs w:val="32"/>
        </w:rPr>
      </w:pPr>
      <w:bookmarkStart w:id="2" w:name="PO_fundName"/>
      <w:r>
        <w:rPr>
          <w:rFonts w:ascii="仿宋" w:eastAsia="仿宋" w:hAnsi="仿宋" w:hint="eastAsia"/>
          <w:color w:val="000000" w:themeColor="text1"/>
          <w:sz w:val="32"/>
          <w:szCs w:val="32"/>
        </w:rPr>
        <w:t>天弘余额宝货币市场基金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天弘稳利定期开放债券型证券投资基金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天弘弘利债券型证券投资基金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天弘通利混合型证券投资基金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天弘优选债券型证券投资基金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天弘云端生活优选灵活配置混合型证券投资基金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天弘互联网灵活配置混合型证券投资基金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天弘新活力灵活配置混合型发起式证券投资基金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天弘弘运宝货币市场基金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天弘惠利灵活配置混合型证券投资基金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天弘新价值灵活配置混合型证券投资基金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天弘云商宝货币市场基金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50交</w:t>
      </w:r>
      <w:r>
        <w:rPr>
          <w:rFonts w:ascii="仿宋" w:eastAsia="仿宋" w:hAnsi="仿宋" w:hint="eastAsia"/>
          <w:color w:val="000000" w:themeColor="text1"/>
          <w:sz w:val="32"/>
          <w:szCs w:val="32"/>
        </w:rPr>
        <w:t>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w:t>
      </w:r>
      <w:r>
        <w:rPr>
          <w:rFonts w:ascii="仿宋" w:eastAsia="仿宋" w:hAnsi="仿宋"/>
          <w:color w:val="000000" w:themeColor="text1"/>
          <w:sz w:val="32"/>
          <w:szCs w:val="32"/>
        </w:rPr>
        <w:t>100指数型发起式证券投资基金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天弘中证证券保险指数型发起式证券投资基金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500指数增强型证券投资基金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天弘医疗健康混合型证券投资基金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800指数型发起式证券投资基金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天弘裕利灵活配置混合型证券投资基金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天弘价值精选灵活配置混合型发起式证券投资基金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天弘信利债券型证券投资基金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天弘策略精选灵活配置混合型发起式证券投资基金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天弘尊享定期开放债券型发起式证券投资基金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天弘悦享定期开放债券型发起式证券投资基金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天弘荣享定期开放债券型发起式证券投资基金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天弘港股通精选灵活配置混合型发起式证券投资基金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天弘弘丰增强回报债券型证券投资基金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天弘增强回报债券型证券投资基金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天弘优质成长企业精选灵活配置混合型发起式证券投资基金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天弘华享三个月定期开放债券型发起式证券投资基金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天弘安益债券型证券投资基金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天弘标普</w:t>
      </w:r>
      <w:r>
        <w:rPr>
          <w:rFonts w:ascii="仿宋" w:eastAsia="仿宋" w:hAnsi="仿宋"/>
          <w:color w:val="000000" w:themeColor="text1"/>
          <w:sz w:val="32"/>
          <w:szCs w:val="32"/>
        </w:rPr>
        <w:t>500发起式证券投资基金（QDII-FOF）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lastRenderedPageBreak/>
        <w:t>天弘信益债券型证券投资基金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2035三年持有期混合型发起式基金中基金(FOF)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天弘弘新混合型发起式证券投资基金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天弘弘择短债债券型证券投资基金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天弘鑫利三年定期开放债券型证券投资基金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天弘鑫意</w:t>
      </w:r>
      <w:r>
        <w:rPr>
          <w:rFonts w:ascii="仿宋" w:eastAsia="仿宋" w:hAnsi="仿宋"/>
          <w:color w:val="000000" w:themeColor="text1"/>
          <w:sz w:val="32"/>
          <w:szCs w:val="32"/>
        </w:rPr>
        <w:t>39个月定期开放债券型证券投资基金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300指数增强型发起式证券投资基金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天弘永裕稳健养老目标一年持有期混合型基金中基金</w:t>
      </w:r>
      <w:r>
        <w:rPr>
          <w:rFonts w:ascii="仿宋" w:eastAsia="仿宋" w:hAnsi="仿宋"/>
          <w:color w:val="000000" w:themeColor="text1"/>
          <w:sz w:val="32"/>
          <w:szCs w:val="32"/>
        </w:rPr>
        <w:t>(FOF)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天弘季季兴三个月定期开放债券型发起式证券投资基金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天弘增利短债债券型发起式证券投资基金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天弘纯享一年定期开放债券型发起式证券投资基金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天弘兴享一年定期开放债券型发起式证券投资基金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天弘恒享一年定期开放债券型发起式证券投资基金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天弘越南市场股票型发起式证券投资基金</w:t>
      </w:r>
      <w:r>
        <w:rPr>
          <w:rFonts w:ascii="仿宋" w:eastAsia="仿宋" w:hAnsi="仿宋"/>
          <w:color w:val="000000" w:themeColor="text1"/>
          <w:sz w:val="32"/>
          <w:szCs w:val="32"/>
        </w:rPr>
        <w:t>(QDII)</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天弘成享一年定期开放债券型证券投资基金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1-3年国开行债券指数发起式证券投资基金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天弘中证中美互联网指数型发起式证券投资基金（</w:t>
      </w:r>
      <w:r>
        <w:rPr>
          <w:rFonts w:ascii="仿宋" w:eastAsia="仿宋" w:hAnsi="仿宋"/>
          <w:color w:val="000000" w:themeColor="text1"/>
          <w:sz w:val="32"/>
          <w:szCs w:val="32"/>
        </w:rPr>
        <w:t>QDII）</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天弘永裕平衡养老目标三年持有期混合型发起式基金中基金（</w:t>
      </w:r>
      <w:r>
        <w:rPr>
          <w:rFonts w:ascii="仿宋" w:eastAsia="仿宋" w:hAnsi="仿宋"/>
          <w:color w:val="000000" w:themeColor="text1"/>
          <w:sz w:val="32"/>
          <w:szCs w:val="32"/>
        </w:rPr>
        <w:t>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3-5年政策性金融债指数发起式证券投资基金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天弘甄选食品饮料股票型发起式证券投资基金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天弘创新领航混合型证券投资基金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天弘安康颐和混合型证券投资基金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天弘荣创一年持有期混合型证券投资基金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天弘多元收益债券型证券投资基金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天弘安利短债债券型证券投资基金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天弘中证科技</w:t>
      </w:r>
      <w:r>
        <w:rPr>
          <w:rFonts w:ascii="仿宋" w:eastAsia="仿宋" w:hAnsi="仿宋"/>
          <w:color w:val="000000" w:themeColor="text1"/>
          <w:sz w:val="32"/>
          <w:szCs w:val="32"/>
        </w:rPr>
        <w:t>100指数增强型发起式证券投资基金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天弘多利一年定期开放混合型证券投资基金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天弘合益债券型发起式证券投资基金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天弘医药创新混合型证券投资基金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天弘中证农业主题指数型发起式证券投资基金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天弘国证消费</w:t>
      </w:r>
      <w:r>
        <w:rPr>
          <w:rFonts w:ascii="仿宋" w:eastAsia="仿宋" w:hAnsi="仿宋"/>
          <w:color w:val="000000" w:themeColor="text1"/>
          <w:sz w:val="32"/>
          <w:szCs w:val="32"/>
        </w:rPr>
        <w:t>100指数增强型发起式证券投资基金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天弘庆享债券型发起式证券投资基金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天弘创新成长混合型发起式证券投资基金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A50指数型发起式证券投资基金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天弘中证智能汽车主题指数型发起式证券投资基金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天弘恒新混合型证券投资基金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天弘裕新混合型证券投资基金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天弘益新混合型证券投资基金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天弘中证新能源汽车指数型发起式证券投资基金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天弘宁弘六个月持有期混合型证券投资基金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天弘兴益一年定期开放债券型发起式证券投资基金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天弘京津冀主题债券型发起式证券投资基金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天弘招添利混合型发起式证券投资基金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天弘中证人工智能主题指数型发起式证券投资基金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天弘先进制造混合型证券投资基金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天弘安盈一年持有期债券型发起式证券投资基金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天弘中债</w:t>
      </w:r>
      <w:r>
        <w:rPr>
          <w:rFonts w:ascii="仿宋" w:eastAsia="仿宋" w:hAnsi="仿宋"/>
          <w:color w:val="000000" w:themeColor="text1"/>
          <w:sz w:val="32"/>
          <w:szCs w:val="32"/>
        </w:rPr>
        <w:t>1-5年政策性金融债指数发起式证券投资基金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天弘安康颐享</w:t>
      </w:r>
      <w:r>
        <w:rPr>
          <w:rFonts w:ascii="仿宋" w:eastAsia="仿宋" w:hAnsi="仿宋"/>
          <w:color w:val="000000" w:themeColor="text1"/>
          <w:sz w:val="32"/>
          <w:szCs w:val="32"/>
        </w:rPr>
        <w:t>12个月持有期混合型证券投资基金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天弘中证高端装备制造指数增强型证券投资基金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天弘鑫悦成长混合型证券投资基金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天弘安怡</w:t>
      </w:r>
      <w:r>
        <w:rPr>
          <w:rFonts w:ascii="仿宋" w:eastAsia="仿宋" w:hAnsi="仿宋"/>
          <w:color w:val="000000" w:themeColor="text1"/>
          <w:sz w:val="32"/>
          <w:szCs w:val="32"/>
        </w:rPr>
        <w:t>30天滚动持有短债债券型发起式证券投资基金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天弘中证新能源指数增强型证券投资基金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天弘恒生科技指数型发起式证券投资基金（</w:t>
      </w:r>
      <w:r>
        <w:rPr>
          <w:rFonts w:ascii="仿宋" w:eastAsia="仿宋" w:hAnsi="仿宋"/>
          <w:color w:val="000000" w:themeColor="text1"/>
          <w:sz w:val="32"/>
          <w:szCs w:val="32"/>
        </w:rPr>
        <w:t>QDII）</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天弘中证医药主题指数增强型证券投资基金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天弘高端制造混合型证券投资基金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天弘睿选利率债债券型发起式证券投资基金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天弘国证龙头家电指数证券投资基金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天弘安康颐丰一年持有期混合型证券投资基金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天弘安康颐利混合型证券投资基金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天弘安悦</w:t>
      </w:r>
      <w:r>
        <w:rPr>
          <w:rFonts w:ascii="仿宋" w:eastAsia="仿宋" w:hAnsi="仿宋"/>
          <w:color w:val="000000" w:themeColor="text1"/>
          <w:sz w:val="32"/>
          <w:szCs w:val="32"/>
        </w:rPr>
        <w:t>90天滚动持有短债债券型发起式证券投资基金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天弘永利优佳混合型证券投资基金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2030一年持有期混合型发起式基金中基金（FOF）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天弘齐享债券型发起式证券投资基金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天弘永丰稳健养老目标一年持有期混合型基金中基金（</w:t>
      </w:r>
      <w:r>
        <w:rPr>
          <w:rFonts w:ascii="仿宋" w:eastAsia="仿宋" w:hAnsi="仿宋"/>
          <w:color w:val="000000" w:themeColor="text1"/>
          <w:sz w:val="32"/>
          <w:szCs w:val="32"/>
        </w:rPr>
        <w:t>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天弘新华沪港深新兴消费品牌指数证券投资基金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天弘华证沪深港长期竞争力指数证券投资基金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1000指数增强型证券投资基金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天弘新享一年定期开放债券型发起式证券投资基金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天弘惠享一年定期开放债券型发起式证券投资基金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天弘臻选健康混合型证券投资基金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天弘优利短债债券型发起式证券投资基金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w:t>
      </w:r>
      <w:r>
        <w:rPr>
          <w:rFonts w:ascii="仿宋" w:eastAsia="仿宋" w:hAnsi="仿宋"/>
          <w:color w:val="000000" w:themeColor="text1"/>
          <w:sz w:val="32"/>
          <w:szCs w:val="32"/>
        </w:rPr>
        <w:t>MSCI中国A50互联互通指数证券投资基金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天弘合利债券型发起式证券投资基金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天弘多元增利债券型证券投资基金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天弘丰益债券型发起式证券投资基金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天弘低碳经济混合型证券投资基金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天弘创业板指数增强型证券投资基金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天弘中证细分化工产业主题指数型发起式证券投资基金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天弘安恒</w:t>
      </w:r>
      <w:r>
        <w:rPr>
          <w:rFonts w:ascii="仿宋" w:eastAsia="仿宋" w:hAnsi="仿宋"/>
          <w:color w:val="000000" w:themeColor="text1"/>
          <w:sz w:val="32"/>
          <w:szCs w:val="32"/>
        </w:rPr>
        <w:t>60天滚动持有短债债券型证券投资基金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天弘永利优享债券型证券投资基金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天弘裕享一年定期开放债券型发起式证券投资基金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天弘睿享</w:t>
      </w:r>
      <w:r>
        <w:rPr>
          <w:rFonts w:ascii="仿宋" w:eastAsia="仿宋" w:hAnsi="仿宋"/>
          <w:color w:val="000000" w:themeColor="text1"/>
          <w:sz w:val="32"/>
          <w:szCs w:val="32"/>
        </w:rPr>
        <w:t>3个月持有期混合型发起式基金中基金（FOF）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天弘全球高端制造混合型证券投资基金（</w:t>
      </w:r>
      <w:r>
        <w:rPr>
          <w:rFonts w:ascii="仿宋" w:eastAsia="仿宋" w:hAnsi="仿宋"/>
          <w:color w:val="000000" w:themeColor="text1"/>
          <w:sz w:val="32"/>
          <w:szCs w:val="32"/>
        </w:rPr>
        <w:t>QDII）</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天弘广盈六个月持有期混合型证券投资基金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天弘招利短债债券型证券投资基金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天弘通享债券型发起式证券投资基金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天弘稳健回报债券型发起式证券投资基金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天弘国证绿色电力指数型发起式证券投资基金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天弘永丰平衡养老目标三年持有期混合型发起式基金中基金</w:t>
      </w:r>
      <w:r>
        <w:rPr>
          <w:rFonts w:ascii="仿宋" w:eastAsia="仿宋" w:hAnsi="仿宋"/>
          <w:color w:val="000000" w:themeColor="text1"/>
          <w:sz w:val="32"/>
          <w:szCs w:val="32"/>
        </w:rPr>
        <w:t>(FOF)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天弘中证工业有色金属主题指数型发起式证券投资基金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天弘养老目标日期</w:t>
      </w:r>
      <w:r>
        <w:rPr>
          <w:rFonts w:ascii="仿宋" w:eastAsia="仿宋" w:hAnsi="仿宋"/>
          <w:color w:val="000000" w:themeColor="text1"/>
          <w:sz w:val="32"/>
          <w:szCs w:val="32"/>
        </w:rPr>
        <w:t>2045五年持有期混合型发起式基金中基金（FOF）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天弘安康颐睿一年持有期混合型证券投资基金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天弘中证同业存单</w:t>
      </w:r>
      <w:r>
        <w:rPr>
          <w:rFonts w:ascii="仿宋" w:eastAsia="仿宋" w:hAnsi="仿宋"/>
          <w:color w:val="000000" w:themeColor="text1"/>
          <w:sz w:val="32"/>
          <w:szCs w:val="32"/>
        </w:rPr>
        <w:t>AAA指数7天持有期证券投资基金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w:t>
      </w:r>
      <w:r>
        <w:rPr>
          <w:rFonts w:ascii="仿宋" w:eastAsia="仿宋" w:hAnsi="仿宋"/>
          <w:color w:val="000000" w:themeColor="text1"/>
          <w:sz w:val="32"/>
          <w:szCs w:val="32"/>
        </w:rPr>
        <w:t>2000指数增强型证</w:t>
      </w:r>
      <w:r>
        <w:rPr>
          <w:rFonts w:ascii="仿宋" w:eastAsia="仿宋" w:hAnsi="仿宋" w:hint="eastAsia"/>
          <w:color w:val="000000" w:themeColor="text1"/>
          <w:sz w:val="32"/>
          <w:szCs w:val="32"/>
        </w:rPr>
        <w:t>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天弘纳斯达克</w:t>
      </w:r>
      <w:r>
        <w:rPr>
          <w:rFonts w:ascii="仿宋" w:eastAsia="仿宋" w:hAnsi="仿宋"/>
          <w:color w:val="000000" w:themeColor="text1"/>
          <w:sz w:val="32"/>
          <w:szCs w:val="32"/>
        </w:rPr>
        <w:t>100指数型发起式证券投资基金（QDII）</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天弘臻享一年定期开放债券型发起式证券投资基金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天弘阿尔法优选混合型证券投资基金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天弘多元锐选一年持有期混合型证券投资基金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天弘悦利债券型证券投资基金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天弘招享三个月定期开放债券型发起式证券投资基金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天弘金融优选混合型发起式证券投资基金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天弘工盈三个月持有期债券型证券投资基金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天弘红利智选混合型证券投资基金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50成份指数型发起式证券投资基金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天弘中证全指通信设备指数型发起式证券投资基金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天弘中证沪港深物联网主题交易型开放式指数证券投资基金发起式联接基金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天弘北证</w:t>
      </w:r>
      <w:r>
        <w:rPr>
          <w:rFonts w:ascii="仿宋" w:eastAsia="仿宋" w:hAnsi="仿宋"/>
          <w:color w:val="000000" w:themeColor="text1"/>
          <w:sz w:val="32"/>
          <w:szCs w:val="32"/>
        </w:rPr>
        <w:t>50成份指数型发起式证券投资基金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天弘上证科创板</w:t>
      </w:r>
      <w:r>
        <w:rPr>
          <w:rFonts w:ascii="仿宋" w:eastAsia="仿宋" w:hAnsi="仿宋"/>
          <w:color w:val="000000" w:themeColor="text1"/>
          <w:sz w:val="32"/>
          <w:szCs w:val="32"/>
        </w:rPr>
        <w:t>100指数增强型发起式证券投资基金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天弘匠心臻选混合型发起式证券投资基金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天弘中证半导体材料设备主题指数型发起式证券投资基金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天弘中证软件服务指数型发起式证券投资基金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天弘月月兴</w:t>
      </w:r>
      <w:r>
        <w:rPr>
          <w:rFonts w:ascii="仿宋" w:eastAsia="仿宋" w:hAnsi="仿宋"/>
          <w:color w:val="000000" w:themeColor="text1"/>
          <w:sz w:val="32"/>
          <w:szCs w:val="32"/>
        </w:rPr>
        <w:t>30天持有期债券型证券投资基金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天弘中证央企红利</w:t>
      </w:r>
      <w:r>
        <w:rPr>
          <w:rFonts w:ascii="仿宋" w:eastAsia="仿宋" w:hAnsi="仿宋"/>
          <w:color w:val="000000" w:themeColor="text1"/>
          <w:sz w:val="32"/>
          <w:szCs w:val="32"/>
        </w:rPr>
        <w:t>50指数型发起式证券投资基金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天弘中证油气产业指数型发起式证券投资基金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天弘中证汽车零部件主题指数型发起式证券投资基金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天弘新兴产业混合型发起式证券投资基金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天弘国证新能源电池指数型发起式证券投资基金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天弘优势企业混合型发起式证券投资基金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天弘中证工程机械主题指数型发起式证券投资基金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天弘中证港股通高股息投资指数型发起式证券投资基金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天弘中证芯片产业交易型开放式指数证券投资基金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天弘中证红利低波动</w:t>
      </w:r>
      <w:r>
        <w:rPr>
          <w:rFonts w:ascii="仿宋" w:eastAsia="仿宋" w:hAnsi="仿宋"/>
          <w:color w:val="000000" w:themeColor="text1"/>
          <w:sz w:val="32"/>
          <w:szCs w:val="32"/>
        </w:rPr>
        <w:t>100交易型开放式指数证券投资基金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天弘中证科创创业</w:t>
      </w:r>
      <w:r>
        <w:rPr>
          <w:rFonts w:ascii="仿宋" w:eastAsia="仿宋" w:hAnsi="仿宋"/>
          <w:color w:val="000000" w:themeColor="text1"/>
          <w:sz w:val="32"/>
          <w:szCs w:val="32"/>
        </w:rPr>
        <w:t>50交易型开放式指数证券投资基金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1000增强策略交易型开放式指数证券投资基金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天弘中证新材料主题交易型开放式指数证券投资基金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天弘中证食品饮料交易型开放式指数证券投资基金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天弘中证机器人交易型开放式指数证券投资基金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w:t>
      </w:r>
      <w:r>
        <w:rPr>
          <w:rFonts w:ascii="仿宋" w:eastAsia="仿宋" w:hAnsi="仿宋"/>
          <w:color w:val="000000" w:themeColor="text1"/>
          <w:sz w:val="32"/>
          <w:szCs w:val="32"/>
        </w:rPr>
        <w:t>500交易型开放式指数证券投资基金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天弘上海金交易型开放式证券投资基金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w:t>
      </w:r>
      <w:r>
        <w:rPr>
          <w:rFonts w:ascii="仿宋" w:eastAsia="仿宋" w:hAnsi="仿宋"/>
          <w:color w:val="000000" w:themeColor="text1"/>
          <w:sz w:val="32"/>
          <w:szCs w:val="32"/>
        </w:rPr>
        <w:t>300交易型开放式指数证券投资基金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天弘中证全指证券公司交易型开放式指数证券投资基金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天弘中证光伏产业交易型开放式指数证券投资基金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天弘国证生物医药交易型开放式指数证券投资基金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天弘中证全指医疗保健设备与服务交易型开放式指数证券投资基金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天弘创业板交易型开放式指数证券投资基金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天弘中证电子交易型开放式指数证券投资基金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天弘中证计算机主题交易型开放式指数证券投资基金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天弘文化新兴产业股票型证券投资基金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天弘添利债券型证券投资基金</w:t>
      </w:r>
      <w:r>
        <w:rPr>
          <w:rFonts w:ascii="仿宋" w:eastAsia="仿宋" w:hAnsi="仿宋"/>
          <w:color w:val="000000" w:themeColor="text1"/>
          <w:sz w:val="32"/>
          <w:szCs w:val="32"/>
        </w:rPr>
        <w:t>(LOF)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天弘丰利债券型证券投资基金</w:t>
      </w:r>
      <w:r>
        <w:rPr>
          <w:rFonts w:ascii="仿宋" w:eastAsia="仿宋" w:hAnsi="仿宋"/>
          <w:color w:val="000000" w:themeColor="text1"/>
          <w:sz w:val="32"/>
          <w:szCs w:val="32"/>
        </w:rPr>
        <w:t>(LOF)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天弘同利债券型证券投资基金</w:t>
      </w:r>
      <w:r>
        <w:rPr>
          <w:rFonts w:ascii="仿宋" w:eastAsia="仿宋" w:hAnsi="仿宋"/>
          <w:color w:val="000000" w:themeColor="text1"/>
          <w:sz w:val="32"/>
          <w:szCs w:val="32"/>
        </w:rPr>
        <w:t>(LOF)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天弘全球新能源汽车股票型证券投资基金（</w:t>
      </w:r>
      <w:r>
        <w:rPr>
          <w:rFonts w:ascii="仿宋" w:eastAsia="仿宋" w:hAnsi="仿宋"/>
          <w:color w:val="000000" w:themeColor="text1"/>
          <w:sz w:val="32"/>
          <w:szCs w:val="32"/>
        </w:rPr>
        <w:t>QDII-LOF）</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天弘精选混合型证券投资基金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天弘永利债券型证券投资基金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天弘永定价值成长混合型证券投资基金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天弘周期策略混合型证券投资基金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天弘现金管家货币市场基金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天弘增益回报债券型发起式证券投资基金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天弘安康颐养混合型证券投资基金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天弘中证银行交易型开放式指数证券投资基金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天弘沪深</w:t>
      </w:r>
      <w:r>
        <w:rPr>
          <w:rFonts w:ascii="仿宋" w:eastAsia="仿宋" w:hAnsi="仿宋"/>
          <w:color w:val="000000" w:themeColor="text1"/>
          <w:sz w:val="32"/>
          <w:szCs w:val="32"/>
        </w:rPr>
        <w:t>300交易型开放式指数证券投资基金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天弘恒生沪深港创新药精选</w:t>
      </w:r>
      <w:r>
        <w:rPr>
          <w:rFonts w:ascii="仿宋" w:eastAsia="仿宋" w:hAnsi="仿宋"/>
          <w:color w:val="000000" w:themeColor="text1"/>
          <w:sz w:val="32"/>
          <w:szCs w:val="32"/>
        </w:rPr>
        <w:t>50交易型开放式指数证券投资基金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天弘中证沪港深云计算产业交易型开放式指数证券投资基金</w:t>
      </w:r>
    </w:p>
    <w:p w:rsidR="00B41C83"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天弘中证沪港深物联网主题交易型开放式指数证券投资基金</w:t>
      </w:r>
    </w:p>
    <w:p w:rsidR="00BB3501" w:rsidRPr="005A1AF7" w:rsidRDefault="00B41C83" w:rsidP="008E3E4B">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天弘上证</w:t>
      </w:r>
      <w:r>
        <w:rPr>
          <w:rFonts w:ascii="仿宋" w:eastAsia="仿宋" w:hAnsi="仿宋"/>
          <w:color w:val="000000" w:themeColor="text1"/>
          <w:sz w:val="32"/>
          <w:szCs w:val="32"/>
        </w:rPr>
        <w:t>50交易型开放式指数证券投资基金</w:t>
      </w:r>
      <w:bookmarkEnd w:id="2"/>
      <w:r w:rsidR="00BB3501">
        <w:rPr>
          <w:rFonts w:ascii="仿宋" w:eastAsia="仿宋" w:hAnsi="仿宋" w:hint="eastAsia"/>
          <w:color w:val="000000" w:themeColor="text1"/>
          <w:sz w:val="32"/>
          <w:szCs w:val="32"/>
        </w:rPr>
        <w:t>的</w:t>
      </w:r>
      <w:r>
        <w:rPr>
          <w:rFonts w:ascii="仿宋" w:eastAsia="仿宋" w:hAnsi="仿宋" w:hint="eastAsia"/>
          <w:color w:val="000000" w:themeColor="text1"/>
          <w:sz w:val="32"/>
          <w:szCs w:val="32"/>
        </w:rPr>
        <w:t>年度</w:t>
      </w:r>
      <w:r w:rsidR="00BB3501">
        <w:rPr>
          <w:rFonts w:ascii="仿宋" w:eastAsia="仿宋" w:hAnsi="仿宋"/>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Pr>
          <w:rFonts w:ascii="仿宋" w:eastAsia="仿宋" w:hAnsi="仿宋"/>
          <w:color w:val="000000" w:themeColor="text1"/>
          <w:sz w:val="32"/>
          <w:szCs w:val="32"/>
        </w:rPr>
        <w:t>2025年03月31日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58597A">
        <w:rPr>
          <w:rFonts w:ascii="仿宋" w:eastAsia="仿宋" w:hAnsi="仿宋" w:hint="eastAsia"/>
          <w:color w:val="000000" w:themeColor="text1"/>
          <w:sz w:val="32"/>
          <w:szCs w:val="32"/>
        </w:rPr>
        <w:t>（</w:t>
      </w:r>
      <w:r w:rsidR="0058597A">
        <w:rPr>
          <w:rFonts w:ascii="仿宋" w:eastAsia="仿宋" w:hAnsi="仿宋"/>
          <w:color w:val="000000" w:themeColor="text1"/>
          <w:sz w:val="32"/>
          <w:szCs w:val="32"/>
        </w:rPr>
        <w:t>http://www.thfund.com.cn</w:t>
      </w:r>
      <w:r w:rsidR="0058597A">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8" w:history="1">
        <w:r w:rsidR="000F07E6" w:rsidRPr="0058597A">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58597A">
        <w:rPr>
          <w:rFonts w:ascii="仿宋" w:eastAsia="仿宋" w:hAnsi="仿宋" w:hint="eastAsia"/>
          <w:color w:val="000000" w:themeColor="text1"/>
          <w:sz w:val="32"/>
          <w:szCs w:val="32"/>
        </w:rPr>
        <w:t>9</w:t>
      </w:r>
      <w:r w:rsidR="0058597A">
        <w:rPr>
          <w:rFonts w:ascii="仿宋" w:eastAsia="仿宋" w:hAnsi="仿宋"/>
          <w:color w:val="000000" w:themeColor="text1"/>
          <w:sz w:val="32"/>
          <w:szCs w:val="32"/>
        </w:rPr>
        <w:t>5046</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58597A"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Pr="0058597A">
        <w:rPr>
          <w:rFonts w:ascii="仿宋" w:eastAsia="仿宋" w:hAnsi="仿宋" w:hint="eastAsia"/>
          <w:color w:val="000000" w:themeColor="text1"/>
          <w:sz w:val="32"/>
          <w:szCs w:val="32"/>
        </w:rPr>
        <w:t>天弘基金管理有限公司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58597A">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B41C83">
        <w:rPr>
          <w:rFonts w:ascii="仿宋" w:eastAsia="仿宋" w:hAnsi="仿宋"/>
          <w:color w:val="000000" w:themeColor="text1"/>
          <w:sz w:val="32"/>
          <w:szCs w:val="32"/>
        </w:rPr>
        <w:t>2025年03月31日</w:t>
      </w:r>
      <w:bookmarkEnd w:id="0"/>
    </w:p>
    <w:sectPr w:rsidR="00BB3501" w:rsidRPr="00A7247E"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CFD" w:rsidRDefault="00E62CFD" w:rsidP="009A149B">
      <w:r>
        <w:separator/>
      </w:r>
    </w:p>
  </w:endnote>
  <w:endnote w:type="continuationSeparator" w:id="0">
    <w:p w:rsidR="00E62CFD" w:rsidRDefault="00E62CFD"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CF2DF8">
        <w:pPr>
          <w:pStyle w:val="a4"/>
          <w:jc w:val="center"/>
        </w:pPr>
        <w:r>
          <w:fldChar w:fldCharType="begin"/>
        </w:r>
        <w:r w:rsidR="00084E7D">
          <w:instrText>PAGE   \* MERGEFORMAT</w:instrText>
        </w:r>
        <w:r>
          <w:fldChar w:fldCharType="separate"/>
        </w:r>
        <w:r w:rsidR="009218F7" w:rsidRPr="009218F7">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CF2DF8">
        <w:pPr>
          <w:pStyle w:val="a4"/>
          <w:jc w:val="center"/>
        </w:pPr>
        <w:r>
          <w:fldChar w:fldCharType="begin"/>
        </w:r>
        <w:r w:rsidR="00084E7D">
          <w:instrText>PAGE   \* MERGEFORMAT</w:instrText>
        </w:r>
        <w:r>
          <w:fldChar w:fldCharType="separate"/>
        </w:r>
        <w:r w:rsidR="009218F7" w:rsidRPr="009218F7">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CFD" w:rsidRDefault="00E62CFD" w:rsidP="009A149B">
      <w:r>
        <w:separator/>
      </w:r>
    </w:p>
  </w:footnote>
  <w:footnote w:type="continuationSeparator" w:id="0">
    <w:p w:rsidR="00E62CFD" w:rsidRDefault="00E62CFD"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300E5"/>
    <w:rsid w:val="0003246C"/>
    <w:rsid w:val="00033010"/>
    <w:rsid w:val="00033204"/>
    <w:rsid w:val="00046976"/>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56C7"/>
    <w:rsid w:val="000F6458"/>
    <w:rsid w:val="001039BC"/>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2AF8"/>
    <w:rsid w:val="001E7CAD"/>
    <w:rsid w:val="001F125D"/>
    <w:rsid w:val="001F15CB"/>
    <w:rsid w:val="001F533E"/>
    <w:rsid w:val="0021172E"/>
    <w:rsid w:val="00221DE2"/>
    <w:rsid w:val="00234298"/>
    <w:rsid w:val="002343BD"/>
    <w:rsid w:val="002471D4"/>
    <w:rsid w:val="00251A9C"/>
    <w:rsid w:val="00253326"/>
    <w:rsid w:val="00261CDE"/>
    <w:rsid w:val="0026276F"/>
    <w:rsid w:val="00270649"/>
    <w:rsid w:val="00276CA4"/>
    <w:rsid w:val="002823E9"/>
    <w:rsid w:val="00282A7F"/>
    <w:rsid w:val="00284E14"/>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82BCB"/>
    <w:rsid w:val="00391944"/>
    <w:rsid w:val="00393949"/>
    <w:rsid w:val="003948AF"/>
    <w:rsid w:val="00394BBC"/>
    <w:rsid w:val="003A4AC6"/>
    <w:rsid w:val="003C2820"/>
    <w:rsid w:val="003C3CB5"/>
    <w:rsid w:val="003C4B75"/>
    <w:rsid w:val="003C5A1A"/>
    <w:rsid w:val="003D0424"/>
    <w:rsid w:val="003D32D7"/>
    <w:rsid w:val="003F4E13"/>
    <w:rsid w:val="003F6960"/>
    <w:rsid w:val="003F78C8"/>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98C"/>
    <w:rsid w:val="00477BA8"/>
    <w:rsid w:val="00477EB2"/>
    <w:rsid w:val="0048111A"/>
    <w:rsid w:val="00487BF1"/>
    <w:rsid w:val="00491FCB"/>
    <w:rsid w:val="00497943"/>
    <w:rsid w:val="00497A8B"/>
    <w:rsid w:val="004A0E45"/>
    <w:rsid w:val="004A54A6"/>
    <w:rsid w:val="004B1105"/>
    <w:rsid w:val="004C3109"/>
    <w:rsid w:val="004C44C4"/>
    <w:rsid w:val="004C625A"/>
    <w:rsid w:val="004C6355"/>
    <w:rsid w:val="004E1D5E"/>
    <w:rsid w:val="004E630B"/>
    <w:rsid w:val="004F0ABE"/>
    <w:rsid w:val="004F7313"/>
    <w:rsid w:val="005158A6"/>
    <w:rsid w:val="0052094C"/>
    <w:rsid w:val="00531F7B"/>
    <w:rsid w:val="00534A41"/>
    <w:rsid w:val="0053650E"/>
    <w:rsid w:val="00542535"/>
    <w:rsid w:val="00544E6E"/>
    <w:rsid w:val="00547910"/>
    <w:rsid w:val="00551033"/>
    <w:rsid w:val="00560AC4"/>
    <w:rsid w:val="00563FE4"/>
    <w:rsid w:val="00567A02"/>
    <w:rsid w:val="005711D9"/>
    <w:rsid w:val="005751C6"/>
    <w:rsid w:val="00582D8F"/>
    <w:rsid w:val="005837B0"/>
    <w:rsid w:val="00584CCD"/>
    <w:rsid w:val="0058597A"/>
    <w:rsid w:val="00596AC1"/>
    <w:rsid w:val="005A408B"/>
    <w:rsid w:val="005A46AE"/>
    <w:rsid w:val="005A77EA"/>
    <w:rsid w:val="005B5746"/>
    <w:rsid w:val="005C00AF"/>
    <w:rsid w:val="005C2E31"/>
    <w:rsid w:val="005C7C95"/>
    <w:rsid w:val="005D3C24"/>
    <w:rsid w:val="005D4528"/>
    <w:rsid w:val="005E088E"/>
    <w:rsid w:val="005E0F00"/>
    <w:rsid w:val="005F4D9C"/>
    <w:rsid w:val="005F7E5C"/>
    <w:rsid w:val="00604996"/>
    <w:rsid w:val="00604A97"/>
    <w:rsid w:val="00605B67"/>
    <w:rsid w:val="006163B1"/>
    <w:rsid w:val="00616874"/>
    <w:rsid w:val="0062589F"/>
    <w:rsid w:val="00626EA8"/>
    <w:rsid w:val="00641CEA"/>
    <w:rsid w:val="0065080E"/>
    <w:rsid w:val="00655229"/>
    <w:rsid w:val="00656B0C"/>
    <w:rsid w:val="0066309A"/>
    <w:rsid w:val="0066627D"/>
    <w:rsid w:val="006832A2"/>
    <w:rsid w:val="00684A20"/>
    <w:rsid w:val="00690EC4"/>
    <w:rsid w:val="006962CB"/>
    <w:rsid w:val="006A0BB0"/>
    <w:rsid w:val="006A7F42"/>
    <w:rsid w:val="006B4697"/>
    <w:rsid w:val="006D17EF"/>
    <w:rsid w:val="006E4941"/>
    <w:rsid w:val="006E55E9"/>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5154"/>
    <w:rsid w:val="00876EC6"/>
    <w:rsid w:val="00881C77"/>
    <w:rsid w:val="00882FB0"/>
    <w:rsid w:val="008839E0"/>
    <w:rsid w:val="00887017"/>
    <w:rsid w:val="00891007"/>
    <w:rsid w:val="008A1AFA"/>
    <w:rsid w:val="008A2CE2"/>
    <w:rsid w:val="008A3460"/>
    <w:rsid w:val="008B539C"/>
    <w:rsid w:val="008B77D5"/>
    <w:rsid w:val="008C155D"/>
    <w:rsid w:val="008D4634"/>
    <w:rsid w:val="008E3E4B"/>
    <w:rsid w:val="008E4CD7"/>
    <w:rsid w:val="008E58F7"/>
    <w:rsid w:val="008E6EC1"/>
    <w:rsid w:val="00902F34"/>
    <w:rsid w:val="00903815"/>
    <w:rsid w:val="00903C0A"/>
    <w:rsid w:val="009062C4"/>
    <w:rsid w:val="0090723B"/>
    <w:rsid w:val="00910193"/>
    <w:rsid w:val="00917E84"/>
    <w:rsid w:val="009218F7"/>
    <w:rsid w:val="0092312D"/>
    <w:rsid w:val="00933628"/>
    <w:rsid w:val="009465EA"/>
    <w:rsid w:val="009506DC"/>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00B94"/>
    <w:rsid w:val="00A1117D"/>
    <w:rsid w:val="00A13470"/>
    <w:rsid w:val="00A144A6"/>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449E"/>
    <w:rsid w:val="00A87DCB"/>
    <w:rsid w:val="00AA2626"/>
    <w:rsid w:val="00AB49A1"/>
    <w:rsid w:val="00AC1161"/>
    <w:rsid w:val="00AD18DD"/>
    <w:rsid w:val="00AD562B"/>
    <w:rsid w:val="00AE3F47"/>
    <w:rsid w:val="00AE69BF"/>
    <w:rsid w:val="00AF7347"/>
    <w:rsid w:val="00B014DF"/>
    <w:rsid w:val="00B11B77"/>
    <w:rsid w:val="00B16987"/>
    <w:rsid w:val="00B17EF5"/>
    <w:rsid w:val="00B2068A"/>
    <w:rsid w:val="00B23F95"/>
    <w:rsid w:val="00B25BAB"/>
    <w:rsid w:val="00B26285"/>
    <w:rsid w:val="00B33F4A"/>
    <w:rsid w:val="00B41297"/>
    <w:rsid w:val="00B41C8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43F4"/>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06EB"/>
    <w:rsid w:val="00CB2CEE"/>
    <w:rsid w:val="00CB4DE3"/>
    <w:rsid w:val="00CC2F35"/>
    <w:rsid w:val="00CC40C3"/>
    <w:rsid w:val="00CD1C8A"/>
    <w:rsid w:val="00CD42C4"/>
    <w:rsid w:val="00CE43F8"/>
    <w:rsid w:val="00CE7C8B"/>
    <w:rsid w:val="00CF01CC"/>
    <w:rsid w:val="00CF2DF8"/>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7BAA"/>
    <w:rsid w:val="00DE0FFA"/>
    <w:rsid w:val="00DE6A70"/>
    <w:rsid w:val="00DF3DF3"/>
    <w:rsid w:val="00DF5AA8"/>
    <w:rsid w:val="00E11D7D"/>
    <w:rsid w:val="00E1254C"/>
    <w:rsid w:val="00E16895"/>
    <w:rsid w:val="00E32614"/>
    <w:rsid w:val="00E33250"/>
    <w:rsid w:val="00E3526B"/>
    <w:rsid w:val="00E5059C"/>
    <w:rsid w:val="00E54C06"/>
    <w:rsid w:val="00E5664A"/>
    <w:rsid w:val="00E62CFD"/>
    <w:rsid w:val="00E7407A"/>
    <w:rsid w:val="00E81A0A"/>
    <w:rsid w:val="00E84D84"/>
    <w:rsid w:val="00E964F7"/>
    <w:rsid w:val="00EA6F84"/>
    <w:rsid w:val="00EB7931"/>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7F4B"/>
    <w:rsid w:val="00F9100C"/>
    <w:rsid w:val="00FA0934"/>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684329432">
      <w:bodyDiv w:val="1"/>
      <w:marLeft w:val="0"/>
      <w:marRight w:val="0"/>
      <w:marTop w:val="0"/>
      <w:marBottom w:val="0"/>
      <w:divBdr>
        <w:top w:val="none" w:sz="0" w:space="0" w:color="auto"/>
        <w:left w:val="none" w:sz="0" w:space="0" w:color="auto"/>
        <w:bottom w:val="none" w:sz="0" w:space="0" w:color="auto"/>
        <w:right w:val="none" w:sz="0" w:space="0" w:color="auto"/>
      </w:divBdr>
    </w:div>
    <w:div w:id="710692157">
      <w:bodyDiv w:val="1"/>
      <w:marLeft w:val="0"/>
      <w:marRight w:val="0"/>
      <w:marTop w:val="0"/>
      <w:marBottom w:val="0"/>
      <w:divBdr>
        <w:top w:val="none" w:sz="0" w:space="0" w:color="auto"/>
        <w:left w:val="none" w:sz="0" w:space="0" w:color="auto"/>
        <w:bottom w:val="none" w:sz="0" w:space="0" w:color="auto"/>
        <w:right w:val="none" w:sz="0" w:space="0" w:color="auto"/>
      </w:divBdr>
    </w:div>
    <w:div w:id="1552692917">
      <w:bodyDiv w:val="1"/>
      <w:marLeft w:val="0"/>
      <w:marRight w:val="0"/>
      <w:marTop w:val="0"/>
      <w:marBottom w:val="0"/>
      <w:divBdr>
        <w:top w:val="none" w:sz="0" w:space="0" w:color="auto"/>
        <w:left w:val="none" w:sz="0" w:space="0" w:color="auto"/>
        <w:bottom w:val="none" w:sz="0" w:space="0" w:color="auto"/>
        <w:right w:val="none" w:sz="0" w:space="0" w:color="auto"/>
      </w:divBdr>
    </w:div>
    <w:div w:id="17333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8DEF-6696-4D5D-84B2-36FE0327B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4147</Characters>
  <Application>Microsoft Office Word</Application>
  <DocSecurity>4</DocSecurity>
  <Lines>34</Lines>
  <Paragraphs>9</Paragraphs>
  <ScaleCrop>false</ScaleCrop>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2025-03-30T16:00:00Z</dcterms:created>
  <dcterms:modified xsi:type="dcterms:W3CDTF">2025-03-30T16:00:00Z</dcterms:modified>
</cp:coreProperties>
</file>