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5D" w:rsidRDefault="00377F17">
      <w:pPr>
        <w:spacing w:line="360" w:lineRule="auto"/>
        <w:ind w:firstLineChars="50" w:firstLine="22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兴银基金管理有限责任公司旗下部分基金</w:t>
      </w:r>
      <w:r w:rsidR="009455A1">
        <w:rPr>
          <w:rFonts w:ascii="黑体" w:eastAsia="黑体" w:hAnsi="黑体" w:hint="eastAsia"/>
          <w:color w:val="000000" w:themeColor="text1"/>
          <w:sz w:val="44"/>
          <w:szCs w:val="44"/>
        </w:rPr>
        <w:t>202</w:t>
      </w:r>
      <w:r w:rsidR="009455A1">
        <w:rPr>
          <w:rFonts w:ascii="黑体" w:eastAsia="黑体" w:hAnsi="黑体"/>
          <w:color w:val="000000" w:themeColor="text1"/>
          <w:sz w:val="44"/>
          <w:szCs w:val="44"/>
        </w:rPr>
        <w:t>4</w:t>
      </w:r>
      <w:r w:rsidR="00A42AF2" w:rsidRPr="00A42AF2">
        <w:rPr>
          <w:rFonts w:ascii="黑体" w:eastAsia="黑体" w:hAnsi="黑体" w:hint="eastAsia"/>
          <w:color w:val="000000" w:themeColor="text1"/>
          <w:sz w:val="44"/>
          <w:szCs w:val="44"/>
        </w:rPr>
        <w:t>年年度报告</w:t>
      </w:r>
      <w:r>
        <w:rPr>
          <w:rFonts w:ascii="黑体" w:eastAsia="黑体" w:hAnsi="黑体" w:hint="eastAsia"/>
          <w:color w:val="000000" w:themeColor="text1"/>
          <w:sz w:val="44"/>
          <w:szCs w:val="44"/>
        </w:rPr>
        <w:t>提示性公告</w:t>
      </w:r>
    </w:p>
    <w:p w:rsidR="00645E5D" w:rsidRDefault="00645E5D">
      <w:pPr>
        <w:spacing w:line="360" w:lineRule="auto"/>
        <w:rPr>
          <w:rFonts w:ascii="黑体" w:eastAsia="黑体" w:hAnsi="黑体"/>
          <w:color w:val="000000" w:themeColor="text1"/>
          <w:sz w:val="36"/>
          <w:szCs w:val="36"/>
        </w:rPr>
      </w:pPr>
    </w:p>
    <w:p w:rsidR="00645E5D" w:rsidRPr="00F27FFD" w:rsidRDefault="00283C47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兴银基金管理有限责任公司（以下简称“本公司”）</w:t>
      </w:r>
      <w:r w:rsidR="00377F17"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董事会及董事保证</w:t>
      </w: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="00377F17"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AA7595">
        <w:rPr>
          <w:rFonts w:ascii="仿宋" w:eastAsia="仿宋" w:hAnsi="仿宋" w:hint="eastAsia"/>
          <w:color w:val="000000" w:themeColor="text1"/>
          <w:sz w:val="28"/>
          <w:szCs w:val="28"/>
        </w:rPr>
        <w:t>年度报告</w:t>
      </w:r>
      <w:r w:rsidR="00377F17"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645E5D" w:rsidRPr="00F27FFD" w:rsidRDefault="00377F17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兴银基金管理有限责任公司旗下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1.兴银货币市场基金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2.兴银现金收益货币市场基金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3.兴银收益增强债券型证券投资基金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4.兴银现金添利货币市场基金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5.兴银长盈三个月定期开放债券型证券投资基金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6.兴银长益三个月定期开放债券型证券投资基金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7.兴银消费新趋势灵活配置混合型证券投资基金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8.兴银朝阳债券型证券投资基金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9.兴银鼎新灵活配置混合型证券投资基金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10.兴银长乐半年定期开放债券型证券投资基金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11.兴银丰盈灵活配置混合型证券投资基金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12.兴银现金增利货币市场基金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13.兴银瑞益纯债债券型证券投资基金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14.</w:t>
      </w:r>
      <w:r w:rsidRPr="00856300">
        <w:rPr>
          <w:rFonts w:ascii="仿宋" w:eastAsia="仿宋" w:hAnsi="仿宋" w:hint="eastAsia"/>
          <w:sz w:val="28"/>
          <w:szCs w:val="28"/>
        </w:rPr>
        <w:tab/>
        <w:t>兴银合盈债券型证券投资基金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lastRenderedPageBreak/>
        <w:t>15.</w:t>
      </w:r>
      <w:r w:rsidRPr="00856300">
        <w:rPr>
          <w:rFonts w:ascii="仿宋" w:eastAsia="仿宋" w:hAnsi="仿宋" w:hint="eastAsia"/>
          <w:sz w:val="28"/>
          <w:szCs w:val="28"/>
        </w:rPr>
        <w:tab/>
        <w:t>兴银中短债债券型证券投资基金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16.</w:t>
      </w:r>
      <w:r w:rsidRPr="00856300">
        <w:rPr>
          <w:rFonts w:ascii="仿宋" w:eastAsia="仿宋" w:hAnsi="仿宋" w:hint="eastAsia"/>
          <w:sz w:val="28"/>
          <w:szCs w:val="28"/>
        </w:rPr>
        <w:tab/>
        <w:t>兴银汇福定期开放债券型发起式证券投资基金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17.</w:t>
      </w:r>
      <w:r w:rsidRPr="00856300">
        <w:rPr>
          <w:rFonts w:ascii="仿宋" w:eastAsia="仿宋" w:hAnsi="仿宋" w:hint="eastAsia"/>
          <w:sz w:val="28"/>
          <w:szCs w:val="28"/>
        </w:rPr>
        <w:tab/>
        <w:t>兴银汇逸三个月定期开放债券型发起式证券投资基金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18.</w:t>
      </w:r>
      <w:r w:rsidRPr="00856300">
        <w:rPr>
          <w:rFonts w:ascii="仿宋" w:eastAsia="仿宋" w:hAnsi="仿宋" w:hint="eastAsia"/>
          <w:sz w:val="28"/>
          <w:szCs w:val="28"/>
        </w:rPr>
        <w:tab/>
        <w:t>兴银合丰政策性金融债债券型证券投资基金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19.</w:t>
      </w:r>
      <w:r w:rsidRPr="00856300">
        <w:rPr>
          <w:rFonts w:ascii="仿宋" w:eastAsia="仿宋" w:hAnsi="仿宋" w:hint="eastAsia"/>
          <w:sz w:val="28"/>
          <w:szCs w:val="28"/>
        </w:rPr>
        <w:tab/>
        <w:t>兴银鑫日享短债债券型证券投资基金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20.</w:t>
      </w:r>
      <w:r w:rsidRPr="00856300">
        <w:rPr>
          <w:rFonts w:ascii="仿宋" w:eastAsia="仿宋" w:hAnsi="仿宋" w:hint="eastAsia"/>
          <w:sz w:val="28"/>
          <w:szCs w:val="28"/>
        </w:rPr>
        <w:tab/>
        <w:t>兴银先锋成长混合型证券投资基金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21.</w:t>
      </w:r>
      <w:r w:rsidRPr="00856300">
        <w:rPr>
          <w:rFonts w:ascii="仿宋" w:eastAsia="仿宋" w:hAnsi="仿宋" w:hint="eastAsia"/>
          <w:sz w:val="28"/>
          <w:szCs w:val="28"/>
        </w:rPr>
        <w:tab/>
        <w:t>兴银汇裕一年定期开放债券型发起式证券投资基金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22.</w:t>
      </w:r>
      <w:r w:rsidRPr="00856300">
        <w:rPr>
          <w:rFonts w:ascii="仿宋" w:eastAsia="仿宋" w:hAnsi="仿宋" w:hint="eastAsia"/>
          <w:sz w:val="28"/>
          <w:szCs w:val="28"/>
        </w:rPr>
        <w:tab/>
        <w:t>兴银聚丰债券型证券投资基金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23.</w:t>
      </w:r>
      <w:r w:rsidRPr="00856300">
        <w:rPr>
          <w:rFonts w:ascii="仿宋" w:eastAsia="仿宋" w:hAnsi="仿宋" w:hint="eastAsia"/>
          <w:sz w:val="28"/>
          <w:szCs w:val="28"/>
        </w:rPr>
        <w:tab/>
        <w:t>兴银合盛三年定期开放债券型证券投资基金</w:t>
      </w:r>
    </w:p>
    <w:p w:rsidR="00F32109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24.</w:t>
      </w:r>
      <w:r w:rsidRPr="00856300">
        <w:rPr>
          <w:rFonts w:ascii="仿宋" w:eastAsia="仿宋" w:hAnsi="仿宋" w:hint="eastAsia"/>
          <w:sz w:val="28"/>
          <w:szCs w:val="28"/>
        </w:rPr>
        <w:tab/>
        <w:t>兴银汇悦一年定期开放债券型发起式证券投资基金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25.</w:t>
      </w:r>
      <w:r w:rsidRPr="00856300">
        <w:rPr>
          <w:rFonts w:ascii="仿宋" w:eastAsia="仿宋" w:hAnsi="仿宋" w:hint="eastAsia"/>
          <w:sz w:val="28"/>
          <w:szCs w:val="28"/>
        </w:rPr>
        <w:tab/>
        <w:t>兴银汇智一年定期开放债券型发起式证券投资基金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26.</w:t>
      </w:r>
      <w:r w:rsidRPr="00856300">
        <w:rPr>
          <w:rFonts w:ascii="仿宋" w:eastAsia="仿宋" w:hAnsi="仿宋" w:hint="eastAsia"/>
          <w:sz w:val="28"/>
          <w:szCs w:val="28"/>
        </w:rPr>
        <w:tab/>
        <w:t>兴银丰运稳益回报混合型证券投资基金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27.</w:t>
      </w:r>
      <w:r w:rsidRPr="00856300">
        <w:rPr>
          <w:rFonts w:ascii="仿宋" w:eastAsia="仿宋" w:hAnsi="仿宋" w:hint="eastAsia"/>
          <w:sz w:val="28"/>
          <w:szCs w:val="28"/>
        </w:rPr>
        <w:tab/>
        <w:t>兴银研究精选股票型证券投资基金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28.</w:t>
      </w:r>
      <w:r w:rsidRPr="00856300">
        <w:rPr>
          <w:rFonts w:ascii="仿宋" w:eastAsia="仿宋" w:hAnsi="仿宋" w:hint="eastAsia"/>
          <w:sz w:val="28"/>
          <w:szCs w:val="28"/>
        </w:rPr>
        <w:tab/>
        <w:t>兴银景气优选混合型证券投资基金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29.兴银策略智选混合型证券投资基金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29.</w:t>
      </w:r>
      <w:r w:rsidRPr="00856300">
        <w:rPr>
          <w:rFonts w:ascii="仿宋" w:eastAsia="仿宋" w:hAnsi="仿宋" w:hint="eastAsia"/>
          <w:sz w:val="28"/>
          <w:szCs w:val="28"/>
        </w:rPr>
        <w:tab/>
        <w:t>兴银汇泽87个月定期开放债券型证券投资基金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30.</w:t>
      </w:r>
      <w:r w:rsidRPr="00856300">
        <w:rPr>
          <w:rFonts w:ascii="仿宋" w:eastAsia="仿宋" w:hAnsi="仿宋" w:hint="eastAsia"/>
          <w:sz w:val="28"/>
          <w:szCs w:val="28"/>
        </w:rPr>
        <w:tab/>
        <w:t>兴银科技增长1个月滚动持有期混合型证券投资基金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31.</w:t>
      </w:r>
      <w:r w:rsidRPr="00856300">
        <w:rPr>
          <w:rFonts w:ascii="仿宋" w:eastAsia="仿宋" w:hAnsi="仿宋" w:hint="eastAsia"/>
          <w:sz w:val="28"/>
          <w:szCs w:val="28"/>
        </w:rPr>
        <w:tab/>
        <w:t>兴银中证500指数增强型证券投资基金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32.</w:t>
      </w:r>
      <w:r w:rsidRPr="00856300">
        <w:rPr>
          <w:rFonts w:ascii="仿宋" w:eastAsia="仿宋" w:hAnsi="仿宋" w:hint="eastAsia"/>
          <w:sz w:val="28"/>
          <w:szCs w:val="28"/>
        </w:rPr>
        <w:tab/>
        <w:t>兴银高端制造混合型证券投资基金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33.</w:t>
      </w:r>
      <w:r w:rsidRPr="00856300">
        <w:rPr>
          <w:rFonts w:ascii="仿宋" w:eastAsia="仿宋" w:hAnsi="仿宋" w:hint="eastAsia"/>
          <w:sz w:val="28"/>
          <w:szCs w:val="28"/>
        </w:rPr>
        <w:tab/>
        <w:t>兴银稳安60天滚动持有债券型发起式证券投资基金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34.</w:t>
      </w:r>
      <w:r w:rsidRPr="00856300">
        <w:rPr>
          <w:rFonts w:ascii="仿宋" w:eastAsia="仿宋" w:hAnsi="仿宋" w:hint="eastAsia"/>
          <w:sz w:val="28"/>
          <w:szCs w:val="28"/>
        </w:rPr>
        <w:tab/>
        <w:t>兴银中证科创创业50指数型证券投资基金</w:t>
      </w:r>
    </w:p>
    <w:p w:rsidR="00F32109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lastRenderedPageBreak/>
        <w:t>35.</w:t>
      </w:r>
      <w:r w:rsidRPr="00856300">
        <w:rPr>
          <w:rFonts w:ascii="仿宋" w:eastAsia="仿宋" w:hAnsi="仿宋" w:hint="eastAsia"/>
          <w:sz w:val="28"/>
          <w:szCs w:val="28"/>
        </w:rPr>
        <w:tab/>
        <w:t>兴银国证新能源车电池交易型开放式指数证</w:t>
      </w:r>
      <w:r w:rsidR="00F32109">
        <w:rPr>
          <w:rFonts w:ascii="仿宋" w:eastAsia="仿宋" w:hAnsi="仿宋" w:hint="eastAsia"/>
          <w:sz w:val="28"/>
          <w:szCs w:val="28"/>
        </w:rPr>
        <w:t>券投资基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36.</w:t>
      </w:r>
      <w:r w:rsidRPr="00856300">
        <w:rPr>
          <w:rFonts w:ascii="仿宋" w:eastAsia="仿宋" w:hAnsi="仿宋" w:hint="eastAsia"/>
          <w:sz w:val="28"/>
          <w:szCs w:val="28"/>
        </w:rPr>
        <w:tab/>
        <w:t>兴银兴慧一年持有期混合型证券投资基金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37.</w:t>
      </w:r>
      <w:r w:rsidRPr="00856300">
        <w:rPr>
          <w:rFonts w:ascii="仿宋" w:eastAsia="仿宋" w:hAnsi="仿宋" w:hint="eastAsia"/>
          <w:sz w:val="28"/>
          <w:szCs w:val="28"/>
        </w:rPr>
        <w:tab/>
        <w:t>兴银汇泓一年定期开放债券型发起式证券投资基金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38.</w:t>
      </w:r>
      <w:r w:rsidRPr="00856300">
        <w:rPr>
          <w:rFonts w:ascii="仿宋" w:eastAsia="仿宋" w:hAnsi="仿宋" w:hint="eastAsia"/>
          <w:sz w:val="28"/>
          <w:szCs w:val="28"/>
        </w:rPr>
        <w:tab/>
        <w:t>兴银中证1000指数增强型证券投资基金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40．兴银碳中和主题混合型证券投资基金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41.</w:t>
      </w:r>
      <w:r w:rsidRPr="00856300">
        <w:rPr>
          <w:rFonts w:ascii="仿宋" w:eastAsia="仿宋" w:hAnsi="仿宋" w:hint="eastAsia"/>
          <w:sz w:val="28"/>
          <w:szCs w:val="28"/>
        </w:rPr>
        <w:tab/>
        <w:t>兴银稳益30天持有期债券型证券投资基金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42.</w:t>
      </w:r>
      <w:r w:rsidRPr="00856300">
        <w:rPr>
          <w:rFonts w:ascii="仿宋" w:eastAsia="仿宋" w:hAnsi="仿宋" w:hint="eastAsia"/>
          <w:sz w:val="28"/>
          <w:szCs w:val="28"/>
        </w:rPr>
        <w:tab/>
        <w:t>兴银合鑫债券型证券投资基金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43.</w:t>
      </w:r>
      <w:r w:rsidRPr="00856300">
        <w:rPr>
          <w:rFonts w:ascii="仿宋" w:eastAsia="仿宋" w:hAnsi="仿宋" w:hint="eastAsia"/>
          <w:sz w:val="28"/>
          <w:szCs w:val="28"/>
        </w:rPr>
        <w:tab/>
        <w:t>兴银中证同业存单AAA指数7天持有期证券投资基金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44.</w:t>
      </w:r>
      <w:r w:rsidRPr="00856300">
        <w:rPr>
          <w:rFonts w:ascii="仿宋" w:eastAsia="仿宋" w:hAnsi="仿宋" w:hint="eastAsia"/>
          <w:sz w:val="28"/>
          <w:szCs w:val="28"/>
        </w:rPr>
        <w:tab/>
        <w:t>兴银竞争优势混合型证券投资基金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45.</w:t>
      </w:r>
      <w:r w:rsidRPr="00856300">
        <w:rPr>
          <w:rFonts w:ascii="仿宋" w:eastAsia="仿宋" w:hAnsi="仿宋" w:hint="eastAsia"/>
          <w:sz w:val="28"/>
          <w:szCs w:val="28"/>
        </w:rPr>
        <w:tab/>
        <w:t>兴银中证港股通科技交易型开放式指数证券投资基金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46.</w:t>
      </w:r>
      <w:r w:rsidRPr="00856300">
        <w:rPr>
          <w:rFonts w:ascii="仿宋" w:eastAsia="仿宋" w:hAnsi="仿宋" w:hint="eastAsia"/>
          <w:sz w:val="28"/>
          <w:szCs w:val="28"/>
        </w:rPr>
        <w:tab/>
        <w:t>兴银合泰债券型证券投资基金</w:t>
      </w:r>
    </w:p>
    <w:p w:rsidR="00F32109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47.</w:t>
      </w:r>
      <w:r w:rsidRPr="00856300">
        <w:rPr>
          <w:rFonts w:ascii="仿宋" w:eastAsia="仿宋" w:hAnsi="仿宋" w:hint="eastAsia"/>
          <w:sz w:val="28"/>
          <w:szCs w:val="28"/>
        </w:rPr>
        <w:tab/>
        <w:t>兴银稳建90天持有期中短债债券型证券投资基金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48.</w:t>
      </w:r>
      <w:r w:rsidRPr="00856300">
        <w:rPr>
          <w:rFonts w:ascii="仿宋" w:eastAsia="仿宋" w:hAnsi="仿宋" w:hint="eastAsia"/>
          <w:sz w:val="28"/>
          <w:szCs w:val="28"/>
        </w:rPr>
        <w:tab/>
        <w:t>兴银稳惠180天持有期混合型证券投资基金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49.</w:t>
      </w:r>
      <w:r w:rsidRPr="00856300">
        <w:rPr>
          <w:rFonts w:ascii="仿宋" w:eastAsia="仿宋" w:hAnsi="仿宋" w:hint="eastAsia"/>
          <w:sz w:val="28"/>
          <w:szCs w:val="28"/>
        </w:rPr>
        <w:tab/>
        <w:t>兴银智选消费混合型证券投资基金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50.</w:t>
      </w:r>
      <w:r w:rsidRPr="00856300">
        <w:rPr>
          <w:rFonts w:ascii="仿宋" w:eastAsia="仿宋" w:hAnsi="仿宋" w:hint="eastAsia"/>
          <w:sz w:val="28"/>
          <w:szCs w:val="28"/>
        </w:rPr>
        <w:tab/>
        <w:t>兴银创盈一年定期开放债券型发起式证券投资基金</w:t>
      </w:r>
      <w:r w:rsidR="00F32109" w:rsidRPr="00856300">
        <w:rPr>
          <w:rFonts w:ascii="仿宋" w:eastAsia="仿宋" w:hAnsi="仿宋" w:hint="eastAsia"/>
          <w:sz w:val="28"/>
          <w:szCs w:val="28"/>
        </w:rPr>
        <w:t xml:space="preserve"> 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51.</w:t>
      </w:r>
      <w:r w:rsidRPr="00856300">
        <w:rPr>
          <w:rFonts w:ascii="仿宋" w:eastAsia="仿宋" w:hAnsi="仿宋" w:hint="eastAsia"/>
          <w:sz w:val="28"/>
          <w:szCs w:val="28"/>
        </w:rPr>
        <w:tab/>
        <w:t>兴银价值平衡混合型证券投资基金</w:t>
      </w:r>
    </w:p>
    <w:p w:rsidR="00856300" w:rsidRPr="00856300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52.</w:t>
      </w:r>
      <w:r w:rsidRPr="00856300">
        <w:rPr>
          <w:rFonts w:ascii="仿宋" w:eastAsia="仿宋" w:hAnsi="仿宋" w:hint="eastAsia"/>
          <w:sz w:val="28"/>
          <w:szCs w:val="28"/>
        </w:rPr>
        <w:tab/>
        <w:t>兴银先进制造智选混合型发起式证券投资基金</w:t>
      </w:r>
    </w:p>
    <w:p w:rsidR="00856300" w:rsidRPr="00856300" w:rsidRDefault="00856300" w:rsidP="00856300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53.</w:t>
      </w:r>
      <w:r w:rsidRPr="00856300">
        <w:rPr>
          <w:rFonts w:ascii="仿宋" w:eastAsia="仿宋" w:hAnsi="仿宋" w:hint="eastAsia"/>
          <w:sz w:val="28"/>
          <w:szCs w:val="28"/>
        </w:rPr>
        <w:tab/>
        <w:t>兴银聚优智选混合型发起式证券投资基金</w:t>
      </w:r>
    </w:p>
    <w:p w:rsidR="00F32109" w:rsidRDefault="00856300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856300">
        <w:rPr>
          <w:rFonts w:ascii="仿宋" w:eastAsia="仿宋" w:hAnsi="仿宋" w:hint="eastAsia"/>
          <w:sz w:val="28"/>
          <w:szCs w:val="28"/>
        </w:rPr>
        <w:t>54.</w:t>
      </w:r>
      <w:r w:rsidRPr="00856300">
        <w:rPr>
          <w:rFonts w:ascii="仿宋" w:eastAsia="仿宋" w:hAnsi="仿宋" w:hint="eastAsia"/>
          <w:sz w:val="28"/>
          <w:szCs w:val="28"/>
        </w:rPr>
        <w:tab/>
        <w:t>兴银数字经济智选混合型发起式证券投资基金</w:t>
      </w:r>
    </w:p>
    <w:p w:rsidR="00645E5D" w:rsidRPr="00F32109" w:rsidRDefault="00377F17" w:rsidP="00F32109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AA7595">
        <w:rPr>
          <w:rFonts w:ascii="仿宋" w:eastAsia="仿宋" w:hAnsi="仿宋" w:hint="eastAsia"/>
          <w:color w:val="000000" w:themeColor="text1"/>
          <w:sz w:val="28"/>
          <w:szCs w:val="28"/>
        </w:rPr>
        <w:t>年度报告</w:t>
      </w: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AA7595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AA7595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9455A1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AA7595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9455A1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9455A1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日在本公司网站（</w:t>
      </w:r>
      <w:r w:rsidRPr="00F27FFD">
        <w:rPr>
          <w:rFonts w:ascii="仿宋" w:eastAsia="仿宋" w:hAnsi="仿宋"/>
          <w:color w:val="000000" w:themeColor="text1"/>
          <w:sz w:val="28"/>
          <w:szCs w:val="28"/>
        </w:rPr>
        <w:t>http://www.hffunds.cn</w:t>
      </w: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）和中国证监会基金电子披露网站（http://eid.csrc.gov.cn/fund）披露，供投资者查阅。如有疑问可拨打本公司客服电话（</w:t>
      </w:r>
      <w:r w:rsidRPr="00F27FFD">
        <w:rPr>
          <w:rFonts w:ascii="仿宋" w:eastAsia="仿宋" w:hAnsi="仿宋"/>
          <w:color w:val="000000" w:themeColor="text1"/>
          <w:sz w:val="28"/>
          <w:szCs w:val="28"/>
        </w:rPr>
        <w:t>40000-96326</w:t>
      </w: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）咨询。</w:t>
      </w:r>
    </w:p>
    <w:p w:rsidR="00645E5D" w:rsidRPr="00F27FFD" w:rsidRDefault="00377F17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45E5D" w:rsidRPr="00F27FFD" w:rsidRDefault="00377F17" w:rsidP="00966806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645E5D" w:rsidRPr="00F27FFD" w:rsidRDefault="00377F17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兴银基金</w:t>
      </w:r>
      <w:r w:rsidRPr="00F27FFD">
        <w:rPr>
          <w:rFonts w:ascii="仿宋" w:eastAsia="仿宋" w:hAnsi="仿宋"/>
          <w:color w:val="000000" w:themeColor="text1"/>
          <w:sz w:val="28"/>
          <w:szCs w:val="28"/>
        </w:rPr>
        <w:t>管理有限责任公司</w:t>
      </w:r>
    </w:p>
    <w:p w:rsidR="00645E5D" w:rsidRDefault="00377F17" w:rsidP="00966806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F27FFD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Pr="00F27FFD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9455A1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F27FFD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AA7595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F27FFD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9455A1">
        <w:rPr>
          <w:rFonts w:ascii="仿宋" w:eastAsia="仿宋" w:hAnsi="仿宋"/>
          <w:color w:val="000000" w:themeColor="text1"/>
          <w:sz w:val="28"/>
          <w:szCs w:val="28"/>
        </w:rPr>
        <w:t>31</w:t>
      </w:r>
      <w:r w:rsidRPr="00F27FFD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645E5D" w:rsidSect="007A7532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E6" w:rsidRDefault="00DC7EE6">
      <w:r>
        <w:separator/>
      </w:r>
    </w:p>
  </w:endnote>
  <w:endnote w:type="continuationSeparator" w:id="0">
    <w:p w:rsidR="00DC7EE6" w:rsidRDefault="00DC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645E5D" w:rsidRDefault="007A7532">
        <w:pPr>
          <w:pStyle w:val="a6"/>
          <w:jc w:val="center"/>
        </w:pPr>
        <w:r>
          <w:fldChar w:fldCharType="begin"/>
        </w:r>
        <w:r w:rsidR="00377F17">
          <w:instrText>PAGE   \* MERGEFORMAT</w:instrText>
        </w:r>
        <w:r>
          <w:fldChar w:fldCharType="separate"/>
        </w:r>
        <w:r w:rsidR="00173231" w:rsidRPr="00173231">
          <w:rPr>
            <w:noProof/>
            <w:lang w:val="zh-CN"/>
          </w:rPr>
          <w:t>2</w:t>
        </w:r>
        <w:r>
          <w:fldChar w:fldCharType="end"/>
        </w:r>
      </w:p>
    </w:sdtContent>
  </w:sdt>
  <w:p w:rsidR="00645E5D" w:rsidRDefault="00645E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645E5D" w:rsidRDefault="007A7532">
        <w:pPr>
          <w:pStyle w:val="a6"/>
          <w:jc w:val="center"/>
        </w:pPr>
        <w:r>
          <w:fldChar w:fldCharType="begin"/>
        </w:r>
        <w:r w:rsidR="00377F17">
          <w:instrText>PAGE   \* MERGEFORMAT</w:instrText>
        </w:r>
        <w:r>
          <w:fldChar w:fldCharType="separate"/>
        </w:r>
        <w:r w:rsidR="00173231" w:rsidRPr="00173231">
          <w:rPr>
            <w:noProof/>
            <w:lang w:val="zh-CN"/>
          </w:rPr>
          <w:t>1</w:t>
        </w:r>
        <w:r>
          <w:fldChar w:fldCharType="end"/>
        </w:r>
      </w:p>
    </w:sdtContent>
  </w:sdt>
  <w:p w:rsidR="00645E5D" w:rsidRDefault="00645E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E6" w:rsidRDefault="00DC7EE6">
      <w:r>
        <w:separator/>
      </w:r>
    </w:p>
  </w:footnote>
  <w:footnote w:type="continuationSeparator" w:id="0">
    <w:p w:rsidR="00DC7EE6" w:rsidRDefault="00DC7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1702"/>
    <w:rsid w:val="000475F0"/>
    <w:rsid w:val="000539F6"/>
    <w:rsid w:val="00056EE0"/>
    <w:rsid w:val="00057323"/>
    <w:rsid w:val="0008010F"/>
    <w:rsid w:val="00081ADE"/>
    <w:rsid w:val="00084E7D"/>
    <w:rsid w:val="000850B8"/>
    <w:rsid w:val="00087988"/>
    <w:rsid w:val="0009227A"/>
    <w:rsid w:val="00093E55"/>
    <w:rsid w:val="00094F20"/>
    <w:rsid w:val="0009667C"/>
    <w:rsid w:val="000A0272"/>
    <w:rsid w:val="000A0ECE"/>
    <w:rsid w:val="000A588E"/>
    <w:rsid w:val="000B53A5"/>
    <w:rsid w:val="000C06E1"/>
    <w:rsid w:val="000C1032"/>
    <w:rsid w:val="000D18EF"/>
    <w:rsid w:val="000D5CCB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231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219F"/>
    <w:rsid w:val="001E7CAD"/>
    <w:rsid w:val="001F125D"/>
    <w:rsid w:val="001F15CB"/>
    <w:rsid w:val="001F533E"/>
    <w:rsid w:val="0021172E"/>
    <w:rsid w:val="00221DE2"/>
    <w:rsid w:val="00234298"/>
    <w:rsid w:val="00242EA9"/>
    <w:rsid w:val="002471D4"/>
    <w:rsid w:val="00253326"/>
    <w:rsid w:val="00261CDE"/>
    <w:rsid w:val="0026276F"/>
    <w:rsid w:val="00276CA4"/>
    <w:rsid w:val="002823E9"/>
    <w:rsid w:val="00282A7F"/>
    <w:rsid w:val="00283C47"/>
    <w:rsid w:val="00284E14"/>
    <w:rsid w:val="00293DE4"/>
    <w:rsid w:val="002941EC"/>
    <w:rsid w:val="002949B0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5CD0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048E"/>
    <w:rsid w:val="00355B7C"/>
    <w:rsid w:val="00361065"/>
    <w:rsid w:val="0036248F"/>
    <w:rsid w:val="00377F17"/>
    <w:rsid w:val="0038024A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35DA"/>
    <w:rsid w:val="003E74FB"/>
    <w:rsid w:val="003F4E13"/>
    <w:rsid w:val="003F6960"/>
    <w:rsid w:val="0040020D"/>
    <w:rsid w:val="0040459A"/>
    <w:rsid w:val="00405ADB"/>
    <w:rsid w:val="00423967"/>
    <w:rsid w:val="004254EE"/>
    <w:rsid w:val="0042650C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D1E"/>
    <w:rsid w:val="00467E81"/>
    <w:rsid w:val="004744B6"/>
    <w:rsid w:val="004748B9"/>
    <w:rsid w:val="00477BA8"/>
    <w:rsid w:val="00477EB2"/>
    <w:rsid w:val="0048111A"/>
    <w:rsid w:val="00487BF1"/>
    <w:rsid w:val="00491FCB"/>
    <w:rsid w:val="00494D49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843"/>
    <w:rsid w:val="004E1D5E"/>
    <w:rsid w:val="004E4984"/>
    <w:rsid w:val="004E630B"/>
    <w:rsid w:val="004F7313"/>
    <w:rsid w:val="005158A6"/>
    <w:rsid w:val="005167D1"/>
    <w:rsid w:val="0052094C"/>
    <w:rsid w:val="00534A41"/>
    <w:rsid w:val="0053650E"/>
    <w:rsid w:val="0053771F"/>
    <w:rsid w:val="00542535"/>
    <w:rsid w:val="00544E6E"/>
    <w:rsid w:val="00547910"/>
    <w:rsid w:val="00551033"/>
    <w:rsid w:val="00551FE0"/>
    <w:rsid w:val="00560AC4"/>
    <w:rsid w:val="00562A48"/>
    <w:rsid w:val="00563FE4"/>
    <w:rsid w:val="00567A02"/>
    <w:rsid w:val="005711D9"/>
    <w:rsid w:val="0057343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1D90"/>
    <w:rsid w:val="00641CEA"/>
    <w:rsid w:val="00645E5D"/>
    <w:rsid w:val="0065080E"/>
    <w:rsid w:val="00655229"/>
    <w:rsid w:val="00656B0C"/>
    <w:rsid w:val="00660660"/>
    <w:rsid w:val="0066309A"/>
    <w:rsid w:val="0066627D"/>
    <w:rsid w:val="00673D5F"/>
    <w:rsid w:val="006832A2"/>
    <w:rsid w:val="00684A20"/>
    <w:rsid w:val="00690EC4"/>
    <w:rsid w:val="006962CB"/>
    <w:rsid w:val="006A0BB0"/>
    <w:rsid w:val="006A7F42"/>
    <w:rsid w:val="006B4697"/>
    <w:rsid w:val="006B7E59"/>
    <w:rsid w:val="006C1BAD"/>
    <w:rsid w:val="006D17EF"/>
    <w:rsid w:val="006E3AC8"/>
    <w:rsid w:val="006E3C8D"/>
    <w:rsid w:val="006E3E49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494"/>
    <w:rsid w:val="00756CAD"/>
    <w:rsid w:val="007629BB"/>
    <w:rsid w:val="00762A82"/>
    <w:rsid w:val="007703B8"/>
    <w:rsid w:val="00771227"/>
    <w:rsid w:val="00772D42"/>
    <w:rsid w:val="00775751"/>
    <w:rsid w:val="00777FE7"/>
    <w:rsid w:val="00781015"/>
    <w:rsid w:val="00787132"/>
    <w:rsid w:val="007900FC"/>
    <w:rsid w:val="00794869"/>
    <w:rsid w:val="00797876"/>
    <w:rsid w:val="007A5116"/>
    <w:rsid w:val="007A5263"/>
    <w:rsid w:val="007A7532"/>
    <w:rsid w:val="007B3A14"/>
    <w:rsid w:val="007B4EC6"/>
    <w:rsid w:val="007B549A"/>
    <w:rsid w:val="007B5745"/>
    <w:rsid w:val="007B6893"/>
    <w:rsid w:val="007C3F2C"/>
    <w:rsid w:val="007C51E4"/>
    <w:rsid w:val="007C6C2C"/>
    <w:rsid w:val="007D4066"/>
    <w:rsid w:val="007E3EED"/>
    <w:rsid w:val="007F136D"/>
    <w:rsid w:val="007F60CB"/>
    <w:rsid w:val="00801AAB"/>
    <w:rsid w:val="0080773A"/>
    <w:rsid w:val="0081788D"/>
    <w:rsid w:val="008222AA"/>
    <w:rsid w:val="00825398"/>
    <w:rsid w:val="008263AE"/>
    <w:rsid w:val="008318C0"/>
    <w:rsid w:val="00831A29"/>
    <w:rsid w:val="00832B61"/>
    <w:rsid w:val="00835A88"/>
    <w:rsid w:val="00847A69"/>
    <w:rsid w:val="00847AAC"/>
    <w:rsid w:val="0085630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2695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55A1"/>
    <w:rsid w:val="009465EA"/>
    <w:rsid w:val="009506DC"/>
    <w:rsid w:val="009566C4"/>
    <w:rsid w:val="00956DD9"/>
    <w:rsid w:val="009628AE"/>
    <w:rsid w:val="00966806"/>
    <w:rsid w:val="00967A04"/>
    <w:rsid w:val="00973509"/>
    <w:rsid w:val="0097750E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6454"/>
    <w:rsid w:val="00A37A94"/>
    <w:rsid w:val="00A41611"/>
    <w:rsid w:val="00A42AF2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57B3"/>
    <w:rsid w:val="00A87DCB"/>
    <w:rsid w:val="00AA6CF8"/>
    <w:rsid w:val="00AA7595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2EFD"/>
    <w:rsid w:val="00B23F95"/>
    <w:rsid w:val="00B25BAB"/>
    <w:rsid w:val="00B26285"/>
    <w:rsid w:val="00B330BD"/>
    <w:rsid w:val="00B33F4A"/>
    <w:rsid w:val="00B347A9"/>
    <w:rsid w:val="00B41297"/>
    <w:rsid w:val="00B504F2"/>
    <w:rsid w:val="00B510CF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08D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6932"/>
    <w:rsid w:val="00C61988"/>
    <w:rsid w:val="00C64316"/>
    <w:rsid w:val="00C66F5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7B"/>
    <w:rsid w:val="00CE43F8"/>
    <w:rsid w:val="00CE7C8B"/>
    <w:rsid w:val="00CF01CC"/>
    <w:rsid w:val="00CF6D5C"/>
    <w:rsid w:val="00D10B1F"/>
    <w:rsid w:val="00D11E1F"/>
    <w:rsid w:val="00D20C81"/>
    <w:rsid w:val="00D27ADB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267"/>
    <w:rsid w:val="00D62A71"/>
    <w:rsid w:val="00D70A3B"/>
    <w:rsid w:val="00D72110"/>
    <w:rsid w:val="00D9064B"/>
    <w:rsid w:val="00D919AF"/>
    <w:rsid w:val="00D937BD"/>
    <w:rsid w:val="00D974B7"/>
    <w:rsid w:val="00DA2D7C"/>
    <w:rsid w:val="00DA640F"/>
    <w:rsid w:val="00DB6F0A"/>
    <w:rsid w:val="00DC2C4B"/>
    <w:rsid w:val="00DC7EE6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4840"/>
    <w:rsid w:val="00E7407A"/>
    <w:rsid w:val="00E81A0A"/>
    <w:rsid w:val="00E84EB9"/>
    <w:rsid w:val="00E964F7"/>
    <w:rsid w:val="00EA6F84"/>
    <w:rsid w:val="00EB7931"/>
    <w:rsid w:val="00ED3319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071"/>
    <w:rsid w:val="00F21B05"/>
    <w:rsid w:val="00F25F52"/>
    <w:rsid w:val="00F27FFD"/>
    <w:rsid w:val="00F32109"/>
    <w:rsid w:val="00F469D5"/>
    <w:rsid w:val="00F47FEE"/>
    <w:rsid w:val="00F527B3"/>
    <w:rsid w:val="00F60840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3A1F"/>
    <w:rsid w:val="768A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7A7532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7A7532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A753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A7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7A7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semiHidden/>
    <w:unhideWhenUsed/>
    <w:rsid w:val="007A7532"/>
    <w:pPr>
      <w:snapToGrid w:val="0"/>
      <w:jc w:val="left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7A753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A7532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7A7532"/>
    <w:rPr>
      <w:vertAlign w:val="superscript"/>
    </w:rPr>
  </w:style>
  <w:style w:type="character" w:customStyle="1" w:styleId="Char3">
    <w:name w:val="页眉 Char"/>
    <w:basedOn w:val="a0"/>
    <w:link w:val="a7"/>
    <w:uiPriority w:val="99"/>
    <w:rsid w:val="007A753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A7532"/>
    <w:rPr>
      <w:sz w:val="18"/>
      <w:szCs w:val="18"/>
    </w:rPr>
  </w:style>
  <w:style w:type="paragraph" w:styleId="ac">
    <w:name w:val="List Paragraph"/>
    <w:basedOn w:val="a"/>
    <w:uiPriority w:val="34"/>
    <w:qFormat/>
    <w:rsid w:val="007A7532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sid w:val="007A753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7A7532"/>
  </w:style>
  <w:style w:type="character" w:customStyle="1" w:styleId="Char">
    <w:name w:val="批注主题 Char"/>
    <w:basedOn w:val="Char0"/>
    <w:link w:val="a3"/>
    <w:uiPriority w:val="99"/>
    <w:semiHidden/>
    <w:qFormat/>
    <w:rsid w:val="007A7532"/>
    <w:rPr>
      <w:b/>
      <w:bCs/>
    </w:rPr>
  </w:style>
  <w:style w:type="character" w:customStyle="1" w:styleId="Char4">
    <w:name w:val="脚注文本 Char"/>
    <w:basedOn w:val="a0"/>
    <w:link w:val="a8"/>
    <w:uiPriority w:val="99"/>
    <w:semiHidden/>
    <w:rsid w:val="007A75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FD108-8CFA-449C-B3BC-F459B6D4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1344</Characters>
  <Application>Microsoft Office Word</Application>
  <DocSecurity>4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2025-03-30T16:03:00Z</dcterms:created>
  <dcterms:modified xsi:type="dcterms:W3CDTF">2025-03-30T16:03:00Z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