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A" w:rsidRDefault="006750B9">
      <w:pPr>
        <w:widowControl/>
        <w:snapToGrid w:val="0"/>
        <w:spacing w:line="360" w:lineRule="auto"/>
        <w:jc w:val="center"/>
        <w:rPr>
          <w:rFonts w:ascii="宋体"/>
          <w:b/>
          <w:kern w:val="0"/>
          <w:sz w:val="30"/>
          <w:szCs w:val="30"/>
        </w:rPr>
      </w:pPr>
      <w:r>
        <w:rPr>
          <w:rFonts w:ascii="宋体" w:hint="eastAsia"/>
          <w:b/>
          <w:kern w:val="0"/>
          <w:sz w:val="30"/>
          <w:szCs w:val="30"/>
        </w:rPr>
        <w:t>鹏华基金</w:t>
      </w:r>
      <w:r>
        <w:rPr>
          <w:rFonts w:ascii="宋体"/>
          <w:b/>
          <w:kern w:val="0"/>
          <w:sz w:val="30"/>
          <w:szCs w:val="30"/>
        </w:rPr>
        <w:t>管理有限公司</w:t>
      </w:r>
      <w:r>
        <w:rPr>
          <w:rFonts w:ascii="宋体" w:hint="eastAsia"/>
          <w:b/>
          <w:kern w:val="0"/>
          <w:sz w:val="30"/>
          <w:szCs w:val="30"/>
        </w:rPr>
        <w:t>关于指定旗下部分</w:t>
      </w:r>
      <w:r>
        <w:rPr>
          <w:rFonts w:ascii="宋体"/>
          <w:b/>
          <w:kern w:val="0"/>
          <w:sz w:val="30"/>
          <w:szCs w:val="30"/>
        </w:rPr>
        <w:t>证券投资基金</w:t>
      </w:r>
    </w:p>
    <w:p w:rsidR="00732C9A" w:rsidRDefault="006750B9">
      <w:pPr>
        <w:widowControl/>
        <w:snapToGrid w:val="0"/>
        <w:spacing w:line="360" w:lineRule="auto"/>
        <w:jc w:val="center"/>
        <w:rPr>
          <w:rFonts w:ascii="宋体"/>
          <w:b/>
          <w:kern w:val="0"/>
          <w:sz w:val="30"/>
          <w:szCs w:val="30"/>
        </w:rPr>
      </w:pPr>
      <w:r>
        <w:rPr>
          <w:rFonts w:ascii="宋体" w:hint="eastAsia"/>
          <w:b/>
          <w:kern w:val="0"/>
          <w:sz w:val="30"/>
          <w:szCs w:val="30"/>
        </w:rPr>
        <w:t>主流动性服务商的公告</w:t>
      </w:r>
    </w:p>
    <w:p w:rsidR="00732C9A" w:rsidRDefault="00732C9A">
      <w:pPr>
        <w:widowControl/>
        <w:snapToGrid w:val="0"/>
        <w:spacing w:line="440" w:lineRule="exact"/>
        <w:ind w:firstLine="600"/>
        <w:jc w:val="center"/>
        <w:rPr>
          <w:rFonts w:ascii="宋体"/>
          <w:kern w:val="0"/>
          <w:sz w:val="30"/>
          <w:szCs w:val="30"/>
        </w:rPr>
      </w:pPr>
    </w:p>
    <w:p w:rsidR="00732C9A" w:rsidRDefault="006750B9">
      <w:pPr>
        <w:spacing w:line="360" w:lineRule="auto"/>
        <w:ind w:firstLine="420"/>
        <w:rPr>
          <w:rFonts w:ascii="宋体"/>
          <w:sz w:val="24"/>
        </w:rPr>
      </w:pPr>
      <w:r>
        <w:rPr>
          <w:rFonts w:ascii="宋体" w:hint="eastAsia"/>
          <w:sz w:val="24"/>
        </w:rPr>
        <w:t>根据《深圳证券交易所证券投资基金业务指引第</w:t>
      </w:r>
      <w:r>
        <w:rPr>
          <w:rFonts w:ascii="宋体" w:hint="eastAsia"/>
          <w:sz w:val="24"/>
        </w:rPr>
        <w:t>2</w:t>
      </w:r>
      <w:r>
        <w:rPr>
          <w:rFonts w:ascii="宋体" w:hint="eastAsia"/>
          <w:sz w:val="24"/>
        </w:rPr>
        <w:t>号——流动性服务》等有关规定，自</w:t>
      </w:r>
      <w:r>
        <w:rPr>
          <w:rFonts w:ascii="宋体" w:hint="eastAsia"/>
          <w:sz w:val="24"/>
        </w:rPr>
        <w:t>202</w:t>
      </w:r>
      <w:r>
        <w:rPr>
          <w:rFonts w:ascii="宋体" w:hint="eastAsia"/>
          <w:sz w:val="24"/>
        </w:rPr>
        <w:t>5</w:t>
      </w:r>
      <w:r>
        <w:rPr>
          <w:rFonts w:ascii="宋体" w:hint="eastAsia"/>
          <w:sz w:val="24"/>
        </w:rPr>
        <w:t>年</w:t>
      </w:r>
      <w:r>
        <w:rPr>
          <w:rFonts w:ascii="宋体" w:hint="eastAsia"/>
          <w:sz w:val="24"/>
        </w:rPr>
        <w:t>3</w:t>
      </w:r>
      <w:r>
        <w:rPr>
          <w:rFonts w:ascii="宋体" w:hint="eastAsia"/>
          <w:sz w:val="24"/>
        </w:rPr>
        <w:t>月</w:t>
      </w:r>
      <w:r>
        <w:rPr>
          <w:rFonts w:ascii="宋体" w:hint="eastAsia"/>
          <w:sz w:val="24"/>
        </w:rPr>
        <w:t>31</w:t>
      </w:r>
      <w:r>
        <w:rPr>
          <w:rFonts w:ascii="宋体" w:hint="eastAsia"/>
          <w:sz w:val="24"/>
        </w:rPr>
        <w:t>日起，本公司指定下列流动性服务商为相关证券投资基金的主流动性服务商</w:t>
      </w:r>
      <w:r>
        <w:rPr>
          <w:rFonts w:ascii="宋体"/>
          <w:sz w:val="24"/>
        </w:rPr>
        <w:t>：</w:t>
      </w:r>
    </w:p>
    <w:p w:rsidR="00732C9A" w:rsidRDefault="006750B9">
      <w:pPr>
        <w:spacing w:line="360" w:lineRule="auto"/>
        <w:ind w:firstLine="420"/>
        <w:rPr>
          <w:rFonts w:ascii="宋体"/>
          <w:sz w:val="24"/>
        </w:rPr>
      </w:pPr>
      <w:r>
        <w:rPr>
          <w:rFonts w:ascii="宋体" w:hint="eastAsia"/>
          <w:sz w:val="24"/>
        </w:rPr>
        <w:t>1</w:t>
      </w:r>
      <w:r>
        <w:rPr>
          <w:rFonts w:ascii="宋体" w:hint="eastAsia"/>
          <w:sz w:val="24"/>
        </w:rPr>
        <w:t>、鹏华国证疫苗与生物科技交易型开放式指数证券投资基金（基金代码：</w:t>
      </w:r>
      <w:r>
        <w:rPr>
          <w:rFonts w:ascii="宋体" w:hint="eastAsia"/>
          <w:sz w:val="24"/>
        </w:rPr>
        <w:t>159657</w:t>
      </w:r>
      <w:r>
        <w:rPr>
          <w:rFonts w:ascii="宋体" w:hint="eastAsia"/>
          <w:sz w:val="24"/>
        </w:rPr>
        <w:t>）：</w:t>
      </w:r>
    </w:p>
    <w:p w:rsidR="00732C9A" w:rsidRDefault="006750B9">
      <w:pPr>
        <w:spacing w:line="360" w:lineRule="auto"/>
        <w:ind w:leftChars="400" w:left="840"/>
        <w:rPr>
          <w:rFonts w:ascii="宋体"/>
          <w:sz w:val="24"/>
        </w:rPr>
      </w:pPr>
      <w:r>
        <w:rPr>
          <w:rFonts w:ascii="宋体" w:hint="eastAsia"/>
          <w:sz w:val="24"/>
        </w:rPr>
        <w:t>广发证券股份有限公司</w:t>
      </w:r>
    </w:p>
    <w:p w:rsidR="00732C9A" w:rsidRDefault="006750B9">
      <w:pPr>
        <w:spacing w:line="360" w:lineRule="auto"/>
        <w:ind w:firstLine="420"/>
        <w:rPr>
          <w:rFonts w:ascii="宋体"/>
          <w:sz w:val="24"/>
        </w:rPr>
      </w:pPr>
      <w:r>
        <w:rPr>
          <w:rFonts w:ascii="宋体" w:hint="eastAsia"/>
          <w:sz w:val="24"/>
        </w:rPr>
        <w:t>2</w:t>
      </w:r>
      <w:r>
        <w:rPr>
          <w:rFonts w:ascii="宋体" w:hint="eastAsia"/>
          <w:sz w:val="24"/>
        </w:rPr>
        <w:t>、鹏华创业板</w:t>
      </w:r>
      <w:r>
        <w:rPr>
          <w:rFonts w:ascii="宋体" w:hint="eastAsia"/>
          <w:sz w:val="24"/>
        </w:rPr>
        <w:t xml:space="preserve"> 50</w:t>
      </w:r>
      <w:r>
        <w:rPr>
          <w:rFonts w:ascii="宋体" w:hint="eastAsia"/>
          <w:sz w:val="24"/>
        </w:rPr>
        <w:t>交易型开放式指数证券投资基金（基金代码：</w:t>
      </w:r>
      <w:r>
        <w:rPr>
          <w:rFonts w:ascii="宋体" w:hint="eastAsia"/>
          <w:sz w:val="24"/>
        </w:rPr>
        <w:t>159681</w:t>
      </w:r>
      <w:r>
        <w:rPr>
          <w:rFonts w:ascii="宋体" w:hint="eastAsia"/>
          <w:sz w:val="24"/>
        </w:rPr>
        <w:t>）：</w:t>
      </w:r>
    </w:p>
    <w:p w:rsidR="00732C9A" w:rsidRDefault="006750B9">
      <w:pPr>
        <w:spacing w:line="360" w:lineRule="auto"/>
        <w:ind w:leftChars="400" w:left="840"/>
        <w:rPr>
          <w:rFonts w:ascii="宋体"/>
          <w:sz w:val="24"/>
        </w:rPr>
      </w:pPr>
      <w:r>
        <w:rPr>
          <w:rFonts w:ascii="宋体" w:hint="eastAsia"/>
          <w:sz w:val="24"/>
        </w:rPr>
        <w:t>国泰君安证券股份有限公司</w:t>
      </w:r>
    </w:p>
    <w:p w:rsidR="00732C9A" w:rsidRDefault="006750B9">
      <w:pPr>
        <w:spacing w:line="360" w:lineRule="auto"/>
        <w:ind w:firstLine="420"/>
        <w:rPr>
          <w:rFonts w:ascii="宋体"/>
          <w:sz w:val="24"/>
        </w:rPr>
      </w:pPr>
      <w:r>
        <w:rPr>
          <w:rFonts w:ascii="宋体" w:hint="eastAsia"/>
          <w:sz w:val="24"/>
        </w:rPr>
        <w:t>3</w:t>
      </w:r>
      <w:r>
        <w:rPr>
          <w:rFonts w:ascii="宋体" w:hint="eastAsia"/>
          <w:sz w:val="24"/>
        </w:rPr>
        <w:t>、鹏华中证</w:t>
      </w:r>
      <w:r>
        <w:rPr>
          <w:rFonts w:ascii="宋体" w:hint="eastAsia"/>
          <w:sz w:val="24"/>
        </w:rPr>
        <w:t xml:space="preserve"> 0-4</w:t>
      </w:r>
      <w:r>
        <w:rPr>
          <w:rFonts w:ascii="宋体" w:hint="eastAsia"/>
          <w:sz w:val="24"/>
        </w:rPr>
        <w:t>年期地方政府债交</w:t>
      </w:r>
      <w:bookmarkStart w:id="0" w:name="_GoBack"/>
      <w:bookmarkEnd w:id="0"/>
      <w:r>
        <w:rPr>
          <w:rFonts w:ascii="宋体" w:hint="eastAsia"/>
          <w:sz w:val="24"/>
        </w:rPr>
        <w:t>易型开放式指数证券投资基金（基金代码：</w:t>
      </w:r>
      <w:r>
        <w:rPr>
          <w:rFonts w:ascii="宋体" w:hint="eastAsia"/>
          <w:sz w:val="24"/>
        </w:rPr>
        <w:t>159816</w:t>
      </w:r>
      <w:r>
        <w:rPr>
          <w:rFonts w:ascii="宋体" w:hint="eastAsia"/>
          <w:sz w:val="24"/>
        </w:rPr>
        <w:t>）：</w:t>
      </w:r>
    </w:p>
    <w:p w:rsidR="00732C9A" w:rsidRDefault="006750B9">
      <w:pPr>
        <w:spacing w:line="360" w:lineRule="auto"/>
        <w:ind w:leftChars="400" w:left="840"/>
        <w:rPr>
          <w:rFonts w:ascii="宋体"/>
          <w:sz w:val="24"/>
        </w:rPr>
      </w:pPr>
      <w:r>
        <w:rPr>
          <w:rFonts w:ascii="宋体" w:hint="eastAsia"/>
          <w:sz w:val="24"/>
        </w:rPr>
        <w:t>东方证券股份有限公司</w:t>
      </w:r>
    </w:p>
    <w:p w:rsidR="00732C9A" w:rsidRDefault="006750B9">
      <w:pPr>
        <w:spacing w:line="360" w:lineRule="auto"/>
        <w:ind w:firstLine="420"/>
        <w:rPr>
          <w:rFonts w:ascii="宋体"/>
          <w:sz w:val="24"/>
        </w:rPr>
      </w:pPr>
      <w:r>
        <w:rPr>
          <w:rFonts w:ascii="宋体" w:hint="eastAsia"/>
          <w:sz w:val="24"/>
        </w:rPr>
        <w:t>4</w:t>
      </w:r>
      <w:r>
        <w:rPr>
          <w:rFonts w:ascii="宋体" w:hint="eastAsia"/>
          <w:sz w:val="24"/>
        </w:rPr>
        <w:t>、鹏华中证</w:t>
      </w:r>
      <w:r>
        <w:rPr>
          <w:rFonts w:ascii="宋体" w:hint="eastAsia"/>
          <w:sz w:val="24"/>
        </w:rPr>
        <w:t xml:space="preserve"> 5 </w:t>
      </w:r>
      <w:r>
        <w:rPr>
          <w:rFonts w:ascii="宋体" w:hint="eastAsia"/>
          <w:sz w:val="24"/>
        </w:rPr>
        <w:t>年期地方政府债交易型开放式指数证券投资基金（基金代码：</w:t>
      </w:r>
      <w:r>
        <w:rPr>
          <w:rFonts w:ascii="宋体" w:hint="eastAsia"/>
          <w:sz w:val="24"/>
        </w:rPr>
        <w:t>159972</w:t>
      </w:r>
      <w:r>
        <w:rPr>
          <w:rFonts w:ascii="宋体" w:hint="eastAsia"/>
          <w:sz w:val="24"/>
        </w:rPr>
        <w:t>）：</w:t>
      </w:r>
    </w:p>
    <w:p w:rsidR="00732C9A" w:rsidRDefault="006750B9">
      <w:pPr>
        <w:spacing w:line="360" w:lineRule="auto"/>
        <w:ind w:leftChars="400" w:left="840"/>
        <w:rPr>
          <w:rFonts w:ascii="宋体"/>
          <w:sz w:val="24"/>
        </w:rPr>
      </w:pPr>
      <w:r>
        <w:rPr>
          <w:rFonts w:ascii="宋体" w:hint="eastAsia"/>
          <w:sz w:val="24"/>
        </w:rPr>
        <w:t>东方证券股份有限公司</w:t>
      </w:r>
    </w:p>
    <w:p w:rsidR="00732C9A" w:rsidRDefault="00732C9A">
      <w:pPr>
        <w:spacing w:line="360" w:lineRule="auto"/>
        <w:rPr>
          <w:rFonts w:ascii="宋体"/>
          <w:sz w:val="24"/>
        </w:rPr>
      </w:pPr>
    </w:p>
    <w:p w:rsidR="00732C9A" w:rsidRDefault="006750B9">
      <w:pPr>
        <w:spacing w:line="360" w:lineRule="auto"/>
        <w:ind w:firstLine="420"/>
        <w:jc w:val="left"/>
        <w:rPr>
          <w:rFonts w:ascii="宋体"/>
          <w:sz w:val="24"/>
        </w:rPr>
      </w:pPr>
      <w:r>
        <w:rPr>
          <w:rFonts w:ascii="宋体" w:hint="eastAsia"/>
          <w:sz w:val="24"/>
        </w:rPr>
        <w:t>特此公告。</w:t>
      </w:r>
    </w:p>
    <w:p w:rsidR="00732C9A" w:rsidRDefault="006750B9">
      <w:pPr>
        <w:spacing w:line="360" w:lineRule="auto"/>
        <w:ind w:firstLine="420"/>
        <w:jc w:val="right"/>
        <w:rPr>
          <w:rFonts w:ascii="宋体"/>
          <w:sz w:val="24"/>
        </w:rPr>
      </w:pPr>
      <w:r>
        <w:rPr>
          <w:rFonts w:ascii="宋体" w:hint="eastAsia"/>
          <w:sz w:val="24"/>
        </w:rPr>
        <w:t xml:space="preserve"> </w:t>
      </w:r>
    </w:p>
    <w:p w:rsidR="00732C9A" w:rsidRDefault="006750B9">
      <w:pPr>
        <w:spacing w:line="360" w:lineRule="auto"/>
        <w:ind w:firstLine="420"/>
        <w:jc w:val="right"/>
        <w:rPr>
          <w:rFonts w:ascii="宋体"/>
          <w:sz w:val="24"/>
        </w:rPr>
      </w:pPr>
      <w:r>
        <w:rPr>
          <w:rFonts w:ascii="宋体" w:hint="eastAsia"/>
          <w:sz w:val="24"/>
        </w:rPr>
        <w:t>鹏华基金</w:t>
      </w:r>
      <w:r>
        <w:rPr>
          <w:rFonts w:ascii="宋体"/>
          <w:sz w:val="24"/>
        </w:rPr>
        <w:t>管理有限公司</w:t>
      </w:r>
    </w:p>
    <w:p w:rsidR="00732C9A" w:rsidRDefault="006750B9">
      <w:pPr>
        <w:spacing w:line="360" w:lineRule="auto"/>
        <w:ind w:firstLine="420"/>
        <w:jc w:val="right"/>
        <w:rPr>
          <w:rFonts w:ascii="宋体"/>
          <w:sz w:val="24"/>
        </w:rPr>
      </w:pPr>
      <w:r>
        <w:rPr>
          <w:rFonts w:ascii="宋体" w:hint="eastAsia"/>
          <w:sz w:val="24"/>
        </w:rPr>
        <w:t>202</w:t>
      </w:r>
      <w:r>
        <w:rPr>
          <w:rFonts w:ascii="宋体" w:hint="eastAsia"/>
          <w:sz w:val="24"/>
        </w:rPr>
        <w:t>5</w:t>
      </w:r>
      <w:r>
        <w:rPr>
          <w:rFonts w:ascii="宋体" w:hint="eastAsia"/>
          <w:sz w:val="24"/>
        </w:rPr>
        <w:t>年</w:t>
      </w:r>
      <w:r>
        <w:rPr>
          <w:rFonts w:ascii="宋体" w:hint="eastAsia"/>
          <w:sz w:val="24"/>
        </w:rPr>
        <w:t>3</w:t>
      </w:r>
      <w:r>
        <w:rPr>
          <w:rFonts w:ascii="宋体" w:hint="eastAsia"/>
          <w:sz w:val="24"/>
        </w:rPr>
        <w:t>月</w:t>
      </w:r>
      <w:r>
        <w:rPr>
          <w:rFonts w:ascii="宋体" w:hint="eastAsia"/>
          <w:sz w:val="24"/>
        </w:rPr>
        <w:t>31</w:t>
      </w:r>
      <w:r>
        <w:rPr>
          <w:rFonts w:ascii="宋体" w:hint="eastAsia"/>
          <w:sz w:val="24"/>
        </w:rPr>
        <w:t>日</w:t>
      </w:r>
    </w:p>
    <w:p w:rsidR="00732C9A" w:rsidRDefault="00732C9A">
      <w:pPr>
        <w:spacing w:line="360" w:lineRule="auto"/>
      </w:pPr>
    </w:p>
    <w:sectPr w:rsidR="00732C9A" w:rsidSect="00732C9A">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uxi Sans">
    <w:altName w:val="Arial"/>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F37E"/>
    <w:multiLevelType w:val="singleLevel"/>
    <w:tmpl w:val="17E9F37E"/>
    <w:lvl w:ilvl="0">
      <w:start w:val="1"/>
      <w:numFmt w:val="decimal"/>
      <w:pStyle w:val="1"/>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doNotWrapTextWithPunct/>
    <w:doNotUseEastAsianBreakRules/>
    <w:useFELayout/>
    <w:doNotUseIndentAsNumberingTabStop/>
  </w:compat>
  <w:rsids>
    <w:rsidRoot w:val="00732C9A"/>
    <w:rsid w:val="006750B9"/>
    <w:rsid w:val="00732C9A"/>
    <w:rsid w:val="28B43D12"/>
    <w:rsid w:val="2B3D550B"/>
    <w:rsid w:val="55E15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C9A"/>
    <w:pPr>
      <w:widowControl w:val="0"/>
      <w:jc w:val="both"/>
    </w:pPr>
    <w:rPr>
      <w:kern w:val="2"/>
      <w:sz w:val="21"/>
      <w:szCs w:val="24"/>
    </w:rPr>
  </w:style>
  <w:style w:type="paragraph" w:styleId="10">
    <w:name w:val="heading 1"/>
    <w:basedOn w:val="a"/>
    <w:next w:val="a"/>
    <w:link w:val="1Char"/>
    <w:qFormat/>
    <w:rsid w:val="00732C9A"/>
    <w:pPr>
      <w:keepNext/>
      <w:keepLines/>
      <w:spacing w:before="340" w:after="330" w:line="578" w:lineRule="auto"/>
      <w:outlineLvl w:val="0"/>
    </w:pPr>
    <w:rPr>
      <w:b/>
      <w:bCs/>
      <w:kern w:val="44"/>
      <w:sz w:val="44"/>
    </w:rPr>
  </w:style>
  <w:style w:type="paragraph" w:styleId="2">
    <w:name w:val="heading 2"/>
    <w:basedOn w:val="a"/>
    <w:next w:val="a"/>
    <w:link w:val="2Char"/>
    <w:qFormat/>
    <w:rsid w:val="00732C9A"/>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Char"/>
    <w:qFormat/>
    <w:rsid w:val="00732C9A"/>
    <w:pPr>
      <w:keepNext/>
      <w:keepLines/>
      <w:spacing w:before="260" w:after="260" w:line="415" w:lineRule="auto"/>
      <w:outlineLvl w:val="2"/>
    </w:pPr>
    <w:rPr>
      <w:b/>
      <w:sz w:val="32"/>
    </w:rPr>
  </w:style>
  <w:style w:type="paragraph" w:styleId="4">
    <w:name w:val="heading 4"/>
    <w:basedOn w:val="a"/>
    <w:next w:val="a"/>
    <w:link w:val="4Char"/>
    <w:qFormat/>
    <w:rsid w:val="00732C9A"/>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autoRedefine/>
    <w:qFormat/>
    <w:rsid w:val="00732C9A"/>
    <w:pPr>
      <w:ind w:left="1680"/>
    </w:pPr>
  </w:style>
  <w:style w:type="paragraph" w:styleId="30">
    <w:name w:val="toc 3"/>
    <w:basedOn w:val="a"/>
    <w:next w:val="a"/>
    <w:autoRedefine/>
    <w:qFormat/>
    <w:rsid w:val="00732C9A"/>
    <w:pPr>
      <w:ind w:left="840"/>
    </w:pPr>
  </w:style>
  <w:style w:type="paragraph" w:styleId="a3">
    <w:name w:val="Balloon Text"/>
    <w:basedOn w:val="a"/>
    <w:qFormat/>
    <w:rsid w:val="00732C9A"/>
    <w:rPr>
      <w:sz w:val="18"/>
      <w:szCs w:val="18"/>
    </w:rPr>
  </w:style>
  <w:style w:type="paragraph" w:styleId="a4">
    <w:name w:val="footer"/>
    <w:basedOn w:val="a"/>
    <w:qFormat/>
    <w:rsid w:val="00732C9A"/>
    <w:pPr>
      <w:tabs>
        <w:tab w:val="center" w:pos="4153"/>
        <w:tab w:val="right" w:pos="8306"/>
      </w:tabs>
      <w:snapToGrid w:val="0"/>
      <w:jc w:val="left"/>
    </w:pPr>
    <w:rPr>
      <w:sz w:val="18"/>
      <w:szCs w:val="18"/>
    </w:rPr>
  </w:style>
  <w:style w:type="paragraph" w:styleId="a5">
    <w:name w:val="header"/>
    <w:basedOn w:val="a"/>
    <w:qFormat/>
    <w:rsid w:val="00732C9A"/>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rsid w:val="00732C9A"/>
  </w:style>
  <w:style w:type="paragraph" w:styleId="40">
    <w:name w:val="toc 4"/>
    <w:basedOn w:val="a"/>
    <w:next w:val="a"/>
    <w:autoRedefine/>
    <w:qFormat/>
    <w:rsid w:val="00732C9A"/>
    <w:pPr>
      <w:ind w:left="1260"/>
    </w:pPr>
  </w:style>
  <w:style w:type="paragraph" w:styleId="20">
    <w:name w:val="toc 2"/>
    <w:basedOn w:val="a"/>
    <w:next w:val="a"/>
    <w:autoRedefine/>
    <w:qFormat/>
    <w:rsid w:val="00732C9A"/>
    <w:pPr>
      <w:ind w:left="420"/>
    </w:pPr>
  </w:style>
  <w:style w:type="character" w:customStyle="1" w:styleId="1Char">
    <w:name w:val="标题 1 Char"/>
    <w:basedOn w:val="a0"/>
    <w:link w:val="10"/>
    <w:qFormat/>
    <w:rsid w:val="00732C9A"/>
    <w:rPr>
      <w:rFonts w:ascii="Times New Roman" w:eastAsia="宋体" w:hAnsi="Times New Roman" w:cs="Times New Roman"/>
      <w:b/>
      <w:bCs/>
      <w:kern w:val="44"/>
      <w:sz w:val="44"/>
      <w:szCs w:val="24"/>
      <w:lang w:val="en-US" w:eastAsia="zh-CN" w:bidi="ar-SA"/>
    </w:rPr>
  </w:style>
  <w:style w:type="character" w:customStyle="1" w:styleId="2Char">
    <w:name w:val="标题 2 Char"/>
    <w:basedOn w:val="a0"/>
    <w:link w:val="2"/>
    <w:rsid w:val="00732C9A"/>
    <w:rPr>
      <w:rFonts w:ascii="Luxi Sans" w:eastAsia="黑体" w:hAnsi="Luxi Sans" w:cs="Times New Roman"/>
      <w:b/>
      <w:kern w:val="2"/>
      <w:sz w:val="32"/>
      <w:szCs w:val="24"/>
      <w:lang w:val="en-US" w:eastAsia="zh-CN" w:bidi="ar-SA"/>
    </w:rPr>
  </w:style>
  <w:style w:type="character" w:customStyle="1" w:styleId="3Char">
    <w:name w:val="标题 3 Char"/>
    <w:basedOn w:val="a0"/>
    <w:link w:val="3"/>
    <w:qFormat/>
    <w:rsid w:val="00732C9A"/>
    <w:rPr>
      <w:rFonts w:ascii="Times New Roman" w:eastAsia="宋体" w:hAnsi="Times New Roman" w:cs="Times New Roman"/>
      <w:b/>
      <w:kern w:val="2"/>
      <w:sz w:val="32"/>
      <w:szCs w:val="24"/>
      <w:lang w:val="en-US" w:eastAsia="zh-CN" w:bidi="ar-SA"/>
    </w:rPr>
  </w:style>
  <w:style w:type="character" w:customStyle="1" w:styleId="4Char">
    <w:name w:val="标题 4 Char"/>
    <w:basedOn w:val="a0"/>
    <w:link w:val="4"/>
    <w:qFormat/>
    <w:rsid w:val="00732C9A"/>
    <w:rPr>
      <w:rFonts w:ascii="Arial" w:eastAsia="黑体" w:hAnsi="Arial" w:cs="Times New Roman"/>
      <w:b/>
      <w:kern w:val="2"/>
      <w:sz w:val="28"/>
      <w:szCs w:val="24"/>
      <w:lang w:val="en-US" w:eastAsia="zh-CN" w:bidi="ar-SA"/>
    </w:rPr>
  </w:style>
  <w:style w:type="paragraph" w:customStyle="1" w:styleId="1">
    <w:name w:val="样式1"/>
    <w:basedOn w:val="4"/>
    <w:next w:val="a"/>
    <w:qFormat/>
    <w:rsid w:val="00732C9A"/>
    <w:pPr>
      <w:numPr>
        <w:numId w:val="1"/>
      </w:numPr>
    </w:pPr>
    <w:rPr>
      <w:rFonts w:ascii="Calibri" w:hAnsi="Calibri"/>
      <w:sz w:val="24"/>
    </w:rPr>
  </w:style>
  <w:style w:type="paragraph" w:styleId="a6">
    <w:name w:val="List Paragraph"/>
    <w:basedOn w:val="a"/>
    <w:qFormat/>
    <w:rsid w:val="00732C9A"/>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CADF494-8972-4384-8C8D-5075C29C44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4</DocSecurity>
  <Lines>2</Lines>
  <Paragraphs>1</Paragraphs>
  <ScaleCrop>false</ScaleCrop>
  <Company>CNSTOCK</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yyli01.oth</dc:creator>
  <cp:lastModifiedBy>ZHONGM</cp:lastModifiedBy>
  <cp:revision>2</cp:revision>
  <dcterms:created xsi:type="dcterms:W3CDTF">2025-03-30T16:06:00Z</dcterms:created>
  <dcterms:modified xsi:type="dcterms:W3CDTF">2025-03-30T16:06:00Z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B00C3DA7780E49CFB28798986B20F482</vt:lpwstr>
  </property>
</Properties>
</file>