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D36" w:rsidRDefault="00600655" w:rsidP="00F15D36">
      <w:pPr>
        <w:jc w:val="center"/>
        <w:rPr>
          <w:rFonts w:ascii="仿宋" w:eastAsia="仿宋" w:hAnsi="仿宋"/>
          <w:b/>
          <w:sz w:val="32"/>
          <w:szCs w:val="32"/>
        </w:rPr>
      </w:pPr>
      <w:r>
        <w:rPr>
          <w:rFonts w:ascii="仿宋" w:eastAsia="仿宋" w:hAnsi="仿宋" w:hint="eastAsia"/>
          <w:b/>
          <w:sz w:val="32"/>
          <w:szCs w:val="32"/>
        </w:rPr>
        <w:t>建信基金管理有限责任公司旗下</w:t>
      </w:r>
      <w:r w:rsidR="00EA16B2">
        <w:rPr>
          <w:rFonts w:ascii="仿宋" w:eastAsia="仿宋" w:hAnsi="仿宋" w:hint="eastAsia"/>
          <w:b/>
          <w:sz w:val="32"/>
          <w:szCs w:val="32"/>
        </w:rPr>
        <w:t>16</w:t>
      </w:r>
      <w:r w:rsidR="00FB2B0D">
        <w:rPr>
          <w:rFonts w:ascii="仿宋" w:eastAsia="仿宋" w:hAnsi="仿宋" w:hint="eastAsia"/>
          <w:b/>
          <w:sz w:val="32"/>
          <w:szCs w:val="32"/>
        </w:rPr>
        <w:t>5</w:t>
      </w:r>
      <w:r>
        <w:rPr>
          <w:rFonts w:ascii="仿宋" w:eastAsia="仿宋" w:hAnsi="仿宋" w:hint="eastAsia"/>
          <w:b/>
          <w:sz w:val="32"/>
          <w:szCs w:val="32"/>
        </w:rPr>
        <w:t>只基金</w:t>
      </w:r>
      <w:bookmarkStart w:id="0" w:name="_Hlk69137197"/>
    </w:p>
    <w:p w:rsidR="00600655" w:rsidRDefault="0011034B" w:rsidP="00F15D36">
      <w:pPr>
        <w:jc w:val="center"/>
        <w:rPr>
          <w:rFonts w:ascii="仿宋" w:eastAsia="仿宋" w:hAnsi="仿宋"/>
          <w:b/>
          <w:sz w:val="32"/>
          <w:szCs w:val="32"/>
        </w:rPr>
      </w:pPr>
      <w:r>
        <w:rPr>
          <w:rFonts w:ascii="仿宋" w:eastAsia="仿宋" w:hAnsi="仿宋" w:hint="eastAsia"/>
          <w:b/>
          <w:sz w:val="32"/>
          <w:szCs w:val="32"/>
        </w:rPr>
        <w:t>2024年</w:t>
      </w:r>
      <w:bookmarkEnd w:id="0"/>
      <w:r w:rsidR="00425833">
        <w:rPr>
          <w:rFonts w:ascii="仿宋" w:eastAsia="仿宋" w:hAnsi="仿宋" w:hint="eastAsia"/>
          <w:b/>
          <w:sz w:val="32"/>
          <w:szCs w:val="32"/>
        </w:rPr>
        <w:t>年度</w:t>
      </w:r>
      <w:r w:rsidR="00600655">
        <w:rPr>
          <w:rFonts w:ascii="仿宋" w:eastAsia="仿宋" w:hAnsi="仿宋" w:hint="eastAsia"/>
          <w:b/>
          <w:sz w:val="32"/>
          <w:szCs w:val="32"/>
        </w:rPr>
        <w:t>报告提示性公告</w:t>
      </w:r>
    </w:p>
    <w:p w:rsidR="00600655" w:rsidRDefault="00600655" w:rsidP="00600655"/>
    <w:p w:rsidR="00600655" w:rsidRDefault="00600655" w:rsidP="00600655">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建信基金管理有限责任公司董事会及董事保证本公司旗下</w:t>
      </w:r>
      <w:r w:rsidR="00747307">
        <w:rPr>
          <w:rFonts w:ascii="仿宋" w:eastAsia="仿宋" w:hAnsi="仿宋"/>
          <w:color w:val="000000" w:themeColor="text1"/>
          <w:sz w:val="32"/>
          <w:szCs w:val="32"/>
        </w:rPr>
        <w:t>16</w:t>
      </w:r>
      <w:r w:rsidR="00FB2B0D">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只基金</w:t>
      </w:r>
      <w:r w:rsidR="0011034B">
        <w:rPr>
          <w:rFonts w:ascii="仿宋" w:eastAsia="仿宋" w:hAnsi="仿宋" w:hint="eastAsia"/>
          <w:color w:val="000000" w:themeColor="text1"/>
          <w:sz w:val="32"/>
          <w:szCs w:val="32"/>
        </w:rPr>
        <w:t>2024年</w:t>
      </w:r>
      <w:r w:rsidR="00425833">
        <w:rPr>
          <w:rFonts w:ascii="仿宋" w:eastAsia="仿宋" w:hAnsi="仿宋" w:hint="eastAsia"/>
          <w:color w:val="000000" w:themeColor="text1"/>
          <w:sz w:val="32"/>
          <w:szCs w:val="32"/>
        </w:rPr>
        <w:t>年度</w:t>
      </w:r>
      <w:r>
        <w:rPr>
          <w:rFonts w:ascii="仿宋" w:eastAsia="仿宋" w:hAnsi="仿宋" w:hint="eastAsia"/>
          <w:color w:val="000000" w:themeColor="text1"/>
          <w:sz w:val="32"/>
          <w:szCs w:val="32"/>
        </w:rPr>
        <w:t>报告所载资料不存在虚假记载、误导性陈述或重大遗漏，并对其内容的真实性、准确性和完整性承担个别及连带责任。</w:t>
      </w:r>
    </w:p>
    <w:p w:rsidR="00600655" w:rsidRDefault="00600655" w:rsidP="00600655">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本公司旗下</w:t>
      </w:r>
      <w:r w:rsidR="00747307">
        <w:rPr>
          <w:rFonts w:ascii="仿宋" w:eastAsia="仿宋" w:hAnsi="仿宋"/>
          <w:color w:val="000000" w:themeColor="text1"/>
          <w:sz w:val="32"/>
          <w:szCs w:val="32"/>
        </w:rPr>
        <w:t>16</w:t>
      </w:r>
      <w:r w:rsidR="00FB2B0D">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只基金的</w:t>
      </w:r>
      <w:r w:rsidR="0011034B">
        <w:rPr>
          <w:rFonts w:ascii="仿宋" w:eastAsia="仿宋" w:hAnsi="仿宋" w:hint="eastAsia"/>
          <w:color w:val="000000" w:themeColor="text1"/>
          <w:sz w:val="32"/>
          <w:szCs w:val="32"/>
        </w:rPr>
        <w:t>2024年</w:t>
      </w:r>
      <w:r w:rsidR="00425833">
        <w:rPr>
          <w:rFonts w:ascii="仿宋" w:eastAsia="仿宋" w:hAnsi="仿宋" w:hint="eastAsia"/>
          <w:color w:val="000000" w:themeColor="text1"/>
          <w:sz w:val="32"/>
          <w:szCs w:val="32"/>
        </w:rPr>
        <w:t>年度</w:t>
      </w:r>
      <w:r>
        <w:rPr>
          <w:rFonts w:ascii="仿宋" w:eastAsia="仿宋" w:hAnsi="仿宋" w:hint="eastAsia"/>
          <w:color w:val="000000" w:themeColor="text1"/>
          <w:sz w:val="32"/>
          <w:szCs w:val="32"/>
        </w:rPr>
        <w:t>报告全文于</w:t>
      </w:r>
      <w:r w:rsidR="00FB2B0D">
        <w:rPr>
          <w:rFonts w:ascii="仿宋" w:eastAsia="仿宋" w:hAnsi="仿宋" w:hint="eastAsia"/>
          <w:color w:val="000000" w:themeColor="text1"/>
          <w:sz w:val="32"/>
          <w:szCs w:val="32"/>
        </w:rPr>
        <w:t>2025</w:t>
      </w:r>
      <w:r w:rsidR="00686126">
        <w:rPr>
          <w:rFonts w:ascii="仿宋" w:eastAsia="仿宋" w:hAnsi="仿宋" w:hint="eastAsia"/>
          <w:color w:val="000000" w:themeColor="text1"/>
          <w:sz w:val="32"/>
          <w:szCs w:val="32"/>
        </w:rPr>
        <w:t>年</w:t>
      </w:r>
      <w:r w:rsidR="00425833">
        <w:rPr>
          <w:rFonts w:ascii="仿宋" w:eastAsia="仿宋" w:hAnsi="仿宋" w:hint="eastAsia"/>
          <w:color w:val="000000" w:themeColor="text1"/>
          <w:sz w:val="32"/>
          <w:szCs w:val="32"/>
        </w:rPr>
        <w:t>3</w:t>
      </w:r>
      <w:r w:rsidR="00686126">
        <w:rPr>
          <w:rFonts w:ascii="仿宋" w:eastAsia="仿宋" w:hAnsi="仿宋" w:hint="eastAsia"/>
          <w:color w:val="000000" w:themeColor="text1"/>
          <w:sz w:val="32"/>
          <w:szCs w:val="32"/>
        </w:rPr>
        <w:t>月</w:t>
      </w:r>
      <w:r w:rsidR="00425833">
        <w:rPr>
          <w:rFonts w:ascii="仿宋" w:eastAsia="仿宋" w:hAnsi="仿宋" w:hint="eastAsia"/>
          <w:color w:val="000000" w:themeColor="text1"/>
          <w:sz w:val="32"/>
          <w:szCs w:val="32"/>
        </w:rPr>
        <w:t>28</w:t>
      </w:r>
      <w:r w:rsidR="00686126">
        <w:rPr>
          <w:rFonts w:ascii="仿宋" w:eastAsia="仿宋" w:hAnsi="仿宋" w:hint="eastAsia"/>
          <w:color w:val="000000" w:themeColor="text1"/>
          <w:sz w:val="32"/>
          <w:szCs w:val="32"/>
        </w:rPr>
        <w:t>日</w:t>
      </w:r>
      <w:r>
        <w:rPr>
          <w:rFonts w:ascii="仿宋" w:eastAsia="仿宋" w:hAnsi="仿宋" w:hint="eastAsia"/>
          <w:color w:val="000000" w:themeColor="text1"/>
          <w:sz w:val="32"/>
          <w:szCs w:val="32"/>
        </w:rPr>
        <w:t>在本公司网站[www.ccbfund.cn]和中国证监会基金电子披露网站（</w:t>
      </w:r>
      <w:hyperlink r:id="rId6" w:history="1">
        <w:r>
          <w:rPr>
            <w:rStyle w:val="a3"/>
            <w:rFonts w:ascii="仿宋" w:eastAsia="仿宋" w:hAnsi="仿宋" w:hint="eastAsia"/>
            <w:sz w:val="32"/>
            <w:szCs w:val="32"/>
          </w:rPr>
          <w:t>http://eid.csrc.gov.cn/fund</w:t>
        </w:r>
      </w:hyperlink>
      <w:r>
        <w:rPr>
          <w:rFonts w:ascii="仿宋" w:eastAsia="仿宋" w:hAnsi="仿宋" w:hint="eastAsia"/>
          <w:color w:val="000000" w:themeColor="text1"/>
          <w:sz w:val="32"/>
          <w:szCs w:val="32"/>
        </w:rPr>
        <w:t>）披露，供投资者查阅。具体基金明细如下：</w:t>
      </w:r>
    </w:p>
    <w:tbl>
      <w:tblPr>
        <w:tblW w:w="8379" w:type="dxa"/>
        <w:tblInd w:w="93" w:type="dxa"/>
        <w:tblLook w:val="04A0"/>
      </w:tblPr>
      <w:tblGrid>
        <w:gridCol w:w="1080"/>
        <w:gridCol w:w="7299"/>
      </w:tblGrid>
      <w:tr w:rsidR="00FB2B0D" w:rsidRPr="007D1672" w:rsidTr="00220D3E">
        <w:trPr>
          <w:trHeight w:val="285"/>
        </w:trPr>
        <w:tc>
          <w:tcPr>
            <w:tcW w:w="1080" w:type="dxa"/>
            <w:tcBorders>
              <w:top w:val="single" w:sz="8" w:space="0" w:color="auto"/>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b/>
                <w:bCs/>
                <w:color w:val="000000"/>
                <w:kern w:val="0"/>
                <w:sz w:val="22"/>
              </w:rPr>
            </w:pPr>
            <w:r w:rsidRPr="007D1672">
              <w:rPr>
                <w:rFonts w:ascii="仿宋" w:eastAsia="仿宋" w:hAnsi="仿宋" w:hint="eastAsia"/>
                <w:sz w:val="22"/>
              </w:rPr>
              <w:t>序号</w:t>
            </w:r>
          </w:p>
        </w:tc>
        <w:tc>
          <w:tcPr>
            <w:tcW w:w="7299" w:type="dxa"/>
            <w:tcBorders>
              <w:top w:val="single" w:sz="8" w:space="0" w:color="auto"/>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b/>
                <w:bCs/>
                <w:color w:val="000000"/>
                <w:kern w:val="0"/>
                <w:sz w:val="22"/>
              </w:rPr>
            </w:pPr>
            <w:r w:rsidRPr="007D1672">
              <w:rPr>
                <w:rFonts w:ascii="仿宋" w:eastAsia="仿宋" w:hAnsi="仿宋" w:hint="eastAsia"/>
                <w:sz w:val="22"/>
              </w:rPr>
              <w:t>基金名称</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建信MSCI中国A股国际通交易型开放式指数证券投资基金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2</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建信MSCI中国A股国际通交易型开放式指数证券投资基金发起式联接基金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3</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建信MSCI中国A股指数增强型证券投资基金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4</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建信阿尔法一年持有期混合型证券投资基金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5</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建信安心回报6个月定期开放债券型证券投资基金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6</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建信安心回报定期开放债券型证券投资基金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7</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建信渤泰债券型证券投资基金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8</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建信创新驱动混合型证券投资基金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9</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建信创新中国混合型证券投资基金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lastRenderedPageBreak/>
              <w:t>10</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建信创业板交易型开放式指数证券投资基金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11</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建信创业板交易型开放式指数证券投资基金发起式联接基金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12</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建信纯债债券型证券投资基金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13</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建信大安全战略精选股票型证券投资基金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14</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建信电子行业股票型证券投资基金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15</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建信短债债券型证券投资基金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16</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建信多因子量化股票型证券投资基金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17</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建信福泽安泰混合型基金中基金(FOF)</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18</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建信福泽裕泰混合型基金中基金(FOF)</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19</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建信富时100指数型证券投资基金(QDII)</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20</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建信改革红利股票型证券投资基金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21</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建信港股通精选混合型证券投资基金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22</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建信高端医疗股票型证券投资基金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23</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建信高端装备股票型证券投资基金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24</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建信高股息主题股票型证券投资基金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25</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建信国证新能源车电池交易型开放式指数证券投资基金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26</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建信核心精选混合型证券投资基金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27</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建信恒久价值混合型证券投资基金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28</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建信恒瑞债券型证券投资基金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29</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建信恒生科技指数型发起式证券投资基金(QDII)</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30</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建信恒稳价值混合型证券投资基金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lastRenderedPageBreak/>
              <w:t>31</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建信弘利灵活配置混合型证券投资基金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32</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建信红利精选股票型发起式证券投资基金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33</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建信泓利一年持有期债券型证券投资基金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34</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建信互联网+产业升级股票型证券投资基金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35</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建信沪深300红利交易型开放式指数证券投资基金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36</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建信沪深300红利交易型开放式指数证券投资基金发起式联接基金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37</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建信沪深300指数增强型证券投资基金(LOF)</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38</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建信沪深300指数证券投资基金(LOF)</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39</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建信环保产业股票型证券投资基金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40</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建信汇利灵活配置混合型证券投资基金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41</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建信汇益一年持有期混合型证券投资基金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42</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建信货币市场基金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43</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建信积极配置混合型证券投资基金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44</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建信嘉薪宝货币市场基金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45</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建信健康民生混合型证券投资基金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46</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建信精工制造指数增强型证券投资基金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47</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建信开元惠享6个月持有期债券型发起式证券投资基金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48</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建信开元金享6个月持有期债券型发起式证券投资基金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49</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建信开元瑞享3个月持有期债券型证券投资基金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50</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建信开元耀享9个月持有期混合型发起式证券投资基金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51</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建信科技创新混合型证券投资基金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52</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建信利率债策略纯债债券型证券投资基金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53</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建信利率债债券型证券投资基金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54</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建信灵活配置混合型证券投资基金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55</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建信龙头企业股票型证券投资基金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56</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建信龙祥稳进6个月持有期混合型基金中基金(FOF)</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57</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建信民丰回报定期开放混合型证券投资基金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58</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建信纳斯达克100指数型证券投资基金(QDII)</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59</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建信内生动力混合型证券投资基金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60</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建信宁安30天持有期中短债债券型证券投资基金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61</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建信宁远90天持有期债券型证券投资基金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62</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建信彭博政策性银行债券1-5年指数证券投资基金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63</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建信普泽养老目标日期2040三年持有期混合型发起式基金中基金(FOF)</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64</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建信普泽养老目标日期2050五年持有期混合型发起式基金中基金(FOF)</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65</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建信潜力新蓝筹股票型证券投资基金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66</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建信荣瑞一年定期开放债券型证券投资基金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67</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建信荣禧一年定期开放债券型证券投资基金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68</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建信荣元一年定期开放债券型发起式证券投资基金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69</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建信睿安一年定期开放债券型发起式证券投资基金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70</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建信睿丰纯债定期开放债券型发起式证券投资基金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71</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建信睿富纯债债券型证券投资基金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72</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建信睿和纯债定期开放债券型发起式证券投资基金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73</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建信睿享纯债债券型证券投资基金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74</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建信睿信三个月定期开放债券型发起式证券投资基金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75</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建信睿兴纯债债券型证券投资基金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76</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建信睿阳一年定期开放债券型发起式证券投资基金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77</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建信睿怡纯债债券型证券投资基金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78</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建信睿盈灵活配置混合型证券投资基金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79</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建信润利增强债券型证券投资基金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80</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建信上海金交易型开放式证券投资基金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81</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建信上海金交易型开放式证券投资基金联接基金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82</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建信上证50交易型开放式指数证券投资基金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83</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建信上证50交易型开放式指数证券投资基金发起式联接基金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84</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建信上证社会责任交易型开放式指数证券投资基金联接基金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85</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建信社会责任混合型证券投资基金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86</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建信深证100指数增强型证券投资基金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87</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建信深证基本面60交易型开放式指数证券投资基金联接基金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88</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建信食品饮料行业股票型证券投资基金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89</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建信收益增强债券型证券投资基金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90</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建信双息红利债券型证券投资基金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91</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建信双债增强债券型证券投资基金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92</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建信天添益货币市场基金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93</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建信添福悠享稳健养老目标一年持有期债券型基金中基金(FOF)</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94</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建信稳定得利债券型证券投资基金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95</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建信稳定鑫利债券型证券投资基金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96</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建信稳定增利债券型证券投资基金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97</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建信沃信一年持有期混合型证券投资基金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98</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建信现代服务业股票型证券投资基金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99</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建信现金添利货币市场基金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100</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建信现金添益交易型货币市场基金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101</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建信现金增利货币市场基金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102</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建信消费升级混合型证券投资基金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103</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建信新材料精选股票型发起式证券投资基金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104</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建信新经济灵活配置混合型证券投资基金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105</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建信新能源行业股票型证券投资基金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106</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建信新兴市场优选混合型证券投资基金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107</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建信鑫安回报灵活配置混合型证券投资基金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108</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建信鑫福60天持有期中短债债券型证券投资基金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109</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建信鑫和30天持有期债券型证券投资基金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110</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建信鑫恒120天滚动持有中短债债券型证券投资基金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111</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 xml:space="preserve">建信鑫弘180天持有期债券型证券投资基金 </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112</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建信鑫利灵活配置混合型证券投资基金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113</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建信鑫稳回报灵活配置混合型证券投资基金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114</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建信鑫享短债债券型证券投资基金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115</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建信鑫怡90天滚动持有中短债债券型证券投资基金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116</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建信鑫益90天持有期债券型证券投资基金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117</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建信鑫悦90天滚动持有中短债债券型发起式证券投资基金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118</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建信信息产业股票型证券投资基金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119</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建信信用增强债券型证券投资基金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120</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建信兴晟优选一年持有期混合型证券投资基金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121</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建信兴衡优选一年持有期混合型证券投资基金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122</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建信兴利灵活配置混合型证券投资基金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123</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建信兴润一年持有期混合型证券投资基金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124</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建信研究精选混合型证券投资基金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125</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建信央视财经50指数证券投资基金(LOF)</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126</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建信医疗健康行业股票型证券投资基金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127</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建信易盛郑商所能源化工期货交易型开放式指数证券投资基金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128</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建信易盛郑商所能源化工期货交易型开放式指数证券投资基金发起式联接基金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129</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建信优化配置混合型证券投资基金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130</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建信优势动力混合型证券投资基金(LOF)</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131</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建信优享进取养老目标五年持有期混合型发起式基金中基金(FOF)</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132</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建信优享科技创新混合型证券投资基金(LOF)</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133</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建信优享平衡养老目标三年持有期混合型发起式基金中基金(FOF)</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134</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建信优享稳健养老目标一年持有期混合型基金中基金(FOF)</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135</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建信优选成长混合型证券投资基金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136</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建信裕丰利率债三个月定期开放债券型证券投资基金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137</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建信裕利灵活配置混合型证券投资基金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138</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建信战略精选灵活配置混合型证券投资基金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139</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建信臻选混合型证券投资基金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140</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建信智汇优选一年持有期混合型管理人中管理人(MOM)证券投资基金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141</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建信智能汽车股票型证券投资基金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142</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建信智能生活混合型证券投资基金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143</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建信智远先锋混合型证券投资基金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144</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建信中短债纯债债券型证券投资基金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145</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建信中国制造2025股票型证券投资基金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146</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建信中小盘先锋股票型证券投资基金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147</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建信中债0-5年政策性金融债指数证券投资基金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148</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建信中债1-3年国开行债券指数证券投资基金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149</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建信中债1-3年政策性金融债指数证券投资基金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150</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建信中债3-5年国开行债券指数证券投资基金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151</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建信中证1000指数增强型发起式证券投资基金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152</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建信中证500指数量化增强型发起式证券投资基金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153</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建信中证500指数增强型证券投资基金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154</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建信中证创新药产业交易型开放式指数证券投资基金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155</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建信中证红利潜力指数证券投资基金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156</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建信中证农牧主题交易型开放式指数证券投资基金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157</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建信中证全指医疗保健设备与服务交易型开放式指数证券投资基金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158</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建信中证全指证券公司交易型开放式指数证券投资基金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159</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建信中证同业存单AAA指数7天持有期证券投资基金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160</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建信中证新材料主题交易型开放式指数证券投资基金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161</w:t>
            </w:r>
          </w:p>
        </w:tc>
        <w:tc>
          <w:tcPr>
            <w:tcW w:w="7299" w:type="dxa"/>
            <w:tcBorders>
              <w:top w:val="nil"/>
              <w:left w:val="nil"/>
              <w:bottom w:val="single" w:sz="8" w:space="0" w:color="auto"/>
              <w:right w:val="single" w:sz="8" w:space="0" w:color="auto"/>
            </w:tcBorders>
            <w:shd w:val="clear" w:color="auto" w:fill="auto"/>
            <w:noWrap/>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建信周盈安心理财债券型证券投资基金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162</w:t>
            </w:r>
          </w:p>
        </w:tc>
        <w:tc>
          <w:tcPr>
            <w:tcW w:w="7299" w:type="dxa"/>
            <w:tcBorders>
              <w:top w:val="nil"/>
              <w:left w:val="nil"/>
              <w:bottom w:val="single" w:sz="8" w:space="0" w:color="auto"/>
              <w:right w:val="single" w:sz="8" w:space="0" w:color="auto"/>
            </w:tcBorders>
            <w:shd w:val="clear" w:color="auto" w:fill="auto"/>
            <w:noWrap/>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建信转债增强债券型证券投资基金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163</w:t>
            </w:r>
          </w:p>
        </w:tc>
        <w:tc>
          <w:tcPr>
            <w:tcW w:w="7299" w:type="dxa"/>
            <w:tcBorders>
              <w:top w:val="nil"/>
              <w:left w:val="nil"/>
              <w:bottom w:val="single" w:sz="8" w:space="0" w:color="auto"/>
              <w:right w:val="single" w:sz="8" w:space="0" w:color="auto"/>
            </w:tcBorders>
            <w:shd w:val="clear" w:color="auto" w:fill="auto"/>
            <w:noWrap/>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建信卓越成长一年持有期混合型证券投资基金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164</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上证社会责任交易型开放式指数证券投资基金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165</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深证基本面60交易型开放式指数证券投资基金</w:t>
            </w:r>
          </w:p>
        </w:tc>
      </w:tr>
    </w:tbl>
    <w:p w:rsidR="00600655" w:rsidRDefault="00600655" w:rsidP="006F7E7D">
      <w:pPr>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如有疑问可拨打本公司客服电话（400-81-95533）咨询。</w:t>
      </w:r>
    </w:p>
    <w:p w:rsidR="00600655" w:rsidRDefault="00600655" w:rsidP="00B22EC0">
      <w:pPr>
        <w:spacing w:line="360" w:lineRule="auto"/>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本基金管理人承诺以诚实信用、勤勉尽责的原则管理和运用基金资产，但不保证本基金一定盈利，也不保证最低收益。请充分了解本基金的风险收益特征，审慎做出投资决定。</w:t>
      </w:r>
    </w:p>
    <w:p w:rsidR="00600655" w:rsidRDefault="00600655" w:rsidP="00B22EC0">
      <w:pPr>
        <w:spacing w:line="360" w:lineRule="auto"/>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特此公告。</w:t>
      </w:r>
    </w:p>
    <w:p w:rsidR="00600655" w:rsidRDefault="00600655" w:rsidP="00B22EC0">
      <w:pPr>
        <w:spacing w:line="360" w:lineRule="auto"/>
        <w:ind w:firstLineChars="250" w:firstLine="800"/>
        <w:rPr>
          <w:rFonts w:ascii="仿宋" w:eastAsia="仿宋" w:hAnsi="仿宋"/>
          <w:color w:val="000000" w:themeColor="text1"/>
          <w:sz w:val="32"/>
          <w:szCs w:val="32"/>
        </w:rPr>
      </w:pPr>
    </w:p>
    <w:p w:rsidR="00600655" w:rsidRDefault="00600655" w:rsidP="00600655">
      <w:pPr>
        <w:spacing w:line="540" w:lineRule="exact"/>
        <w:ind w:firstLineChars="250" w:firstLine="800"/>
        <w:rPr>
          <w:rFonts w:ascii="仿宋" w:eastAsia="仿宋" w:hAnsi="仿宋"/>
          <w:color w:val="000000" w:themeColor="text1"/>
          <w:sz w:val="32"/>
          <w:szCs w:val="32"/>
        </w:rPr>
      </w:pPr>
    </w:p>
    <w:p w:rsidR="00600655" w:rsidRDefault="00600655" w:rsidP="00600655">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建信基金管理有限责任公司</w:t>
      </w:r>
    </w:p>
    <w:p w:rsidR="00942254" w:rsidRPr="00685534" w:rsidRDefault="00011EC4" w:rsidP="00685534">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00FB2B0D">
        <w:rPr>
          <w:rFonts w:ascii="仿宋" w:eastAsia="仿宋" w:hAnsi="仿宋" w:hint="eastAsia"/>
          <w:color w:val="000000" w:themeColor="text1"/>
          <w:sz w:val="32"/>
          <w:szCs w:val="32"/>
        </w:rPr>
        <w:t>2025</w:t>
      </w:r>
      <w:r w:rsidR="00686126">
        <w:rPr>
          <w:rFonts w:ascii="仿宋" w:eastAsia="仿宋" w:hAnsi="仿宋" w:hint="eastAsia"/>
          <w:color w:val="000000" w:themeColor="text1"/>
          <w:sz w:val="32"/>
          <w:szCs w:val="32"/>
        </w:rPr>
        <w:t>年</w:t>
      </w:r>
      <w:r w:rsidR="00425833">
        <w:rPr>
          <w:rFonts w:ascii="仿宋" w:eastAsia="仿宋" w:hAnsi="仿宋" w:hint="eastAsia"/>
          <w:color w:val="000000" w:themeColor="text1"/>
          <w:sz w:val="32"/>
          <w:szCs w:val="32"/>
        </w:rPr>
        <w:t>3</w:t>
      </w:r>
      <w:r w:rsidR="00686126">
        <w:rPr>
          <w:rFonts w:ascii="仿宋" w:eastAsia="仿宋" w:hAnsi="仿宋" w:hint="eastAsia"/>
          <w:color w:val="000000" w:themeColor="text1"/>
          <w:sz w:val="32"/>
          <w:szCs w:val="32"/>
        </w:rPr>
        <w:t>月</w:t>
      </w:r>
      <w:r w:rsidR="00425833">
        <w:rPr>
          <w:rFonts w:ascii="仿宋" w:eastAsia="仿宋" w:hAnsi="仿宋" w:hint="eastAsia"/>
          <w:color w:val="000000" w:themeColor="text1"/>
          <w:sz w:val="32"/>
          <w:szCs w:val="32"/>
        </w:rPr>
        <w:t>28</w:t>
      </w:r>
      <w:bookmarkStart w:id="1" w:name="_GoBack"/>
      <w:bookmarkEnd w:id="1"/>
      <w:r w:rsidR="00686126">
        <w:rPr>
          <w:rFonts w:ascii="仿宋" w:eastAsia="仿宋" w:hAnsi="仿宋" w:hint="eastAsia"/>
          <w:color w:val="000000" w:themeColor="text1"/>
          <w:sz w:val="32"/>
          <w:szCs w:val="32"/>
        </w:rPr>
        <w:t>日</w:t>
      </w:r>
    </w:p>
    <w:sectPr w:rsidR="00942254" w:rsidRPr="00685534" w:rsidSect="006A6B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F31" w:rsidRDefault="00547F31" w:rsidP="006A2311">
      <w:r>
        <w:separator/>
      </w:r>
    </w:p>
  </w:endnote>
  <w:endnote w:type="continuationSeparator" w:id="0">
    <w:p w:rsidR="00547F31" w:rsidRDefault="00547F31" w:rsidP="006A23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E4002EFF" w:usb1="C000247B" w:usb2="00000009" w:usb3="00000000" w:csb0="000001FF" w:csb1="00000000"/>
  </w:font>
  <w:font w:name="仿宋">
    <w:altName w:val="Arial Unicode MS"/>
    <w:charset w:val="86"/>
    <w:family w:val="modern"/>
    <w:pitch w:val="fixed"/>
    <w:sig w:usb0="00000000"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F31" w:rsidRDefault="00547F31" w:rsidP="006A2311">
      <w:r>
        <w:separator/>
      </w:r>
    </w:p>
  </w:footnote>
  <w:footnote w:type="continuationSeparator" w:id="0">
    <w:p w:rsidR="00547F31" w:rsidRDefault="00547F31" w:rsidP="006A23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0ABF"/>
    <w:rsid w:val="00011EC4"/>
    <w:rsid w:val="00037E4A"/>
    <w:rsid w:val="00046993"/>
    <w:rsid w:val="00051038"/>
    <w:rsid w:val="0005215C"/>
    <w:rsid w:val="00074A61"/>
    <w:rsid w:val="00097BAB"/>
    <w:rsid w:val="000C19D7"/>
    <w:rsid w:val="000C1EBB"/>
    <w:rsid w:val="000E5782"/>
    <w:rsid w:val="000E6BFF"/>
    <w:rsid w:val="0011034B"/>
    <w:rsid w:val="001A4274"/>
    <w:rsid w:val="002312CE"/>
    <w:rsid w:val="00264EBF"/>
    <w:rsid w:val="002711D2"/>
    <w:rsid w:val="00275C3A"/>
    <w:rsid w:val="002859A8"/>
    <w:rsid w:val="002868F2"/>
    <w:rsid w:val="0028766A"/>
    <w:rsid w:val="002C77B3"/>
    <w:rsid w:val="002F647B"/>
    <w:rsid w:val="00300960"/>
    <w:rsid w:val="0031770B"/>
    <w:rsid w:val="00324D7C"/>
    <w:rsid w:val="00331C92"/>
    <w:rsid w:val="00342A0E"/>
    <w:rsid w:val="0039212A"/>
    <w:rsid w:val="003B380E"/>
    <w:rsid w:val="003E3061"/>
    <w:rsid w:val="00425833"/>
    <w:rsid w:val="004273FF"/>
    <w:rsid w:val="004B0770"/>
    <w:rsid w:val="00547F31"/>
    <w:rsid w:val="005705CB"/>
    <w:rsid w:val="0059240A"/>
    <w:rsid w:val="005A2501"/>
    <w:rsid w:val="00600655"/>
    <w:rsid w:val="00666393"/>
    <w:rsid w:val="00672FA7"/>
    <w:rsid w:val="00677D41"/>
    <w:rsid w:val="00685534"/>
    <w:rsid w:val="00686126"/>
    <w:rsid w:val="006A2311"/>
    <w:rsid w:val="006A6B14"/>
    <w:rsid w:val="006E268D"/>
    <w:rsid w:val="006F5E63"/>
    <w:rsid w:val="006F7E7D"/>
    <w:rsid w:val="007021D2"/>
    <w:rsid w:val="00747307"/>
    <w:rsid w:val="007851E5"/>
    <w:rsid w:val="0078702E"/>
    <w:rsid w:val="007A2227"/>
    <w:rsid w:val="007D1672"/>
    <w:rsid w:val="00812D32"/>
    <w:rsid w:val="00823E89"/>
    <w:rsid w:val="00826BC9"/>
    <w:rsid w:val="008276EA"/>
    <w:rsid w:val="00880D39"/>
    <w:rsid w:val="00891F5D"/>
    <w:rsid w:val="008B0481"/>
    <w:rsid w:val="008C2C8A"/>
    <w:rsid w:val="008C5CC5"/>
    <w:rsid w:val="008C7317"/>
    <w:rsid w:val="008E117F"/>
    <w:rsid w:val="00940C49"/>
    <w:rsid w:val="00942254"/>
    <w:rsid w:val="00946CC4"/>
    <w:rsid w:val="009A650A"/>
    <w:rsid w:val="009D2DD5"/>
    <w:rsid w:val="009F5F3D"/>
    <w:rsid w:val="00A6420F"/>
    <w:rsid w:val="00AA0EEC"/>
    <w:rsid w:val="00AA1FCE"/>
    <w:rsid w:val="00AD34E8"/>
    <w:rsid w:val="00B06638"/>
    <w:rsid w:val="00B15568"/>
    <w:rsid w:val="00B22EC0"/>
    <w:rsid w:val="00B258DA"/>
    <w:rsid w:val="00BB122E"/>
    <w:rsid w:val="00BC431E"/>
    <w:rsid w:val="00C51087"/>
    <w:rsid w:val="00C743B4"/>
    <w:rsid w:val="00CB315B"/>
    <w:rsid w:val="00CB737E"/>
    <w:rsid w:val="00CD4E3E"/>
    <w:rsid w:val="00CF0ABF"/>
    <w:rsid w:val="00D26207"/>
    <w:rsid w:val="00D408B2"/>
    <w:rsid w:val="00D457F6"/>
    <w:rsid w:val="00D97D35"/>
    <w:rsid w:val="00DC11C4"/>
    <w:rsid w:val="00E63EEE"/>
    <w:rsid w:val="00EA16B2"/>
    <w:rsid w:val="00ED3784"/>
    <w:rsid w:val="00EF26A9"/>
    <w:rsid w:val="00F15D36"/>
    <w:rsid w:val="00F20CE0"/>
    <w:rsid w:val="00F21146"/>
    <w:rsid w:val="00F42577"/>
    <w:rsid w:val="00F75274"/>
    <w:rsid w:val="00FB2B0D"/>
    <w:rsid w:val="00FC046F"/>
    <w:rsid w:val="00FD42AE"/>
    <w:rsid w:val="00FE5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655"/>
    <w:pPr>
      <w:widowControl w:val="0"/>
      <w:jc w:val="both"/>
    </w:pPr>
  </w:style>
  <w:style w:type="paragraph" w:styleId="1">
    <w:name w:val="heading 1"/>
    <w:basedOn w:val="a"/>
    <w:next w:val="a"/>
    <w:link w:val="1Char"/>
    <w:autoRedefine/>
    <w:uiPriority w:val="9"/>
    <w:qFormat/>
    <w:rsid w:val="0005215C"/>
    <w:pPr>
      <w:keepNext/>
      <w:keepLines/>
      <w:spacing w:before="340" w:after="330" w:line="480" w:lineRule="auto"/>
      <w:jc w:val="center"/>
      <w:outlineLvl w:val="0"/>
    </w:pPr>
    <w:rPr>
      <w:b/>
      <w:bCs/>
      <w:kern w:val="44"/>
      <w:sz w:val="28"/>
      <w:szCs w:val="44"/>
    </w:rPr>
  </w:style>
  <w:style w:type="paragraph" w:styleId="2">
    <w:name w:val="heading 2"/>
    <w:basedOn w:val="a"/>
    <w:next w:val="a"/>
    <w:link w:val="2Char"/>
    <w:autoRedefine/>
    <w:uiPriority w:val="9"/>
    <w:unhideWhenUsed/>
    <w:qFormat/>
    <w:rsid w:val="0005215C"/>
    <w:pPr>
      <w:keepNext/>
      <w:keepLines/>
      <w:spacing w:before="500" w:after="500" w:line="480" w:lineRule="auto"/>
      <w:outlineLvl w:val="1"/>
    </w:pPr>
    <w:rPr>
      <w:rFonts w:asciiTheme="majorHAnsi" w:eastAsiaTheme="majorEastAsia" w:hAnsiTheme="majorHAnsi" w:cstheme="majorBidi"/>
      <w:b/>
      <w:bCs/>
      <w:sz w:val="24"/>
      <w:szCs w:val="32"/>
    </w:rPr>
  </w:style>
  <w:style w:type="paragraph" w:styleId="3">
    <w:name w:val="heading 3"/>
    <w:basedOn w:val="a"/>
    <w:next w:val="a"/>
    <w:link w:val="3Char"/>
    <w:autoRedefine/>
    <w:uiPriority w:val="9"/>
    <w:unhideWhenUsed/>
    <w:qFormat/>
    <w:rsid w:val="0005215C"/>
    <w:pPr>
      <w:keepNext/>
      <w:keepLines/>
      <w:spacing w:before="500" w:after="500" w:line="480" w:lineRule="auto"/>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5215C"/>
    <w:rPr>
      <w:b/>
      <w:bCs/>
      <w:kern w:val="44"/>
      <w:sz w:val="28"/>
      <w:szCs w:val="44"/>
    </w:rPr>
  </w:style>
  <w:style w:type="character" w:customStyle="1" w:styleId="2Char">
    <w:name w:val="标题 2 Char"/>
    <w:basedOn w:val="a0"/>
    <w:link w:val="2"/>
    <w:uiPriority w:val="9"/>
    <w:rsid w:val="0005215C"/>
    <w:rPr>
      <w:rFonts w:asciiTheme="majorHAnsi" w:eastAsiaTheme="majorEastAsia" w:hAnsiTheme="majorHAnsi" w:cstheme="majorBidi"/>
      <w:b/>
      <w:bCs/>
      <w:sz w:val="24"/>
      <w:szCs w:val="32"/>
    </w:rPr>
  </w:style>
  <w:style w:type="character" w:customStyle="1" w:styleId="3Char">
    <w:name w:val="标题 3 Char"/>
    <w:basedOn w:val="a0"/>
    <w:link w:val="3"/>
    <w:uiPriority w:val="9"/>
    <w:rsid w:val="0005215C"/>
    <w:rPr>
      <w:b/>
      <w:bCs/>
      <w:sz w:val="24"/>
      <w:szCs w:val="32"/>
    </w:rPr>
  </w:style>
  <w:style w:type="character" w:styleId="a3">
    <w:name w:val="Hyperlink"/>
    <w:basedOn w:val="a0"/>
    <w:uiPriority w:val="99"/>
    <w:semiHidden/>
    <w:unhideWhenUsed/>
    <w:rsid w:val="00600655"/>
    <w:rPr>
      <w:color w:val="0563C1" w:themeColor="hyperlink"/>
      <w:u w:val="single"/>
    </w:rPr>
  </w:style>
  <w:style w:type="paragraph" w:styleId="a4">
    <w:name w:val="header"/>
    <w:basedOn w:val="a"/>
    <w:link w:val="Char"/>
    <w:uiPriority w:val="99"/>
    <w:unhideWhenUsed/>
    <w:rsid w:val="006A23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A2311"/>
    <w:rPr>
      <w:sz w:val="18"/>
      <w:szCs w:val="18"/>
    </w:rPr>
  </w:style>
  <w:style w:type="paragraph" w:styleId="a5">
    <w:name w:val="footer"/>
    <w:basedOn w:val="a"/>
    <w:link w:val="Char0"/>
    <w:uiPriority w:val="99"/>
    <w:unhideWhenUsed/>
    <w:rsid w:val="006A2311"/>
    <w:pPr>
      <w:tabs>
        <w:tab w:val="center" w:pos="4153"/>
        <w:tab w:val="right" w:pos="8306"/>
      </w:tabs>
      <w:snapToGrid w:val="0"/>
      <w:jc w:val="left"/>
    </w:pPr>
    <w:rPr>
      <w:sz w:val="18"/>
      <w:szCs w:val="18"/>
    </w:rPr>
  </w:style>
  <w:style w:type="character" w:customStyle="1" w:styleId="Char0">
    <w:name w:val="页脚 Char"/>
    <w:basedOn w:val="a0"/>
    <w:link w:val="a5"/>
    <w:uiPriority w:val="99"/>
    <w:rsid w:val="006A231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655"/>
    <w:pPr>
      <w:widowControl w:val="0"/>
      <w:jc w:val="both"/>
    </w:pPr>
  </w:style>
  <w:style w:type="paragraph" w:styleId="1">
    <w:name w:val="heading 1"/>
    <w:basedOn w:val="a"/>
    <w:next w:val="a"/>
    <w:link w:val="1Char"/>
    <w:autoRedefine/>
    <w:uiPriority w:val="9"/>
    <w:qFormat/>
    <w:rsid w:val="0005215C"/>
    <w:pPr>
      <w:keepNext/>
      <w:keepLines/>
      <w:spacing w:before="340" w:after="330" w:line="480" w:lineRule="auto"/>
      <w:jc w:val="center"/>
      <w:outlineLvl w:val="0"/>
    </w:pPr>
    <w:rPr>
      <w:b/>
      <w:bCs/>
      <w:kern w:val="44"/>
      <w:sz w:val="28"/>
      <w:szCs w:val="44"/>
    </w:rPr>
  </w:style>
  <w:style w:type="paragraph" w:styleId="2">
    <w:name w:val="heading 2"/>
    <w:basedOn w:val="a"/>
    <w:next w:val="a"/>
    <w:link w:val="2Char"/>
    <w:autoRedefine/>
    <w:uiPriority w:val="9"/>
    <w:unhideWhenUsed/>
    <w:qFormat/>
    <w:rsid w:val="0005215C"/>
    <w:pPr>
      <w:keepNext/>
      <w:keepLines/>
      <w:spacing w:before="500" w:after="500" w:line="480" w:lineRule="auto"/>
      <w:outlineLvl w:val="1"/>
    </w:pPr>
    <w:rPr>
      <w:rFonts w:asciiTheme="majorHAnsi" w:eastAsiaTheme="majorEastAsia" w:hAnsiTheme="majorHAnsi" w:cstheme="majorBidi"/>
      <w:b/>
      <w:bCs/>
      <w:sz w:val="24"/>
      <w:szCs w:val="32"/>
    </w:rPr>
  </w:style>
  <w:style w:type="paragraph" w:styleId="3">
    <w:name w:val="heading 3"/>
    <w:basedOn w:val="a"/>
    <w:next w:val="a"/>
    <w:link w:val="3Char"/>
    <w:autoRedefine/>
    <w:uiPriority w:val="9"/>
    <w:unhideWhenUsed/>
    <w:qFormat/>
    <w:rsid w:val="0005215C"/>
    <w:pPr>
      <w:keepNext/>
      <w:keepLines/>
      <w:spacing w:before="500" w:after="500" w:line="480" w:lineRule="auto"/>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5215C"/>
    <w:rPr>
      <w:b/>
      <w:bCs/>
      <w:kern w:val="44"/>
      <w:sz w:val="28"/>
      <w:szCs w:val="44"/>
    </w:rPr>
  </w:style>
  <w:style w:type="character" w:customStyle="1" w:styleId="2Char">
    <w:name w:val="标题 2 Char"/>
    <w:basedOn w:val="a0"/>
    <w:link w:val="2"/>
    <w:uiPriority w:val="9"/>
    <w:rsid w:val="0005215C"/>
    <w:rPr>
      <w:rFonts w:asciiTheme="majorHAnsi" w:eastAsiaTheme="majorEastAsia" w:hAnsiTheme="majorHAnsi" w:cstheme="majorBidi"/>
      <w:b/>
      <w:bCs/>
      <w:sz w:val="24"/>
      <w:szCs w:val="32"/>
    </w:rPr>
  </w:style>
  <w:style w:type="character" w:customStyle="1" w:styleId="3Char">
    <w:name w:val="标题 3 Char"/>
    <w:basedOn w:val="a0"/>
    <w:link w:val="3"/>
    <w:uiPriority w:val="9"/>
    <w:rsid w:val="0005215C"/>
    <w:rPr>
      <w:b/>
      <w:bCs/>
      <w:sz w:val="24"/>
      <w:szCs w:val="32"/>
    </w:rPr>
  </w:style>
  <w:style w:type="character" w:styleId="a3">
    <w:name w:val="Hyperlink"/>
    <w:basedOn w:val="a0"/>
    <w:uiPriority w:val="99"/>
    <w:semiHidden/>
    <w:unhideWhenUsed/>
    <w:rsid w:val="00600655"/>
    <w:rPr>
      <w:color w:val="0563C1" w:themeColor="hyperlink"/>
      <w:u w:val="single"/>
    </w:rPr>
  </w:style>
  <w:style w:type="paragraph" w:styleId="a4">
    <w:name w:val="header"/>
    <w:basedOn w:val="a"/>
    <w:link w:val="Char"/>
    <w:uiPriority w:val="99"/>
    <w:unhideWhenUsed/>
    <w:rsid w:val="006A23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A2311"/>
    <w:rPr>
      <w:sz w:val="18"/>
      <w:szCs w:val="18"/>
    </w:rPr>
  </w:style>
  <w:style w:type="paragraph" w:styleId="a5">
    <w:name w:val="footer"/>
    <w:basedOn w:val="a"/>
    <w:link w:val="Char0"/>
    <w:uiPriority w:val="99"/>
    <w:unhideWhenUsed/>
    <w:rsid w:val="006A2311"/>
    <w:pPr>
      <w:tabs>
        <w:tab w:val="center" w:pos="4153"/>
        <w:tab w:val="right" w:pos="8306"/>
      </w:tabs>
      <w:snapToGrid w:val="0"/>
      <w:jc w:val="left"/>
    </w:pPr>
    <w:rPr>
      <w:sz w:val="18"/>
      <w:szCs w:val="18"/>
    </w:rPr>
  </w:style>
  <w:style w:type="character" w:customStyle="1" w:styleId="Char0">
    <w:name w:val="页脚 Char"/>
    <w:basedOn w:val="a0"/>
    <w:link w:val="a5"/>
    <w:uiPriority w:val="99"/>
    <w:rsid w:val="006A2311"/>
    <w:rPr>
      <w:sz w:val="18"/>
      <w:szCs w:val="18"/>
    </w:rPr>
  </w:style>
</w:styles>
</file>

<file path=word/webSettings.xml><?xml version="1.0" encoding="utf-8"?>
<w:webSettings xmlns:r="http://schemas.openxmlformats.org/officeDocument/2006/relationships" xmlns:w="http://schemas.openxmlformats.org/wordprocessingml/2006/main">
  <w:divs>
    <w:div w:id="36517473">
      <w:bodyDiv w:val="1"/>
      <w:marLeft w:val="0"/>
      <w:marRight w:val="0"/>
      <w:marTop w:val="0"/>
      <w:marBottom w:val="0"/>
      <w:divBdr>
        <w:top w:val="none" w:sz="0" w:space="0" w:color="auto"/>
        <w:left w:val="none" w:sz="0" w:space="0" w:color="auto"/>
        <w:bottom w:val="none" w:sz="0" w:space="0" w:color="auto"/>
        <w:right w:val="none" w:sz="0" w:space="0" w:color="auto"/>
      </w:divBdr>
    </w:div>
    <w:div w:id="459496465">
      <w:bodyDiv w:val="1"/>
      <w:marLeft w:val="0"/>
      <w:marRight w:val="0"/>
      <w:marTop w:val="0"/>
      <w:marBottom w:val="0"/>
      <w:divBdr>
        <w:top w:val="none" w:sz="0" w:space="0" w:color="auto"/>
        <w:left w:val="none" w:sz="0" w:space="0" w:color="auto"/>
        <w:bottom w:val="none" w:sz="0" w:space="0" w:color="auto"/>
        <w:right w:val="none" w:sz="0" w:space="0" w:color="auto"/>
      </w:divBdr>
    </w:div>
    <w:div w:id="500119171">
      <w:bodyDiv w:val="1"/>
      <w:marLeft w:val="0"/>
      <w:marRight w:val="0"/>
      <w:marTop w:val="0"/>
      <w:marBottom w:val="0"/>
      <w:divBdr>
        <w:top w:val="none" w:sz="0" w:space="0" w:color="auto"/>
        <w:left w:val="none" w:sz="0" w:space="0" w:color="auto"/>
        <w:bottom w:val="none" w:sz="0" w:space="0" w:color="auto"/>
        <w:right w:val="none" w:sz="0" w:space="0" w:color="auto"/>
      </w:divBdr>
    </w:div>
    <w:div w:id="641547710">
      <w:bodyDiv w:val="1"/>
      <w:marLeft w:val="0"/>
      <w:marRight w:val="0"/>
      <w:marTop w:val="0"/>
      <w:marBottom w:val="0"/>
      <w:divBdr>
        <w:top w:val="none" w:sz="0" w:space="0" w:color="auto"/>
        <w:left w:val="none" w:sz="0" w:space="0" w:color="auto"/>
        <w:bottom w:val="none" w:sz="0" w:space="0" w:color="auto"/>
        <w:right w:val="none" w:sz="0" w:space="0" w:color="auto"/>
      </w:divBdr>
    </w:div>
    <w:div w:id="807627360">
      <w:bodyDiv w:val="1"/>
      <w:marLeft w:val="0"/>
      <w:marRight w:val="0"/>
      <w:marTop w:val="0"/>
      <w:marBottom w:val="0"/>
      <w:divBdr>
        <w:top w:val="none" w:sz="0" w:space="0" w:color="auto"/>
        <w:left w:val="none" w:sz="0" w:space="0" w:color="auto"/>
        <w:bottom w:val="none" w:sz="0" w:space="0" w:color="auto"/>
        <w:right w:val="none" w:sz="0" w:space="0" w:color="auto"/>
      </w:divBdr>
    </w:div>
    <w:div w:id="918250075">
      <w:bodyDiv w:val="1"/>
      <w:marLeft w:val="0"/>
      <w:marRight w:val="0"/>
      <w:marTop w:val="0"/>
      <w:marBottom w:val="0"/>
      <w:divBdr>
        <w:top w:val="none" w:sz="0" w:space="0" w:color="auto"/>
        <w:left w:val="none" w:sz="0" w:space="0" w:color="auto"/>
        <w:bottom w:val="none" w:sz="0" w:space="0" w:color="auto"/>
        <w:right w:val="none" w:sz="0" w:space="0" w:color="auto"/>
      </w:divBdr>
    </w:div>
    <w:div w:id="990137552">
      <w:bodyDiv w:val="1"/>
      <w:marLeft w:val="0"/>
      <w:marRight w:val="0"/>
      <w:marTop w:val="0"/>
      <w:marBottom w:val="0"/>
      <w:divBdr>
        <w:top w:val="none" w:sz="0" w:space="0" w:color="auto"/>
        <w:left w:val="none" w:sz="0" w:space="0" w:color="auto"/>
        <w:bottom w:val="none" w:sz="0" w:space="0" w:color="auto"/>
        <w:right w:val="none" w:sz="0" w:space="0" w:color="auto"/>
      </w:divBdr>
    </w:div>
    <w:div w:id="1299799538">
      <w:bodyDiv w:val="1"/>
      <w:marLeft w:val="0"/>
      <w:marRight w:val="0"/>
      <w:marTop w:val="0"/>
      <w:marBottom w:val="0"/>
      <w:divBdr>
        <w:top w:val="none" w:sz="0" w:space="0" w:color="auto"/>
        <w:left w:val="none" w:sz="0" w:space="0" w:color="auto"/>
        <w:bottom w:val="none" w:sz="0" w:space="0" w:color="auto"/>
        <w:right w:val="none" w:sz="0" w:space="0" w:color="auto"/>
      </w:divBdr>
    </w:div>
    <w:div w:id="1395424424">
      <w:bodyDiv w:val="1"/>
      <w:marLeft w:val="0"/>
      <w:marRight w:val="0"/>
      <w:marTop w:val="0"/>
      <w:marBottom w:val="0"/>
      <w:divBdr>
        <w:top w:val="none" w:sz="0" w:space="0" w:color="auto"/>
        <w:left w:val="none" w:sz="0" w:space="0" w:color="auto"/>
        <w:bottom w:val="none" w:sz="0" w:space="0" w:color="auto"/>
        <w:right w:val="none" w:sz="0" w:space="0" w:color="auto"/>
      </w:divBdr>
    </w:div>
    <w:div w:id="1656763885">
      <w:bodyDiv w:val="1"/>
      <w:marLeft w:val="0"/>
      <w:marRight w:val="0"/>
      <w:marTop w:val="0"/>
      <w:marBottom w:val="0"/>
      <w:divBdr>
        <w:top w:val="none" w:sz="0" w:space="0" w:color="auto"/>
        <w:left w:val="none" w:sz="0" w:space="0" w:color="auto"/>
        <w:bottom w:val="none" w:sz="0" w:space="0" w:color="auto"/>
        <w:right w:val="none" w:sz="0" w:space="0" w:color="auto"/>
      </w:divBdr>
    </w:div>
    <w:div w:id="1760522997">
      <w:bodyDiv w:val="1"/>
      <w:marLeft w:val="0"/>
      <w:marRight w:val="0"/>
      <w:marTop w:val="0"/>
      <w:marBottom w:val="0"/>
      <w:divBdr>
        <w:top w:val="none" w:sz="0" w:space="0" w:color="auto"/>
        <w:left w:val="none" w:sz="0" w:space="0" w:color="auto"/>
        <w:bottom w:val="none" w:sz="0" w:space="0" w:color="auto"/>
        <w:right w:val="none" w:sz="0" w:space="0" w:color="auto"/>
      </w:divBdr>
    </w:div>
    <w:div w:id="1803576951">
      <w:bodyDiv w:val="1"/>
      <w:marLeft w:val="0"/>
      <w:marRight w:val="0"/>
      <w:marTop w:val="0"/>
      <w:marBottom w:val="0"/>
      <w:divBdr>
        <w:top w:val="none" w:sz="0" w:space="0" w:color="auto"/>
        <w:left w:val="none" w:sz="0" w:space="0" w:color="auto"/>
        <w:bottom w:val="none" w:sz="0" w:space="0" w:color="auto"/>
        <w:right w:val="none" w:sz="0" w:space="0" w:color="auto"/>
      </w:divBdr>
    </w:div>
    <w:div w:id="1809282719">
      <w:bodyDiv w:val="1"/>
      <w:marLeft w:val="0"/>
      <w:marRight w:val="0"/>
      <w:marTop w:val="0"/>
      <w:marBottom w:val="0"/>
      <w:divBdr>
        <w:top w:val="none" w:sz="0" w:space="0" w:color="auto"/>
        <w:left w:val="none" w:sz="0" w:space="0" w:color="auto"/>
        <w:bottom w:val="none" w:sz="0" w:space="0" w:color="auto"/>
        <w:right w:val="none" w:sz="0" w:space="0" w:color="auto"/>
      </w:divBdr>
    </w:div>
    <w:div w:id="200096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id.csrc.gov.cn/fund"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3882</Characters>
  <Application>Microsoft Office Word</Application>
  <DocSecurity>4</DocSecurity>
  <Lines>32</Lines>
  <Paragraphs>9</Paragraphs>
  <ScaleCrop>false</ScaleCrop>
  <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Principle</dc:creator>
  <cp:lastModifiedBy>ZHONGM</cp:lastModifiedBy>
  <cp:revision>2</cp:revision>
  <dcterms:created xsi:type="dcterms:W3CDTF">2025-03-27T16:06:00Z</dcterms:created>
  <dcterms:modified xsi:type="dcterms:W3CDTF">2025-03-27T16:06:00Z</dcterms:modified>
</cp:coreProperties>
</file>