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6F" w:rsidRDefault="0078706F" w:rsidP="0078706F">
      <w:pPr>
        <w:spacing w:line="500" w:lineRule="exact"/>
        <w:jc w:val="center"/>
        <w:rPr>
          <w:rFonts w:ascii="黑体" w:eastAsia="黑体" w:hAnsi="黑体"/>
          <w:sz w:val="30"/>
          <w:szCs w:val="30"/>
        </w:rPr>
      </w:pPr>
      <w:r>
        <w:rPr>
          <w:rFonts w:ascii="黑体" w:eastAsia="黑体" w:hAnsi="黑体" w:hint="eastAsia"/>
          <w:sz w:val="30"/>
          <w:szCs w:val="30"/>
        </w:rPr>
        <w:t>申万菱信基金管理有限公司</w:t>
      </w:r>
    </w:p>
    <w:p w:rsidR="0078706F" w:rsidRDefault="0078706F" w:rsidP="0078706F">
      <w:pPr>
        <w:spacing w:line="500" w:lineRule="exact"/>
        <w:jc w:val="center"/>
        <w:rPr>
          <w:rFonts w:ascii="黑体" w:eastAsia="黑体" w:hAnsi="黑体"/>
          <w:sz w:val="30"/>
          <w:szCs w:val="30"/>
        </w:rPr>
      </w:pPr>
      <w:bookmarkStart w:id="0" w:name="_GoBack"/>
      <w:r>
        <w:rPr>
          <w:rFonts w:ascii="黑体" w:eastAsia="黑体" w:hAnsi="黑体" w:hint="eastAsia"/>
          <w:sz w:val="30"/>
          <w:szCs w:val="30"/>
        </w:rPr>
        <w:t>关于旗下部分基金更新招募说明书和基金产品资料概要的提示性公告</w:t>
      </w:r>
    </w:p>
    <w:bookmarkEnd w:id="0"/>
    <w:p w:rsidR="0078706F" w:rsidRDefault="0078706F" w:rsidP="0078706F">
      <w:pPr>
        <w:spacing w:line="500" w:lineRule="exact"/>
        <w:jc w:val="center"/>
        <w:rPr>
          <w:rFonts w:ascii="黑体" w:eastAsia="黑体" w:hAnsi="黑体"/>
          <w:sz w:val="30"/>
          <w:szCs w:val="30"/>
        </w:rPr>
      </w:pPr>
    </w:p>
    <w:p w:rsidR="0078706F" w:rsidRDefault="0078706F" w:rsidP="0078706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申万菱信旗下部分基金更新的招募说明书和基金产品资料概要于2025年3月2</w:t>
      </w:r>
      <w:r>
        <w:rPr>
          <w:rFonts w:ascii="仿宋" w:eastAsia="仿宋" w:hAnsi="仿宋" w:cs="仿宋"/>
          <w:sz w:val="28"/>
          <w:szCs w:val="28"/>
        </w:rPr>
        <w:t>5</w:t>
      </w:r>
      <w:r>
        <w:rPr>
          <w:rFonts w:ascii="仿宋" w:eastAsia="仿宋" w:hAnsi="仿宋" w:cs="仿宋" w:hint="eastAsia"/>
          <w:sz w:val="28"/>
          <w:szCs w:val="28"/>
        </w:rPr>
        <w:t>日在本公司官方网站（www.swsmu.com）和中国证监会基金电子披露网站（http://eid.csrc.gov.cn）披露，供投资者查阅。</w:t>
      </w:r>
    </w:p>
    <w:p w:rsidR="0078706F" w:rsidRPr="0078706F" w:rsidRDefault="0078706F" w:rsidP="0078706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适用基金：</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229"/>
      </w:tblGrid>
      <w:tr w:rsidR="0078706F" w:rsidTr="0078706F">
        <w:trPr>
          <w:trHeight w:val="300"/>
          <w:jc w:val="center"/>
        </w:trPr>
        <w:tc>
          <w:tcPr>
            <w:tcW w:w="846" w:type="dxa"/>
            <w:shd w:val="clear" w:color="auto" w:fill="auto"/>
            <w:noWrap/>
            <w:vAlign w:val="center"/>
          </w:tcPr>
          <w:p w:rsidR="0078706F" w:rsidRPr="0078706F" w:rsidRDefault="0078706F" w:rsidP="00EB475F">
            <w:pPr>
              <w:widowControl/>
              <w:jc w:val="center"/>
              <w:rPr>
                <w:rFonts w:ascii="仿宋" w:eastAsia="仿宋" w:hAnsi="仿宋" w:cs="仿宋"/>
                <w:sz w:val="28"/>
                <w:szCs w:val="28"/>
              </w:rPr>
            </w:pPr>
            <w:r w:rsidRPr="0078706F">
              <w:rPr>
                <w:rFonts w:ascii="仿宋" w:eastAsia="仿宋" w:hAnsi="仿宋" w:cs="仿宋" w:hint="eastAsia"/>
                <w:sz w:val="28"/>
                <w:szCs w:val="28"/>
              </w:rPr>
              <w:t>序号</w:t>
            </w:r>
          </w:p>
        </w:tc>
        <w:tc>
          <w:tcPr>
            <w:tcW w:w="7229" w:type="dxa"/>
            <w:shd w:val="clear" w:color="auto" w:fill="auto"/>
            <w:noWrap/>
            <w:vAlign w:val="center"/>
          </w:tcPr>
          <w:p w:rsidR="0078706F" w:rsidRPr="0078706F" w:rsidRDefault="0078706F" w:rsidP="00EB475F">
            <w:pPr>
              <w:widowControl/>
              <w:jc w:val="center"/>
              <w:rPr>
                <w:rFonts w:ascii="仿宋" w:eastAsia="仿宋" w:hAnsi="仿宋" w:cs="仿宋"/>
                <w:sz w:val="28"/>
                <w:szCs w:val="28"/>
              </w:rPr>
            </w:pPr>
            <w:r w:rsidRPr="0078706F">
              <w:rPr>
                <w:rFonts w:ascii="仿宋" w:eastAsia="仿宋" w:hAnsi="仿宋" w:cs="仿宋" w:hint="eastAsia"/>
                <w:sz w:val="28"/>
                <w:szCs w:val="28"/>
              </w:rPr>
              <w:t>基金全称</w:t>
            </w:r>
          </w:p>
        </w:tc>
      </w:tr>
      <w:tr w:rsidR="0078706F" w:rsidTr="0078706F">
        <w:trPr>
          <w:trHeight w:val="300"/>
          <w:jc w:val="center"/>
        </w:trPr>
        <w:tc>
          <w:tcPr>
            <w:tcW w:w="846" w:type="dxa"/>
            <w:shd w:val="clear" w:color="auto" w:fill="auto"/>
            <w:noWrap/>
            <w:vAlign w:val="center"/>
          </w:tcPr>
          <w:p w:rsidR="0078706F" w:rsidRPr="0078706F" w:rsidRDefault="0078706F" w:rsidP="00EB475F">
            <w:pPr>
              <w:widowControl/>
              <w:jc w:val="right"/>
              <w:rPr>
                <w:rFonts w:ascii="仿宋" w:eastAsia="仿宋" w:hAnsi="仿宋" w:cs="仿宋"/>
                <w:sz w:val="28"/>
                <w:szCs w:val="28"/>
              </w:rPr>
            </w:pPr>
            <w:r w:rsidRPr="0078706F">
              <w:rPr>
                <w:rFonts w:ascii="仿宋" w:eastAsia="仿宋" w:hAnsi="仿宋" w:cs="仿宋" w:hint="eastAsia"/>
                <w:sz w:val="28"/>
                <w:szCs w:val="28"/>
              </w:rPr>
              <w:t>1</w:t>
            </w:r>
          </w:p>
        </w:tc>
        <w:tc>
          <w:tcPr>
            <w:tcW w:w="7229" w:type="dxa"/>
            <w:shd w:val="clear" w:color="auto" w:fill="auto"/>
            <w:noWrap/>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申万菱信沪深</w:t>
            </w:r>
            <w:r w:rsidRPr="0078706F">
              <w:rPr>
                <w:rFonts w:ascii="仿宋" w:eastAsia="仿宋" w:hAnsi="仿宋" w:cs="仿宋"/>
                <w:sz w:val="28"/>
                <w:szCs w:val="28"/>
              </w:rPr>
              <w:t>300指数增强型证券投资基金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2</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申万菱信沪深</w:t>
            </w:r>
            <w:r w:rsidRPr="0078706F">
              <w:rPr>
                <w:rFonts w:ascii="仿宋" w:eastAsia="仿宋" w:hAnsi="仿宋" w:cs="仿宋"/>
                <w:sz w:val="28"/>
                <w:szCs w:val="28"/>
              </w:rPr>
              <w:t>300价值指数证券投资基金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3</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申万菱信深证成份指数型证券投资基金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4</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申万菱信中小企业</w:t>
            </w:r>
            <w:r w:rsidRPr="0078706F">
              <w:rPr>
                <w:rFonts w:ascii="仿宋" w:eastAsia="仿宋" w:hAnsi="仿宋" w:cs="仿宋"/>
                <w:sz w:val="28"/>
                <w:szCs w:val="28"/>
              </w:rPr>
              <w:t>100指数证券投资基金(LOF)</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5</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申万菱信中证申万证券行业指数型证券投资基金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6</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申万菱信中证环保产业指数型证券投资基金</w:t>
            </w:r>
            <w:r w:rsidRPr="0078706F">
              <w:rPr>
                <w:rFonts w:ascii="仿宋" w:eastAsia="仿宋" w:hAnsi="仿宋" w:cs="仿宋"/>
                <w:sz w:val="28"/>
                <w:szCs w:val="28"/>
              </w:rPr>
              <w:t>(LOF)</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7</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申万菱信中证军工指数型证券投资基金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8</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申万菱信中证申万电子行业投资指数型证券投资基金</w:t>
            </w:r>
            <w:r w:rsidRPr="0078706F">
              <w:rPr>
                <w:rFonts w:ascii="仿宋" w:eastAsia="仿宋" w:hAnsi="仿宋" w:cs="仿宋"/>
                <w:sz w:val="28"/>
                <w:szCs w:val="28"/>
              </w:rPr>
              <w:t>(LOF)</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9</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申万菱信中证申万医药生物指数型证券投资基金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10</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w:t>
            </w:r>
            <w:r w:rsidRPr="0078706F">
              <w:rPr>
                <w:rFonts w:ascii="仿宋" w:eastAsia="仿宋" w:hAnsi="仿宋" w:cs="仿宋"/>
                <w:sz w:val="28"/>
                <w:szCs w:val="28"/>
              </w:rPr>
              <w:t>500指数增强型证券投资基金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11</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w:t>
            </w:r>
            <w:r w:rsidRPr="0078706F">
              <w:rPr>
                <w:rFonts w:ascii="仿宋" w:eastAsia="仿宋" w:hAnsi="仿宋" w:cs="仿宋"/>
                <w:sz w:val="28"/>
                <w:szCs w:val="28"/>
              </w:rPr>
              <w:t>500指数优选增强型证券投资基金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t>12</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申万菱信上证</w:t>
            </w:r>
            <w:r w:rsidRPr="0078706F">
              <w:rPr>
                <w:rFonts w:ascii="仿宋" w:eastAsia="仿宋" w:hAnsi="仿宋" w:cs="仿宋"/>
                <w:sz w:val="28"/>
                <w:szCs w:val="28"/>
              </w:rPr>
              <w:t>50交易型开放式指数发起式证券投资基金</w:t>
            </w:r>
          </w:p>
        </w:tc>
      </w:tr>
      <w:tr w:rsidR="0078706F" w:rsidTr="0078706F">
        <w:trPr>
          <w:trHeight w:val="300"/>
          <w:jc w:val="center"/>
        </w:trPr>
        <w:tc>
          <w:tcPr>
            <w:tcW w:w="846" w:type="dxa"/>
            <w:shd w:val="clear" w:color="auto" w:fill="auto"/>
            <w:noWrap/>
            <w:vAlign w:val="center"/>
          </w:tcPr>
          <w:p w:rsidR="0078706F" w:rsidRPr="0078706F" w:rsidRDefault="0078706F" w:rsidP="00EB475F">
            <w:pPr>
              <w:jc w:val="right"/>
              <w:rPr>
                <w:rFonts w:ascii="仿宋" w:eastAsia="仿宋" w:hAnsi="仿宋" w:cs="仿宋"/>
                <w:sz w:val="28"/>
                <w:szCs w:val="28"/>
              </w:rPr>
            </w:pPr>
            <w:r w:rsidRPr="0078706F">
              <w:rPr>
                <w:rFonts w:ascii="仿宋" w:eastAsia="仿宋" w:hAnsi="仿宋" w:cs="仿宋" w:hint="eastAsia"/>
                <w:sz w:val="28"/>
                <w:szCs w:val="28"/>
              </w:rPr>
              <w:lastRenderedPageBreak/>
              <w:t>13</w:t>
            </w:r>
          </w:p>
        </w:tc>
        <w:tc>
          <w:tcPr>
            <w:tcW w:w="7229" w:type="dxa"/>
            <w:shd w:val="clear" w:color="auto" w:fill="auto"/>
            <w:vAlign w:val="center"/>
          </w:tcPr>
          <w:p w:rsidR="0078706F" w:rsidRPr="0078706F" w:rsidRDefault="0078706F" w:rsidP="00EB475F">
            <w:pPr>
              <w:jc w:val="left"/>
              <w:rPr>
                <w:rFonts w:ascii="仿宋" w:eastAsia="仿宋" w:hAnsi="仿宋" w:cs="仿宋"/>
                <w:sz w:val="28"/>
                <w:szCs w:val="28"/>
              </w:rPr>
            </w:pPr>
            <w:r w:rsidRPr="0078706F">
              <w:rPr>
                <w:rFonts w:ascii="仿宋" w:eastAsia="仿宋" w:hAnsi="仿宋" w:cs="仿宋" w:hint="eastAsia"/>
                <w:sz w:val="28"/>
                <w:szCs w:val="28"/>
              </w:rPr>
              <w:t>申万菱信中证研发创新</w:t>
            </w:r>
            <w:r w:rsidRPr="0078706F">
              <w:rPr>
                <w:rFonts w:ascii="仿宋" w:eastAsia="仿宋" w:hAnsi="仿宋" w:cs="仿宋"/>
                <w:sz w:val="28"/>
                <w:szCs w:val="28"/>
              </w:rPr>
              <w:t>100交易型开放式指数证券投资基金</w:t>
            </w:r>
          </w:p>
        </w:tc>
      </w:tr>
    </w:tbl>
    <w:p w:rsidR="0078706F" w:rsidRDefault="0078706F" w:rsidP="0078706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如有疑问可拨打本公司客服电话（400-880-8588）咨询。</w:t>
      </w:r>
    </w:p>
    <w:p w:rsidR="0078706F" w:rsidRDefault="0078706F" w:rsidP="0078706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本基金管理人承诺以诚实信用、勤勉尽责的原则管理和运用基金资产，但不保证基金一定盈利，也不保证最低收益。请充分了解相关基金的风险收益特征，审慎做出投资决定。</w:t>
      </w:r>
    </w:p>
    <w:p w:rsidR="0078706F" w:rsidRDefault="0078706F" w:rsidP="0078706F">
      <w:pPr>
        <w:spacing w:line="500" w:lineRule="exact"/>
        <w:ind w:firstLineChars="200" w:firstLine="560"/>
        <w:rPr>
          <w:rFonts w:ascii="仿宋" w:eastAsia="仿宋" w:hAnsi="仿宋" w:cs="仿宋"/>
          <w:sz w:val="28"/>
          <w:szCs w:val="28"/>
        </w:rPr>
      </w:pPr>
    </w:p>
    <w:p w:rsidR="0078706F" w:rsidRDefault="0078706F" w:rsidP="0078706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特此公告。</w:t>
      </w:r>
    </w:p>
    <w:p w:rsidR="0078706F" w:rsidRDefault="0078706F" w:rsidP="0078706F">
      <w:pPr>
        <w:spacing w:line="500" w:lineRule="exact"/>
        <w:ind w:firstLineChars="200" w:firstLine="560"/>
        <w:jc w:val="right"/>
        <w:rPr>
          <w:rFonts w:ascii="仿宋" w:eastAsia="仿宋" w:hAnsi="仿宋" w:cs="仿宋"/>
          <w:sz w:val="28"/>
          <w:szCs w:val="28"/>
        </w:rPr>
      </w:pPr>
    </w:p>
    <w:p w:rsidR="0078706F" w:rsidRDefault="0078706F" w:rsidP="0078706F">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                               申万菱信基金管理有限公司</w:t>
      </w:r>
    </w:p>
    <w:p w:rsidR="0078706F" w:rsidRDefault="0078706F" w:rsidP="0078706F">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2025年3月2</w:t>
      </w:r>
      <w:r>
        <w:rPr>
          <w:rFonts w:ascii="仿宋" w:eastAsia="仿宋" w:hAnsi="仿宋" w:cs="仿宋"/>
          <w:sz w:val="28"/>
          <w:szCs w:val="28"/>
        </w:rPr>
        <w:t>5</w:t>
      </w:r>
      <w:r>
        <w:rPr>
          <w:rFonts w:ascii="仿宋" w:eastAsia="仿宋" w:hAnsi="仿宋" w:cs="仿宋" w:hint="eastAsia"/>
          <w:sz w:val="28"/>
          <w:szCs w:val="28"/>
        </w:rPr>
        <w:t>日</w:t>
      </w:r>
    </w:p>
    <w:p w:rsidR="003551AF" w:rsidRDefault="003551AF"/>
    <w:sectPr w:rsidR="003551AF" w:rsidSect="001565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706F"/>
    <w:rsid w:val="00156593"/>
    <w:rsid w:val="003551AF"/>
    <w:rsid w:val="005157F8"/>
    <w:rsid w:val="00787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870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583</Characters>
  <Application>Microsoft Office Word</Application>
  <DocSecurity>4</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张淑静</dc:creator>
  <cp:keywords/>
  <dc:description/>
  <cp:lastModifiedBy>ZHONGM</cp:lastModifiedBy>
  <cp:revision>2</cp:revision>
  <dcterms:created xsi:type="dcterms:W3CDTF">2025-03-24T16:02:00Z</dcterms:created>
  <dcterms:modified xsi:type="dcterms:W3CDTF">2025-03-24T16:02:00Z</dcterms:modified>
</cp:coreProperties>
</file>