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07" w:rsidRDefault="00C00CB0">
      <w:pPr>
        <w:jc w:val="both"/>
        <w:rPr>
          <w:sz w:val="21"/>
          <w:szCs w:val="21"/>
        </w:rPr>
      </w:pPr>
      <w:bookmarkStart w:id="0" w:name="_GoBack"/>
      <w:bookmarkEnd w:id="0"/>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center"/>
        <w:rPr>
          <w:rFonts w:ascii="SimSun" w:eastAsia="SimSun" w:hAnsi="SimSun" w:cs="SimSun"/>
          <w:sz w:val="48"/>
          <w:szCs w:val="48"/>
        </w:rPr>
      </w:pPr>
      <w:r>
        <w:rPr>
          <w:rFonts w:ascii="SimSun" w:eastAsia="SimSun" w:hAnsi="SimSun" w:cs="SimSun"/>
          <w:b/>
          <w:bCs/>
          <w:sz w:val="48"/>
          <w:szCs w:val="48"/>
        </w:rPr>
        <w:t>鹏华基金管理有限公司关于鹏华丰康债券型证券投资基金</w:t>
      </w:r>
      <w:r>
        <w:rPr>
          <w:rFonts w:ascii="SimSun" w:eastAsia="SimSun" w:hAnsi="SimSun" w:cs="SimSun"/>
          <w:b/>
          <w:bCs/>
          <w:sz w:val="48"/>
          <w:szCs w:val="48"/>
        </w:rPr>
        <w:t>2025</w:t>
      </w:r>
      <w:r>
        <w:rPr>
          <w:rFonts w:ascii="SimSun" w:eastAsia="SimSun" w:hAnsi="SimSun" w:cs="SimSun"/>
          <w:b/>
          <w:bCs/>
          <w:sz w:val="48"/>
          <w:szCs w:val="48"/>
        </w:rPr>
        <w:t>年第</w:t>
      </w:r>
      <w:r>
        <w:rPr>
          <w:rFonts w:ascii="SimSun" w:eastAsia="SimSun" w:hAnsi="SimSun" w:cs="SimSun"/>
          <w:b/>
          <w:bCs/>
          <w:sz w:val="48"/>
          <w:szCs w:val="48"/>
        </w:rPr>
        <w:t>1</w:t>
      </w:r>
      <w:r>
        <w:rPr>
          <w:rFonts w:ascii="SimSun" w:eastAsia="SimSun" w:hAnsi="SimSun" w:cs="SimSun"/>
          <w:b/>
          <w:bCs/>
          <w:sz w:val="48"/>
          <w:szCs w:val="48"/>
        </w:rPr>
        <w:t>次分红公告</w:t>
      </w:r>
    </w:p>
    <w:p w:rsidR="009A1507" w:rsidRDefault="00C00CB0">
      <w:pPr>
        <w:jc w:val="center"/>
        <w:rPr>
          <w:sz w:val="48"/>
          <w:szCs w:val="48"/>
        </w:rPr>
      </w:pPr>
      <w:r>
        <w:rPr>
          <w:rFonts w:ascii="Calibri" w:eastAsia="Calibri" w:hAnsi="Calibri" w:cs="Calibri"/>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ind w:left="2100" w:firstLine="420"/>
        <w:jc w:val="both"/>
        <w:rPr>
          <w:sz w:val="28"/>
          <w:szCs w:val="28"/>
        </w:rPr>
      </w:pPr>
      <w:r>
        <w:rPr>
          <w:rFonts w:ascii="SimSun" w:eastAsia="SimSun" w:hAnsi="SimSun" w:cs="SimSun"/>
          <w:b/>
          <w:bCs/>
          <w:sz w:val="28"/>
          <w:szCs w:val="28"/>
        </w:rPr>
        <w:t>公告送出日期：</w:t>
      </w:r>
      <w:r>
        <w:rPr>
          <w:sz w:val="28"/>
          <w:szCs w:val="28"/>
        </w:rPr>
        <w:t>2025</w:t>
      </w:r>
      <w:r>
        <w:rPr>
          <w:rFonts w:ascii="SimSun" w:eastAsia="SimSun" w:hAnsi="SimSun" w:cs="SimSun"/>
          <w:sz w:val="28"/>
          <w:szCs w:val="28"/>
        </w:rPr>
        <w:t>年</w:t>
      </w:r>
      <w:r>
        <w:rPr>
          <w:sz w:val="28"/>
          <w:szCs w:val="28"/>
        </w:rPr>
        <w:t>03</w:t>
      </w:r>
      <w:r>
        <w:rPr>
          <w:rFonts w:ascii="SimSun" w:eastAsia="SimSun" w:hAnsi="SimSun" w:cs="SimSun"/>
          <w:sz w:val="28"/>
          <w:szCs w:val="28"/>
        </w:rPr>
        <w:t>月</w:t>
      </w:r>
      <w:r>
        <w:rPr>
          <w:sz w:val="28"/>
          <w:szCs w:val="28"/>
        </w:rPr>
        <w:t>24</w:t>
      </w:r>
      <w:r>
        <w:rPr>
          <w:rFonts w:ascii="SimSun" w:eastAsia="SimSun" w:hAnsi="SimSun" w:cs="SimSun"/>
          <w:sz w:val="28"/>
          <w:szCs w:val="28"/>
        </w:rPr>
        <w:t>日</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rPr>
          <w:sz w:val="21"/>
          <w:szCs w:val="21"/>
        </w:rPr>
      </w:pPr>
      <w:r>
        <w:rPr>
          <w:sz w:val="21"/>
          <w:szCs w:val="21"/>
        </w:rPr>
        <w:t> </w:t>
      </w:r>
    </w:p>
    <w:p w:rsidR="009A1507" w:rsidRDefault="00C00CB0">
      <w:pPr>
        <w:jc w:val="both"/>
      </w:pPr>
      <w:r>
        <w:rPr>
          <w:rFonts w:ascii="SimSun" w:eastAsia="SimSun" w:hAnsi="SimSun" w:cs="SimSun"/>
          <w:b/>
          <w:bCs/>
        </w:rPr>
        <w:lastRenderedPageBreak/>
        <w:t>1.</w:t>
      </w:r>
      <w:r>
        <w:rPr>
          <w:rFonts w:ascii="SimSun" w:eastAsia="SimSun" w:hAnsi="SimSun" w:cs="SimSun"/>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738"/>
        <w:gridCol w:w="1872"/>
        <w:gridCol w:w="2373"/>
        <w:gridCol w:w="2307"/>
      </w:tblGrid>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基金名称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鹏华丰康债券型证券投资基金</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基金简称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鹏华丰康债券</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基金主代码</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004127</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基金合同生效日</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2017</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17</w:t>
            </w:r>
            <w:r>
              <w:rPr>
                <w:rFonts w:ascii="SimSun" w:eastAsia="SimSun" w:hAnsi="SimSun" w:cs="SimSun"/>
                <w:sz w:val="21"/>
                <w:szCs w:val="21"/>
              </w:rPr>
              <w:t>日</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基金管理人名称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鹏华基金管理有限公司</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基金托管人名称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上海浦东发展银行股份有限公司</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公告依据</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根据《中华人民共和国证券投资基金法》、《公开募集证券投资基金运作管理办法》等法律法规有关规定及《鹏华丰康债券型证券投资基金基金合同》及《鹏华丰康债券型证券投资基金招募说明书》及更新的约定</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收益分配基准日</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17</w:t>
            </w:r>
            <w:r>
              <w:rPr>
                <w:rFonts w:ascii="SimSun" w:eastAsia="SimSun" w:hAnsi="SimSun" w:cs="SimSun"/>
                <w:sz w:val="21"/>
                <w:szCs w:val="21"/>
              </w:rPr>
              <w:t>日</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有关年度分红次数的说明</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本次分红为</w:t>
            </w:r>
            <w:r>
              <w:rPr>
                <w:rFonts w:ascii="SimSun" w:eastAsia="SimSun" w:hAnsi="SimSun" w:cs="SimSun"/>
                <w:sz w:val="21"/>
                <w:szCs w:val="21"/>
              </w:rPr>
              <w:t>2025</w:t>
            </w:r>
            <w:r>
              <w:rPr>
                <w:rFonts w:ascii="SimSun" w:eastAsia="SimSun" w:hAnsi="SimSun" w:cs="SimSun"/>
                <w:sz w:val="21"/>
                <w:szCs w:val="21"/>
              </w:rPr>
              <w:t>年第</w:t>
            </w:r>
            <w:r>
              <w:rPr>
                <w:rFonts w:ascii="SimSun" w:eastAsia="SimSun" w:hAnsi="SimSun" w:cs="SimSun"/>
                <w:sz w:val="21"/>
                <w:szCs w:val="21"/>
              </w:rPr>
              <w:t>1</w:t>
            </w:r>
            <w:r>
              <w:rPr>
                <w:rFonts w:ascii="SimSun" w:eastAsia="SimSun" w:hAnsi="SimSun" w:cs="SimSun"/>
                <w:sz w:val="21"/>
                <w:szCs w:val="21"/>
              </w:rPr>
              <w:t>次分红</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下属分级基金的基金简称</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鹏华丰康债券</w:t>
            </w:r>
            <w:r>
              <w:rPr>
                <w:rFonts w:ascii="SimSun" w:eastAsia="SimSun" w:hAnsi="SimSun" w:cs="SimSun"/>
                <w:sz w:val="21"/>
                <w:szCs w:val="21"/>
              </w:rPr>
              <w:t>A</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鹏华丰康债券</w:t>
            </w:r>
            <w:r>
              <w:rPr>
                <w:rFonts w:ascii="SimSun" w:eastAsia="SimSun" w:hAnsi="SimSun" w:cs="SimSun"/>
                <w:sz w:val="21"/>
                <w:szCs w:val="21"/>
              </w:rPr>
              <w:t>C</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下属分级基金的交易代码</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004127</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019204</w:t>
            </w:r>
          </w:p>
        </w:tc>
      </w:tr>
      <w:tr w:rsidR="009A1507">
        <w:tc>
          <w:tcPr>
            <w:tcW w:w="4010"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截止基准日下属分级基金的相关指标</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基准日下属分级基金份额净值（单位：人民币元）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1.1011</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1.0136</w:t>
            </w:r>
          </w:p>
        </w:tc>
      </w:tr>
      <w:tr w:rsidR="009A1507">
        <w:tc>
          <w:tcPr>
            <w:tcW w:w="0" w:type="auto"/>
            <w:vMerge/>
            <w:tcBorders>
              <w:top w:val="single" w:sz="8" w:space="0" w:color="auto"/>
              <w:left w:val="single" w:sz="8" w:space="0" w:color="auto"/>
              <w:bottom w:val="single" w:sz="8" w:space="0" w:color="auto"/>
              <w:right w:val="single" w:sz="8" w:space="0" w:color="auto"/>
            </w:tcBorders>
            <w:vAlign w:val="center"/>
          </w:tcPr>
          <w:p w:rsidR="009A1507" w:rsidRDefault="009A1507"/>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基准日下属分级基金可供分配利润（单位：人民币元）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84,842,786.73</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5,407,830.84</w:t>
            </w:r>
          </w:p>
        </w:tc>
      </w:tr>
      <w:tr w:rsidR="009A1507">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本次下属分级基金分红方案（单位：元</w:t>
            </w:r>
            <w:r>
              <w:rPr>
                <w:rFonts w:ascii="SimSun" w:eastAsia="SimSun" w:hAnsi="SimSun" w:cs="SimSun"/>
                <w:sz w:val="21"/>
                <w:szCs w:val="21"/>
              </w:rPr>
              <w:t>/10</w:t>
            </w:r>
            <w:r>
              <w:rPr>
                <w:rFonts w:ascii="SimSun" w:eastAsia="SimSun" w:hAnsi="SimSun" w:cs="SimSun"/>
                <w:sz w:val="21"/>
                <w:szCs w:val="21"/>
              </w:rPr>
              <w:t>份基金份额）</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0.11</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0.02</w:t>
            </w:r>
          </w:p>
        </w:tc>
      </w:tr>
    </w:tbl>
    <w:p w:rsidR="009A1507" w:rsidRDefault="00C00CB0">
      <w:pPr>
        <w:spacing w:line="360" w:lineRule="auto"/>
        <w:rPr>
          <w:rFonts w:ascii="SimSun" w:eastAsia="SimSun" w:hAnsi="SimSun" w:cs="SimSun"/>
          <w:sz w:val="21"/>
          <w:szCs w:val="21"/>
        </w:rPr>
      </w:pPr>
      <w:r>
        <w:rPr>
          <w:rFonts w:ascii="SimSun" w:eastAsia="SimSun" w:hAnsi="SimSun" w:cs="SimSun"/>
          <w:sz w:val="21"/>
          <w:szCs w:val="21"/>
        </w:rPr>
        <w:t>注：根据《鹏华丰康债券型证券投资基金基金合同》的约定，在符合有关基金分红条件的前提下，本基金管理人可以根据实际情况进行收益分配。</w:t>
      </w:r>
      <w:r>
        <w:rPr>
          <w:rFonts w:ascii="SimSun" w:eastAsia="SimSun" w:hAnsi="SimSun" w:cs="SimSun"/>
          <w:sz w:val="21"/>
          <w:szCs w:val="21"/>
        </w:rPr>
        <w:t xml:space="preserve"> </w:t>
      </w:r>
    </w:p>
    <w:p w:rsidR="009A1507" w:rsidRDefault="00C00CB0">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2.</w:t>
      </w:r>
      <w:r>
        <w:rPr>
          <w:rFonts w:ascii="SimSun" w:eastAsia="SimSun" w:hAnsi="SimSun" w:cs="SimSun"/>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9A1507">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25</w:t>
            </w:r>
            <w:r>
              <w:rPr>
                <w:rFonts w:ascii="SimSun" w:eastAsia="SimSun" w:hAnsi="SimSun" w:cs="SimSun"/>
                <w:sz w:val="21"/>
                <w:szCs w:val="21"/>
              </w:rPr>
              <w:t>日</w:t>
            </w:r>
          </w:p>
        </w:tc>
      </w:tr>
      <w:tr w:rsidR="009A1507">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25</w:t>
            </w:r>
            <w:r>
              <w:rPr>
                <w:rFonts w:ascii="SimSun" w:eastAsia="SimSun" w:hAnsi="SimSun" w:cs="SimSun"/>
                <w:sz w:val="21"/>
                <w:szCs w:val="21"/>
              </w:rPr>
              <w:t>日</w:t>
            </w:r>
          </w:p>
        </w:tc>
      </w:tr>
      <w:tr w:rsidR="009A1507">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27</w:t>
            </w:r>
            <w:r>
              <w:rPr>
                <w:rFonts w:ascii="SimSun" w:eastAsia="SimSun" w:hAnsi="SimSun" w:cs="SimSun"/>
                <w:sz w:val="21"/>
                <w:szCs w:val="21"/>
              </w:rPr>
              <w:t>日</w:t>
            </w:r>
          </w:p>
        </w:tc>
      </w:tr>
      <w:tr w:rsidR="009A1507">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权益登记日在本基金登记机构登记在册的本基金份额持有人。</w:t>
            </w:r>
          </w:p>
        </w:tc>
      </w:tr>
      <w:tr w:rsidR="009A1507">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、选择红利再投资的投资者，其红利将按</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25</w:t>
            </w:r>
            <w:r>
              <w:rPr>
                <w:rFonts w:ascii="SimSun" w:eastAsia="SimSun" w:hAnsi="SimSun" w:cs="SimSun"/>
                <w:sz w:val="21"/>
                <w:szCs w:val="21"/>
              </w:rPr>
              <w:t>日的基金份额净值为计算基准确定再投资份额。</w:t>
            </w:r>
            <w:r>
              <w:rPr>
                <w:rFonts w:ascii="SimSun" w:eastAsia="SimSun" w:hAnsi="SimSun" w:cs="SimSun"/>
                <w:sz w:val="21"/>
                <w:szCs w:val="21"/>
              </w:rPr>
              <w:t>2</w:t>
            </w:r>
            <w:r>
              <w:rPr>
                <w:rFonts w:ascii="SimSun" w:eastAsia="SimSun" w:hAnsi="SimSun" w:cs="SimSun"/>
                <w:sz w:val="21"/>
                <w:szCs w:val="21"/>
              </w:rPr>
              <w:t>、选择红利再投资方式的投资者所转换的基金份额将于</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26</w:t>
            </w:r>
            <w:r>
              <w:rPr>
                <w:rFonts w:ascii="SimSun" w:eastAsia="SimSun" w:hAnsi="SimSun" w:cs="SimSun"/>
                <w:sz w:val="21"/>
                <w:szCs w:val="21"/>
              </w:rPr>
              <w:t>日直接计入其基金账户，</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27</w:t>
            </w:r>
            <w:r>
              <w:rPr>
                <w:rFonts w:ascii="SimSun" w:eastAsia="SimSun" w:hAnsi="SimSun" w:cs="SimSun"/>
                <w:sz w:val="21"/>
                <w:szCs w:val="21"/>
              </w:rPr>
              <w:t>日起可以查询、赎回。</w:t>
            </w:r>
            <w:r>
              <w:rPr>
                <w:rFonts w:ascii="SimSun" w:eastAsia="SimSun" w:hAnsi="SimSun" w:cs="SimSun"/>
                <w:sz w:val="21"/>
                <w:szCs w:val="21"/>
              </w:rPr>
              <w:t xml:space="preserve"> </w:t>
            </w:r>
          </w:p>
        </w:tc>
      </w:tr>
      <w:tr w:rsidR="009A1507">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根据财政部、国家税务总局颁布的相关规定，基金向投资者分配的基金收益，暂免征收所得税。</w:t>
            </w:r>
          </w:p>
        </w:tc>
      </w:tr>
      <w:tr w:rsidR="009A1507">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9A1507" w:rsidRDefault="00C00CB0">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、本次分红免收分红手续费。</w:t>
            </w:r>
            <w:r>
              <w:rPr>
                <w:rFonts w:ascii="SimSun" w:eastAsia="SimSun" w:hAnsi="SimSun" w:cs="SimSun"/>
                <w:sz w:val="21"/>
                <w:szCs w:val="21"/>
              </w:rPr>
              <w:t>2</w:t>
            </w:r>
            <w:r>
              <w:rPr>
                <w:rFonts w:ascii="SimSun" w:eastAsia="SimSun" w:hAnsi="SimSun" w:cs="SimSun"/>
                <w:sz w:val="21"/>
                <w:szCs w:val="21"/>
              </w:rPr>
              <w:t>、选择红</w:t>
            </w:r>
            <w:r>
              <w:rPr>
                <w:rFonts w:ascii="SimSun" w:eastAsia="SimSun" w:hAnsi="SimSun" w:cs="SimSun"/>
                <w:sz w:val="21"/>
                <w:szCs w:val="21"/>
              </w:rPr>
              <w:lastRenderedPageBreak/>
              <w:t>利再投资方式的投资者，其红利所转换投资的基金份额免收申购费用等红利再投资费用。</w:t>
            </w:r>
          </w:p>
        </w:tc>
      </w:tr>
    </w:tbl>
    <w:p w:rsidR="009A1507" w:rsidRDefault="00C00CB0">
      <w:pPr>
        <w:spacing w:line="360" w:lineRule="auto"/>
        <w:rPr>
          <w:rFonts w:ascii="SimSun" w:eastAsia="SimSun" w:hAnsi="SimSun" w:cs="SimSun"/>
          <w:sz w:val="21"/>
          <w:szCs w:val="21"/>
        </w:rPr>
      </w:pPr>
      <w:r>
        <w:rPr>
          <w:rFonts w:ascii="SimSun" w:eastAsia="SimSun" w:hAnsi="SimSun" w:cs="SimSun"/>
          <w:sz w:val="21"/>
          <w:szCs w:val="21"/>
        </w:rPr>
        <w:lastRenderedPageBreak/>
        <w:t>注：</w:t>
      </w:r>
      <w:r>
        <w:rPr>
          <w:rFonts w:ascii="SimSun" w:eastAsia="SimSun" w:hAnsi="SimSun" w:cs="SimSun"/>
          <w:sz w:val="21"/>
          <w:szCs w:val="21"/>
        </w:rPr>
        <w:t>1</w:t>
      </w:r>
      <w:r>
        <w:rPr>
          <w:rFonts w:ascii="SimSun" w:eastAsia="SimSun" w:hAnsi="SimSun" w:cs="SimSun"/>
          <w:sz w:val="21"/>
          <w:szCs w:val="21"/>
        </w:rPr>
        <w:t>、权益登记日以后（含权益登记日）申购（包括转换转入）的本基金份额不享有本次分红权益，而权益登记日申请赎回（包括转换转出）的本基金份额享有本次分红权益。</w:t>
      </w:r>
      <w:r>
        <w:rPr>
          <w:rFonts w:ascii="SimSun" w:eastAsia="SimSun" w:hAnsi="SimSun" w:cs="SimSun"/>
          <w:sz w:val="21"/>
          <w:szCs w:val="21"/>
        </w:rPr>
        <w:t xml:space="preserve"> 2</w:t>
      </w:r>
      <w:r>
        <w:rPr>
          <w:rFonts w:ascii="SimSun" w:eastAsia="SimSun" w:hAnsi="SimSun" w:cs="SimSun"/>
          <w:sz w:val="21"/>
          <w:szCs w:val="21"/>
        </w:rPr>
        <w:t>、根据相关法律法规和基金合同约定本基金不再符合基金分红条件的，本基金管理人可另行刊登相关公告决定是否予以分红或变更分红方案，并依法履行相关程序。</w:t>
      </w:r>
      <w:r>
        <w:rPr>
          <w:rFonts w:ascii="SimSun" w:eastAsia="SimSun" w:hAnsi="SimSun" w:cs="SimSun"/>
          <w:sz w:val="21"/>
          <w:szCs w:val="21"/>
        </w:rPr>
        <w:t xml:space="preserve"> </w:t>
      </w:r>
    </w:p>
    <w:p w:rsidR="009A1507" w:rsidRDefault="00C00CB0">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3.</w:t>
      </w:r>
      <w:r>
        <w:rPr>
          <w:rFonts w:ascii="SimSun" w:eastAsia="SimSun" w:hAnsi="SimSun" w:cs="SimSun"/>
          <w:i w:val="0"/>
          <w:iCs w:val="0"/>
          <w:sz w:val="24"/>
          <w:szCs w:val="24"/>
        </w:rPr>
        <w:t>其他需要提示的事项</w:t>
      </w:r>
    </w:p>
    <w:p w:rsidR="009A1507" w:rsidRDefault="00C00CB0">
      <w:pPr>
        <w:spacing w:line="360" w:lineRule="auto"/>
        <w:ind w:firstLine="420"/>
        <w:rPr>
          <w:sz w:val="21"/>
          <w:szCs w:val="21"/>
        </w:rPr>
      </w:pPr>
      <w:r>
        <w:rPr>
          <w:rFonts w:ascii="SimSun" w:eastAsia="SimSun" w:hAnsi="SimSun" w:cs="SimSun"/>
          <w:sz w:val="21"/>
          <w:szCs w:val="21"/>
        </w:rPr>
        <w:t>咨询办法</w:t>
      </w:r>
    </w:p>
    <w:p w:rsidR="009A1507" w:rsidRDefault="00C00CB0">
      <w:pPr>
        <w:spacing w:line="360" w:lineRule="auto"/>
        <w:ind w:firstLine="420"/>
        <w:rPr>
          <w:sz w:val="21"/>
          <w:szCs w:val="21"/>
        </w:rPr>
      </w:pPr>
      <w:r>
        <w:rPr>
          <w:rFonts w:ascii="SimSun" w:eastAsia="SimSun" w:hAnsi="SimSun" w:cs="SimSun"/>
          <w:sz w:val="21"/>
          <w:szCs w:val="21"/>
        </w:rPr>
        <w:t>基金份额持有人欲了解本基金其它有关信息，可采取如下</w:t>
      </w:r>
      <w:r>
        <w:rPr>
          <w:rFonts w:ascii="SimSun" w:eastAsia="SimSun" w:hAnsi="SimSun" w:cs="SimSun"/>
          <w:sz w:val="21"/>
          <w:szCs w:val="21"/>
        </w:rPr>
        <w:t>方法咨询：</w:t>
      </w:r>
    </w:p>
    <w:p w:rsidR="009A1507" w:rsidRDefault="00C00CB0">
      <w:pPr>
        <w:spacing w:line="360" w:lineRule="auto"/>
        <w:ind w:firstLine="420"/>
        <w:rPr>
          <w:sz w:val="21"/>
          <w:szCs w:val="21"/>
        </w:rPr>
      </w:pPr>
      <w:r>
        <w:rPr>
          <w:rFonts w:ascii="SimSun" w:eastAsia="SimSun" w:hAnsi="SimSun" w:cs="SimSun"/>
          <w:sz w:val="21"/>
          <w:szCs w:val="21"/>
        </w:rPr>
        <w:t>1</w:t>
      </w:r>
      <w:r>
        <w:rPr>
          <w:rFonts w:ascii="SimSun" w:eastAsia="SimSun" w:hAnsi="SimSun" w:cs="SimSun"/>
          <w:sz w:val="21"/>
          <w:szCs w:val="21"/>
        </w:rPr>
        <w:t>、鹏华基金管理有限公司网站</w:t>
      </w:r>
      <w:r>
        <w:rPr>
          <w:rFonts w:ascii="SimSun" w:eastAsia="SimSun" w:hAnsi="SimSun" w:cs="SimSun"/>
          <w:sz w:val="21"/>
          <w:szCs w:val="21"/>
        </w:rPr>
        <w:t>:www.phfund.com.cn</w:t>
      </w:r>
    </w:p>
    <w:p w:rsidR="009A1507" w:rsidRDefault="00C00CB0">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、鹏华基金管理有限公司客户服务热线：</w:t>
      </w:r>
      <w:r>
        <w:rPr>
          <w:rFonts w:ascii="SimSun" w:eastAsia="SimSun" w:hAnsi="SimSun" w:cs="SimSun"/>
          <w:sz w:val="21"/>
          <w:szCs w:val="21"/>
        </w:rPr>
        <w:t>400-6788-533</w:t>
      </w:r>
      <w:r>
        <w:rPr>
          <w:rFonts w:ascii="SimSun" w:eastAsia="SimSun" w:hAnsi="SimSun" w:cs="SimSun"/>
          <w:sz w:val="21"/>
          <w:szCs w:val="21"/>
        </w:rPr>
        <w:t>；</w:t>
      </w:r>
      <w:r>
        <w:rPr>
          <w:rFonts w:ascii="SimSun" w:eastAsia="SimSun" w:hAnsi="SimSun" w:cs="SimSun"/>
          <w:sz w:val="21"/>
          <w:szCs w:val="21"/>
        </w:rPr>
        <w:t>0755-82353668</w:t>
      </w:r>
    </w:p>
    <w:p w:rsidR="009A1507" w:rsidRDefault="00C00CB0">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、鹏华基金管理有限公司直销网点及本基金各销售机构的相关网点</w:t>
      </w:r>
      <w:r>
        <w:rPr>
          <w:rFonts w:ascii="SimSun" w:eastAsia="SimSun" w:hAnsi="SimSun" w:cs="SimSun"/>
          <w:sz w:val="21"/>
          <w:szCs w:val="21"/>
        </w:rPr>
        <w:t>(</w:t>
      </w:r>
      <w:r>
        <w:rPr>
          <w:rFonts w:ascii="SimSun" w:eastAsia="SimSun" w:hAnsi="SimSun" w:cs="SimSun"/>
          <w:sz w:val="21"/>
          <w:szCs w:val="21"/>
        </w:rPr>
        <w:t>详见本基金更新招募说明书及相关公告</w:t>
      </w:r>
      <w:r>
        <w:rPr>
          <w:rFonts w:ascii="SimSun" w:eastAsia="SimSun" w:hAnsi="SimSun" w:cs="SimSun"/>
          <w:sz w:val="21"/>
          <w:szCs w:val="21"/>
        </w:rPr>
        <w:t>)</w:t>
      </w:r>
      <w:r>
        <w:rPr>
          <w:rFonts w:ascii="SimSun" w:eastAsia="SimSun" w:hAnsi="SimSun" w:cs="SimSun"/>
          <w:sz w:val="21"/>
          <w:szCs w:val="21"/>
        </w:rPr>
        <w:t>。</w:t>
      </w:r>
    </w:p>
    <w:p w:rsidR="009A1507" w:rsidRDefault="00C00CB0">
      <w:pPr>
        <w:spacing w:line="360" w:lineRule="auto"/>
        <w:ind w:firstLine="420"/>
        <w:rPr>
          <w:sz w:val="21"/>
          <w:szCs w:val="21"/>
        </w:rPr>
      </w:pPr>
      <w:r>
        <w:rPr>
          <w:rFonts w:ascii="SimSun" w:eastAsia="SimSun" w:hAnsi="SimSun" w:cs="SimSun"/>
          <w:sz w:val="21"/>
          <w:szCs w:val="21"/>
        </w:rPr>
        <w:t>本基金投资者选择分红方式的重要提示</w:t>
      </w:r>
    </w:p>
    <w:p w:rsidR="009A1507" w:rsidRDefault="00C00CB0">
      <w:pPr>
        <w:spacing w:line="360" w:lineRule="auto"/>
        <w:ind w:firstLine="420"/>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1</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起，本公司取消账户级别分红方式，即投资者若通过账户类申请</w:t>
      </w:r>
      <w:r>
        <w:rPr>
          <w:rFonts w:ascii="SimSun" w:eastAsia="SimSun" w:hAnsi="SimSun" w:cs="SimSun"/>
          <w:sz w:val="21"/>
          <w:szCs w:val="21"/>
        </w:rPr>
        <w:t>(</w:t>
      </w:r>
      <w:r>
        <w:rPr>
          <w:rFonts w:ascii="SimSun" w:eastAsia="SimSun" w:hAnsi="SimSun" w:cs="SimSun"/>
          <w:sz w:val="21"/>
          <w:szCs w:val="21"/>
        </w:rPr>
        <w:t>包括开立基金账户、增开交易账户、账户资料变更</w:t>
      </w:r>
      <w:r>
        <w:rPr>
          <w:rFonts w:ascii="SimSun" w:eastAsia="SimSun" w:hAnsi="SimSun" w:cs="SimSun"/>
          <w:sz w:val="21"/>
          <w:szCs w:val="21"/>
        </w:rPr>
        <w:t>)</w:t>
      </w:r>
      <w:r>
        <w:rPr>
          <w:rFonts w:ascii="SimSun" w:eastAsia="SimSun" w:hAnsi="SimSun" w:cs="SimSun"/>
          <w:sz w:val="21"/>
          <w:szCs w:val="21"/>
        </w:rPr>
        <w:t>所提交的账户分红方式将不再有效；</w:t>
      </w:r>
    </w:p>
    <w:p w:rsidR="009A1507" w:rsidRDefault="00C00CB0">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2</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起，投资者如需设置或变更各个基金的分红方式，本公司只接受投资者通过交易类申请单独设置或变更单只基金分红方式；</w:t>
      </w:r>
    </w:p>
    <w:p w:rsidR="009A1507" w:rsidRDefault="00C00CB0">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3</w:t>
      </w:r>
      <w:r>
        <w:rPr>
          <w:rFonts w:ascii="SimSun" w:eastAsia="SimSun" w:hAnsi="SimSun" w:cs="SimSun"/>
          <w:sz w:val="21"/>
          <w:szCs w:val="21"/>
        </w:rPr>
        <w:t>）本次分红方式业务规则调整对现有基金份额持有人的分红方式没有影响，投资者现持有或曾经持有的基金产品，其分红方式均保留不变。但投资者在</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日（含）之前通过账户类业务提交的账户分红方式设置，自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日（含）起对投资者新认（申）购的其他基金产品，原设置的账户分红方式将不再生效。</w:t>
      </w:r>
    </w:p>
    <w:p w:rsidR="009A1507" w:rsidRDefault="00C00CB0">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9A1507" w:rsidRDefault="00C00CB0">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w:t>
      </w:r>
      <w:r>
        <w:rPr>
          <w:rFonts w:ascii="SimSun" w:eastAsia="SimSun" w:hAnsi="SimSun" w:cs="SimSun"/>
          <w:sz w:val="21"/>
          <w:szCs w:val="21"/>
        </w:rPr>
        <w:t>更改分红方式，最终分红方式以权益登记日之前（不含权益登记日）最后一次选择的分红方式为准。</w:t>
      </w:r>
    </w:p>
    <w:p w:rsidR="009A1507" w:rsidRDefault="00C00CB0">
      <w:pPr>
        <w:spacing w:line="360" w:lineRule="auto"/>
        <w:ind w:firstLine="420"/>
        <w:rPr>
          <w:sz w:val="21"/>
          <w:szCs w:val="21"/>
        </w:rPr>
      </w:pPr>
      <w:r>
        <w:rPr>
          <w:rFonts w:ascii="SimSun" w:eastAsia="SimSun" w:hAnsi="SimSun" w:cs="SimSun"/>
          <w:sz w:val="21"/>
          <w:szCs w:val="21"/>
        </w:rPr>
        <w:t>风险提示</w:t>
      </w:r>
    </w:p>
    <w:p w:rsidR="009A1507" w:rsidRDefault="00C00CB0">
      <w:pPr>
        <w:spacing w:line="360" w:lineRule="auto"/>
        <w:ind w:firstLine="420"/>
        <w:rPr>
          <w:sz w:val="21"/>
          <w:szCs w:val="21"/>
        </w:rPr>
      </w:pPr>
      <w:r>
        <w:rPr>
          <w:rFonts w:ascii="SimSun" w:eastAsia="SimSun" w:hAnsi="SimSun" w:cs="SimSun"/>
          <w:sz w:val="21"/>
          <w:szCs w:val="21"/>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9A1507" w:rsidRDefault="00C00CB0">
      <w:pPr>
        <w:spacing w:line="360" w:lineRule="auto"/>
        <w:ind w:firstLine="420"/>
        <w:jc w:val="both"/>
        <w:rPr>
          <w:sz w:val="21"/>
          <w:szCs w:val="21"/>
        </w:rPr>
      </w:pPr>
      <w:r>
        <w:rPr>
          <w:sz w:val="21"/>
          <w:szCs w:val="21"/>
        </w:rPr>
        <w:t> </w:t>
      </w:r>
    </w:p>
    <w:p w:rsidR="009A1507" w:rsidRDefault="00C00CB0">
      <w:pPr>
        <w:spacing w:line="360" w:lineRule="auto"/>
        <w:ind w:firstLine="420"/>
        <w:jc w:val="right"/>
        <w:rPr>
          <w:sz w:val="21"/>
          <w:szCs w:val="21"/>
        </w:rPr>
      </w:pPr>
      <w:r>
        <w:rPr>
          <w:rFonts w:ascii="SimSun" w:eastAsia="SimSun" w:hAnsi="SimSun" w:cs="SimSun"/>
          <w:sz w:val="21"/>
          <w:szCs w:val="21"/>
        </w:rPr>
        <w:t>鹏华基金管理有限公司</w:t>
      </w:r>
    </w:p>
    <w:p w:rsidR="009A1507" w:rsidRDefault="00C00CB0">
      <w:pPr>
        <w:spacing w:line="360" w:lineRule="auto"/>
        <w:ind w:firstLine="420"/>
        <w:jc w:val="right"/>
        <w:rPr>
          <w:sz w:val="21"/>
          <w:szCs w:val="21"/>
        </w:rPr>
      </w:pPr>
      <w:r>
        <w:rPr>
          <w:sz w:val="21"/>
          <w:szCs w:val="21"/>
        </w:rPr>
        <w:t>2025</w:t>
      </w:r>
      <w:r>
        <w:rPr>
          <w:rFonts w:ascii="SimSun" w:eastAsia="SimSun" w:hAnsi="SimSun" w:cs="SimSun"/>
          <w:sz w:val="21"/>
          <w:szCs w:val="21"/>
        </w:rPr>
        <w:t>年</w:t>
      </w:r>
      <w:r>
        <w:rPr>
          <w:sz w:val="21"/>
          <w:szCs w:val="21"/>
        </w:rPr>
        <w:t>03</w:t>
      </w:r>
      <w:r>
        <w:rPr>
          <w:rFonts w:ascii="SimSun" w:eastAsia="SimSun" w:hAnsi="SimSun" w:cs="SimSun"/>
          <w:sz w:val="21"/>
          <w:szCs w:val="21"/>
        </w:rPr>
        <w:t>月</w:t>
      </w:r>
      <w:r>
        <w:rPr>
          <w:sz w:val="21"/>
          <w:szCs w:val="21"/>
        </w:rPr>
        <w:t>24</w:t>
      </w:r>
      <w:r>
        <w:rPr>
          <w:rFonts w:ascii="SimSun" w:eastAsia="SimSun" w:hAnsi="SimSun" w:cs="SimSun"/>
          <w:sz w:val="21"/>
          <w:szCs w:val="21"/>
        </w:rPr>
        <w:t>日</w:t>
      </w:r>
    </w:p>
    <w:p w:rsidR="009A1507" w:rsidRDefault="009A1507"/>
    <w:sectPr w:rsidR="009A1507" w:rsidSect="009A1507">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507" w:rsidRDefault="009A1507" w:rsidP="009A1507">
      <w:r>
        <w:separator/>
      </w:r>
    </w:p>
  </w:endnote>
  <w:endnote w:type="continuationSeparator" w:id="0">
    <w:p w:rsidR="009A1507" w:rsidRDefault="009A1507" w:rsidP="009A1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07" w:rsidRDefault="009A1507">
    <w:pPr>
      <w:jc w:val="center"/>
    </w:pPr>
    <w:r>
      <w:rPr>
        <w:rFonts w:ascii="宋体" w:eastAsia="宋体" w:hAnsi="宋体" w:cs="宋体"/>
        <w:sz w:val="18"/>
      </w:rPr>
      <w:fldChar w:fldCharType="begin"/>
    </w:r>
    <w:r w:rsidR="00C00CB0">
      <w:rPr>
        <w:rFonts w:ascii="宋体" w:eastAsia="宋体" w:hAnsi="宋体" w:cs="宋体"/>
        <w:sz w:val="18"/>
      </w:rPr>
      <w:instrText xml:space="preserve"> PAGE </w:instrText>
    </w:r>
    <w:r>
      <w:rPr>
        <w:rFonts w:ascii="宋体" w:eastAsia="宋体" w:hAnsi="宋体" w:cs="宋体"/>
        <w:sz w:val="18"/>
      </w:rPr>
      <w:fldChar w:fldCharType="separate"/>
    </w:r>
    <w:r w:rsidR="00C00CB0">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507" w:rsidRDefault="009A1507" w:rsidP="009A1507">
      <w:r>
        <w:separator/>
      </w:r>
    </w:p>
  </w:footnote>
  <w:footnote w:type="continuationSeparator" w:id="0">
    <w:p w:rsidR="009A1507" w:rsidRDefault="009A1507" w:rsidP="009A15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9A1507"/>
    <w:rsid w:val="009A1507"/>
    <w:rsid w:val="00C00C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507"/>
    <w:rPr>
      <w:rFonts w:eastAsia="Times New Roman" w:cs="Times New Roman"/>
      <w:sz w:val="24"/>
      <w:szCs w:val="24"/>
    </w:rPr>
  </w:style>
  <w:style w:type="paragraph" w:styleId="1">
    <w:name w:val="heading 1"/>
    <w:basedOn w:val="a"/>
    <w:next w:val="a"/>
    <w:link w:val="1Char"/>
    <w:qFormat/>
    <w:rsid w:val="009A150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A1507"/>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9A150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A1507"/>
    <w:rPr>
      <w:rFonts w:ascii="Times New Roman" w:eastAsia="Times New Roman" w:hAnsi="Times New Roman" w:cs="Times New Roman"/>
      <w:b/>
      <w:bCs/>
      <w:kern w:val="44"/>
      <w:sz w:val="44"/>
      <w:szCs w:val="44"/>
      <w:lang w:val="en-US" w:eastAsia="zh-CN" w:bidi="ar-SA"/>
    </w:rPr>
  </w:style>
  <w:style w:type="character" w:customStyle="1" w:styleId="2Char">
    <w:name w:val="标题 2 Char"/>
    <w:basedOn w:val="a0"/>
    <w:link w:val="2"/>
    <w:rsid w:val="009A1507"/>
    <w:rPr>
      <w:rFonts w:ascii="Arial" w:eastAsia="Times New Roman" w:hAnsi="Arial" w:cs="Arial"/>
      <w:b/>
      <w:bCs/>
      <w:i/>
      <w:iCs/>
      <w:sz w:val="28"/>
      <w:szCs w:val="28"/>
      <w:lang w:val="en-US" w:eastAsia="zh-CN" w:bidi="ar-SA"/>
    </w:rPr>
  </w:style>
  <w:style w:type="character" w:customStyle="1" w:styleId="3Char">
    <w:name w:val="标题 3 Char"/>
    <w:basedOn w:val="a0"/>
    <w:link w:val="3"/>
    <w:rsid w:val="009A1507"/>
    <w:rPr>
      <w:rFonts w:ascii="Times New Roman" w:eastAsia="Times New Roman" w:hAnsi="Times New Roman" w:cs="Times New Roman"/>
      <w:b/>
      <w:bCs/>
      <w:sz w:val="32"/>
      <w:szCs w:val="32"/>
      <w:lang w:val="en-US" w:eastAsia="zh-CN" w:bidi="ar-SA"/>
    </w:rPr>
  </w:style>
  <w:style w:type="paragraph" w:styleId="10">
    <w:name w:val="toc 1"/>
    <w:basedOn w:val="a"/>
    <w:next w:val="a"/>
    <w:autoRedefine/>
    <w:qFormat/>
    <w:rsid w:val="009A1507"/>
    <w:pPr>
      <w:spacing w:line="360" w:lineRule="auto"/>
    </w:pPr>
    <w:rPr>
      <w:rFonts w:ascii="宋体" w:eastAsia="宋体" w:hAnsi="宋体" w:cs="宋体"/>
      <w:b/>
      <w:sz w:val="21"/>
    </w:rPr>
  </w:style>
  <w:style w:type="paragraph" w:styleId="20">
    <w:name w:val="toc 2"/>
    <w:basedOn w:val="a"/>
    <w:next w:val="a"/>
    <w:autoRedefine/>
    <w:qFormat/>
    <w:rsid w:val="009A1507"/>
    <w:pPr>
      <w:ind w:left="420"/>
    </w:pPr>
  </w:style>
  <w:style w:type="paragraph" w:styleId="30">
    <w:name w:val="toc 3"/>
    <w:basedOn w:val="a"/>
    <w:next w:val="a"/>
    <w:autoRedefine/>
    <w:qFormat/>
    <w:rsid w:val="009A1507"/>
    <w:pPr>
      <w:ind w:left="840"/>
    </w:pPr>
  </w:style>
  <w:style w:type="paragraph" w:styleId="4">
    <w:name w:val="toc 4"/>
    <w:basedOn w:val="a"/>
    <w:next w:val="a"/>
    <w:autoRedefine/>
    <w:qFormat/>
    <w:rsid w:val="009A1507"/>
    <w:pPr>
      <w:ind w:left="1260"/>
    </w:pPr>
  </w:style>
  <w:style w:type="paragraph" w:styleId="5">
    <w:name w:val="toc 5"/>
    <w:basedOn w:val="a"/>
    <w:next w:val="a"/>
    <w:autoRedefine/>
    <w:qFormat/>
    <w:rsid w:val="009A1507"/>
    <w:pPr>
      <w:ind w:left="1680"/>
    </w:pPr>
  </w:style>
  <w:style w:type="paragraph" w:styleId="a3">
    <w:name w:val="header"/>
    <w:basedOn w:val="a"/>
    <w:qFormat/>
    <w:rsid w:val="009A1507"/>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9A1507"/>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9A7A1EB-BD2E-4C96-858A-6999BAEE9D04}">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1841</Characters>
  <Application>Microsoft Office Word</Application>
  <DocSecurity>4</DocSecurity>
  <Lines>15</Lines>
  <Paragraphs>4</Paragraphs>
  <ScaleCrop>false</ScaleCrop>
  <Company>CNSTOCK</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2025-03-23T16:01:00Z</dcterms:created>
  <dcterms:modified xsi:type="dcterms:W3CDTF">2025-03-23T16:01:00Z</dcterms:modified>
</cp:coreProperties>
</file>