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46" w:rsidRPr="009E441D" w:rsidRDefault="0046707C" w:rsidP="0018625B">
      <w:pPr>
        <w:tabs>
          <w:tab w:val="left" w:pos="4111"/>
        </w:tabs>
        <w:adjustRightInd w:val="0"/>
        <w:snapToGrid w:val="0"/>
        <w:spacing w:before="240" w:after="480" w:line="360" w:lineRule="auto"/>
        <w:ind w:firstLine="482"/>
        <w:jc w:val="center"/>
        <w:rPr>
          <w:rFonts w:asciiTheme="minorEastAsia" w:eastAsiaTheme="minorEastAsia" w:hAnsiTheme="minorEastAsia"/>
          <w:b/>
          <w:bCs/>
          <w:color w:val="FF0000"/>
          <w:sz w:val="24"/>
        </w:rPr>
      </w:pPr>
      <w:bookmarkStart w:id="0" w:name="_Hlk101787779"/>
      <w:r w:rsidRPr="0046707C">
        <w:rPr>
          <w:rFonts w:asciiTheme="minorEastAsia" w:eastAsiaTheme="minorEastAsia" w:hAnsiTheme="minorEastAsia" w:hint="eastAsia"/>
          <w:b/>
          <w:bCs/>
          <w:color w:val="FF0000"/>
          <w:sz w:val="24"/>
        </w:rPr>
        <w:t>关于嘉实基金管理有限公司旗下部分基金开通同一基金不同类别基金份额相互转换业务并修改基金合同的公告</w:t>
      </w:r>
    </w:p>
    <w:p w:rsidR="00FF063F" w:rsidRDefault="0046707C" w:rsidP="0018625B">
      <w:pPr>
        <w:adjustRightInd w:val="0"/>
        <w:snapToGrid w:val="0"/>
        <w:spacing w:before="240" w:line="360" w:lineRule="auto"/>
        <w:ind w:firstLineChars="200" w:firstLine="420"/>
        <w:rPr>
          <w:rFonts w:asciiTheme="minorEastAsia" w:eastAsiaTheme="minorEastAsia" w:hAnsiTheme="minorEastAsia"/>
          <w:kern w:val="0"/>
        </w:rPr>
      </w:pPr>
      <w:r w:rsidRPr="0046707C">
        <w:rPr>
          <w:rFonts w:asciiTheme="minorEastAsia" w:eastAsiaTheme="minorEastAsia" w:hAnsiTheme="minorEastAsia" w:hint="eastAsia"/>
          <w:kern w:val="0"/>
        </w:rPr>
        <w:t>为了更好地满足广大投资者的理财需求</w:t>
      </w:r>
      <w:r w:rsidR="00F52E5A" w:rsidRPr="00F52E5A">
        <w:rPr>
          <w:rFonts w:asciiTheme="minorEastAsia" w:eastAsiaTheme="minorEastAsia" w:hAnsiTheme="minorEastAsia" w:hint="eastAsia"/>
          <w:kern w:val="0"/>
        </w:rPr>
        <w:t>，</w:t>
      </w:r>
      <w:r>
        <w:rPr>
          <w:rFonts w:asciiTheme="minorEastAsia" w:eastAsiaTheme="minorEastAsia" w:hAnsiTheme="minorEastAsia" w:hint="eastAsia"/>
          <w:kern w:val="0"/>
        </w:rPr>
        <w:t>嘉实</w:t>
      </w:r>
      <w:r w:rsidRPr="00F52E5A">
        <w:rPr>
          <w:rFonts w:asciiTheme="minorEastAsia" w:eastAsiaTheme="minorEastAsia" w:hAnsiTheme="minorEastAsia" w:hint="eastAsia"/>
          <w:kern w:val="0"/>
        </w:rPr>
        <w:t>基金管理</w:t>
      </w:r>
      <w:r>
        <w:rPr>
          <w:rFonts w:asciiTheme="minorEastAsia" w:eastAsiaTheme="minorEastAsia" w:hAnsiTheme="minorEastAsia" w:hint="eastAsia"/>
          <w:kern w:val="0"/>
        </w:rPr>
        <w:t>有限</w:t>
      </w:r>
      <w:r w:rsidRPr="00F52E5A">
        <w:rPr>
          <w:rFonts w:asciiTheme="minorEastAsia" w:eastAsiaTheme="minorEastAsia" w:hAnsiTheme="minorEastAsia" w:hint="eastAsia"/>
          <w:kern w:val="0"/>
        </w:rPr>
        <w:t>公司（以下简称“基金管理人”）</w:t>
      </w:r>
      <w:r w:rsidRPr="0046707C">
        <w:rPr>
          <w:rFonts w:asciiTheme="minorEastAsia" w:eastAsiaTheme="minorEastAsia" w:hAnsiTheme="minorEastAsia" w:hint="eastAsia"/>
          <w:kern w:val="0"/>
        </w:rPr>
        <w:t>根据有关法律法规规定及</w:t>
      </w:r>
      <w:r>
        <w:rPr>
          <w:rFonts w:asciiTheme="minorEastAsia" w:eastAsiaTheme="minorEastAsia" w:hAnsiTheme="minorEastAsia" w:hint="eastAsia"/>
          <w:kern w:val="0"/>
        </w:rPr>
        <w:t>各基金基金合同的约定，</w:t>
      </w:r>
      <w:r w:rsidR="00F52E5A" w:rsidRPr="00F52E5A">
        <w:rPr>
          <w:rFonts w:asciiTheme="minorEastAsia" w:eastAsiaTheme="minorEastAsia" w:hAnsiTheme="minorEastAsia" w:hint="eastAsia"/>
          <w:kern w:val="0"/>
        </w:rPr>
        <w:t>经与</w:t>
      </w:r>
      <w:r>
        <w:rPr>
          <w:rFonts w:asciiTheme="minorEastAsia" w:eastAsiaTheme="minorEastAsia" w:hAnsiTheme="minorEastAsia" w:hint="eastAsia"/>
          <w:kern w:val="0"/>
        </w:rPr>
        <w:t>各</w:t>
      </w:r>
      <w:r w:rsidR="00F52E5A" w:rsidRPr="00F52E5A">
        <w:rPr>
          <w:rFonts w:asciiTheme="minorEastAsia" w:eastAsiaTheme="minorEastAsia" w:hAnsiTheme="minorEastAsia" w:hint="eastAsia"/>
          <w:kern w:val="0"/>
        </w:rPr>
        <w:t>基金托管人协商一致，自2025年3月2</w:t>
      </w:r>
      <w:r w:rsidR="006F7427">
        <w:rPr>
          <w:rFonts w:asciiTheme="minorEastAsia" w:eastAsiaTheme="minorEastAsia" w:hAnsiTheme="minorEastAsia"/>
          <w:kern w:val="0"/>
        </w:rPr>
        <w:t>4</w:t>
      </w:r>
      <w:r w:rsidR="00F52E5A" w:rsidRPr="00F52E5A">
        <w:rPr>
          <w:rFonts w:asciiTheme="minorEastAsia" w:eastAsiaTheme="minorEastAsia" w:hAnsiTheme="minorEastAsia" w:hint="eastAsia"/>
          <w:kern w:val="0"/>
        </w:rPr>
        <w:t>日起，</w:t>
      </w:r>
      <w:r>
        <w:rPr>
          <w:rFonts w:asciiTheme="minorEastAsia" w:eastAsiaTheme="minorEastAsia" w:hAnsiTheme="minorEastAsia" w:hint="eastAsia"/>
          <w:kern w:val="0"/>
        </w:rPr>
        <w:t>基金管理人</w:t>
      </w:r>
      <w:r w:rsidR="00F52E5A" w:rsidRPr="00F52E5A">
        <w:rPr>
          <w:rFonts w:asciiTheme="minorEastAsia" w:eastAsiaTheme="minorEastAsia" w:hAnsiTheme="minorEastAsia" w:hint="eastAsia"/>
          <w:kern w:val="0"/>
        </w:rPr>
        <w:t>旗下部分基金</w:t>
      </w:r>
      <w:r w:rsidRPr="0046707C">
        <w:rPr>
          <w:rFonts w:asciiTheme="minorEastAsia" w:eastAsiaTheme="minorEastAsia" w:hAnsiTheme="minorEastAsia" w:hint="eastAsia"/>
          <w:kern w:val="0"/>
        </w:rPr>
        <w:t>开通同一基金不同类别基金份额相互转换业务</w:t>
      </w:r>
      <w:r w:rsidR="00F52E5A" w:rsidRPr="00F52E5A">
        <w:rPr>
          <w:rFonts w:asciiTheme="minorEastAsia" w:eastAsiaTheme="minorEastAsia" w:hAnsiTheme="minorEastAsia" w:hint="eastAsia"/>
          <w:kern w:val="0"/>
        </w:rPr>
        <w:t>，并相应修订各基金基金合同</w:t>
      </w:r>
      <w:r>
        <w:rPr>
          <w:rFonts w:asciiTheme="minorEastAsia" w:eastAsiaTheme="minorEastAsia" w:hAnsiTheme="minorEastAsia" w:hint="eastAsia"/>
          <w:kern w:val="0"/>
        </w:rPr>
        <w:t>的</w:t>
      </w:r>
      <w:r w:rsidR="00F52E5A" w:rsidRPr="00F52E5A">
        <w:rPr>
          <w:rFonts w:asciiTheme="minorEastAsia" w:eastAsiaTheme="minorEastAsia" w:hAnsiTheme="minorEastAsia" w:hint="eastAsia"/>
          <w:kern w:val="0"/>
        </w:rPr>
        <w:t>有关内容。现将具体情况公告如下：</w:t>
      </w:r>
    </w:p>
    <w:p w:rsidR="00442614" w:rsidRDefault="007268E4" w:rsidP="0018625B">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一、基金范围</w:t>
      </w:r>
    </w:p>
    <w:tbl>
      <w:tblPr>
        <w:tblStyle w:val="a8"/>
        <w:tblW w:w="8931" w:type="dxa"/>
        <w:tblInd w:w="-289" w:type="dxa"/>
        <w:tblLook w:val="04A0"/>
      </w:tblPr>
      <w:tblGrid>
        <w:gridCol w:w="710"/>
        <w:gridCol w:w="4110"/>
        <w:gridCol w:w="2694"/>
        <w:gridCol w:w="1417"/>
      </w:tblGrid>
      <w:tr w:rsidR="007268E4" w:rsidRPr="00190AEF" w:rsidTr="001C2158">
        <w:trPr>
          <w:trHeight w:val="443"/>
        </w:trPr>
        <w:tc>
          <w:tcPr>
            <w:tcW w:w="710" w:type="dxa"/>
            <w:noWrap/>
            <w:vAlign w:val="center"/>
            <w:hideMark/>
          </w:tcPr>
          <w:p w:rsidR="007268E4" w:rsidRPr="00C52045" w:rsidRDefault="007268E4" w:rsidP="00423346">
            <w:pPr>
              <w:adjustRightInd w:val="0"/>
              <w:snapToGrid w:val="0"/>
              <w:spacing w:before="40" w:after="40"/>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序号</w:t>
            </w:r>
          </w:p>
        </w:tc>
        <w:tc>
          <w:tcPr>
            <w:tcW w:w="4110" w:type="dxa"/>
            <w:noWrap/>
            <w:vAlign w:val="center"/>
            <w:hideMark/>
          </w:tcPr>
          <w:p w:rsidR="007268E4" w:rsidRPr="00C52045" w:rsidRDefault="007268E4" w:rsidP="00423346">
            <w:pPr>
              <w:adjustRightInd w:val="0"/>
              <w:snapToGrid w:val="0"/>
              <w:spacing w:before="40" w:after="40"/>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基金全称</w:t>
            </w:r>
          </w:p>
        </w:tc>
        <w:tc>
          <w:tcPr>
            <w:tcW w:w="2694" w:type="dxa"/>
            <w:noWrap/>
            <w:vAlign w:val="center"/>
            <w:hideMark/>
          </w:tcPr>
          <w:p w:rsidR="007268E4" w:rsidRPr="00C52045" w:rsidRDefault="007268E4" w:rsidP="00423346">
            <w:pPr>
              <w:adjustRightInd w:val="0"/>
              <w:snapToGrid w:val="0"/>
              <w:spacing w:before="40" w:after="40"/>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基金简称</w:t>
            </w:r>
          </w:p>
        </w:tc>
        <w:tc>
          <w:tcPr>
            <w:tcW w:w="1417" w:type="dxa"/>
            <w:noWrap/>
            <w:vAlign w:val="center"/>
            <w:hideMark/>
          </w:tcPr>
          <w:p w:rsidR="007268E4" w:rsidRPr="00C52045" w:rsidRDefault="007268E4" w:rsidP="00F52E5A">
            <w:pPr>
              <w:adjustRightInd w:val="0"/>
              <w:snapToGrid w:val="0"/>
              <w:spacing w:before="40" w:after="40"/>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基金</w:t>
            </w:r>
            <w:r w:rsidR="00F52E5A">
              <w:rPr>
                <w:rFonts w:asciiTheme="minorEastAsia" w:eastAsiaTheme="minorEastAsia" w:hAnsiTheme="minorEastAsia" w:cs="Arial" w:hint="eastAsia"/>
                <w:szCs w:val="21"/>
              </w:rPr>
              <w:t>主</w:t>
            </w:r>
            <w:r w:rsidRPr="00C52045">
              <w:rPr>
                <w:rFonts w:asciiTheme="minorEastAsia" w:eastAsiaTheme="minorEastAsia" w:hAnsiTheme="minorEastAsia" w:cs="Arial" w:hint="eastAsia"/>
                <w:szCs w:val="21"/>
              </w:rPr>
              <w:t>代码</w:t>
            </w:r>
          </w:p>
        </w:tc>
      </w:tr>
      <w:tr w:rsidR="007268E4" w:rsidRPr="00190AEF" w:rsidTr="001C2158">
        <w:trPr>
          <w:trHeight w:val="283"/>
        </w:trPr>
        <w:tc>
          <w:tcPr>
            <w:tcW w:w="710" w:type="dxa"/>
            <w:noWrap/>
            <w:vAlign w:val="center"/>
            <w:hideMark/>
          </w:tcPr>
          <w:p w:rsidR="007268E4" w:rsidRPr="00C52045" w:rsidRDefault="007268E4" w:rsidP="00423346">
            <w:pPr>
              <w:adjustRightInd w:val="0"/>
              <w:snapToGrid w:val="0"/>
              <w:spacing w:before="40" w:after="40"/>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1</w:t>
            </w:r>
          </w:p>
        </w:tc>
        <w:tc>
          <w:tcPr>
            <w:tcW w:w="4110" w:type="dxa"/>
            <w:noWrap/>
            <w:vAlign w:val="center"/>
          </w:tcPr>
          <w:p w:rsidR="007268E4"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嘉实前沿科技沪港深股票型证券投资基金</w:t>
            </w:r>
          </w:p>
        </w:tc>
        <w:tc>
          <w:tcPr>
            <w:tcW w:w="2694" w:type="dxa"/>
            <w:noWrap/>
            <w:vAlign w:val="center"/>
          </w:tcPr>
          <w:p w:rsidR="007268E4"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嘉实前沿科技沪港深股票A</w:t>
            </w:r>
            <w:r>
              <w:rPr>
                <w:rFonts w:asciiTheme="minorEastAsia" w:eastAsiaTheme="minorEastAsia" w:hAnsiTheme="minorEastAsia" w:cs="Arial" w:hint="eastAsia"/>
                <w:szCs w:val="21"/>
              </w:rPr>
              <w:t>/</w:t>
            </w:r>
            <w:r>
              <w:rPr>
                <w:rFonts w:asciiTheme="minorEastAsia" w:eastAsiaTheme="minorEastAsia" w:hAnsiTheme="minorEastAsia" w:cs="Arial"/>
                <w:szCs w:val="21"/>
              </w:rPr>
              <w:t>C</w:t>
            </w:r>
          </w:p>
        </w:tc>
        <w:tc>
          <w:tcPr>
            <w:tcW w:w="1417" w:type="dxa"/>
            <w:noWrap/>
            <w:vAlign w:val="center"/>
          </w:tcPr>
          <w:p w:rsidR="007268E4" w:rsidRPr="00C52045" w:rsidRDefault="0046707C" w:rsidP="00DF79F4">
            <w:pPr>
              <w:adjustRightInd w:val="0"/>
              <w:snapToGrid w:val="0"/>
              <w:spacing w:before="40" w:after="40"/>
              <w:jc w:val="center"/>
              <w:rPr>
                <w:rFonts w:asciiTheme="minorEastAsia" w:eastAsiaTheme="minorEastAsia" w:hAnsiTheme="minorEastAsia" w:cs="Arial"/>
                <w:szCs w:val="21"/>
              </w:rPr>
            </w:pPr>
            <w:r w:rsidRPr="0046707C">
              <w:rPr>
                <w:rFonts w:asciiTheme="minorEastAsia" w:eastAsiaTheme="minorEastAsia" w:hAnsiTheme="minorEastAsia" w:cs="Arial"/>
                <w:szCs w:val="21"/>
              </w:rPr>
              <w:t>004450</w:t>
            </w:r>
          </w:p>
        </w:tc>
      </w:tr>
      <w:tr w:rsidR="007268E4" w:rsidRPr="00190AEF" w:rsidTr="001C2158">
        <w:trPr>
          <w:trHeight w:val="283"/>
        </w:trPr>
        <w:tc>
          <w:tcPr>
            <w:tcW w:w="710" w:type="dxa"/>
            <w:noWrap/>
            <w:vAlign w:val="center"/>
            <w:hideMark/>
          </w:tcPr>
          <w:p w:rsidR="007268E4" w:rsidRPr="00C52045" w:rsidRDefault="007268E4" w:rsidP="00423346">
            <w:pPr>
              <w:adjustRightInd w:val="0"/>
              <w:snapToGrid w:val="0"/>
              <w:spacing w:before="40" w:after="40"/>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2</w:t>
            </w:r>
          </w:p>
        </w:tc>
        <w:tc>
          <w:tcPr>
            <w:tcW w:w="4110" w:type="dxa"/>
            <w:noWrap/>
            <w:vAlign w:val="center"/>
          </w:tcPr>
          <w:p w:rsidR="007268E4"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嘉实价值优势混合型证券投资基金</w:t>
            </w:r>
          </w:p>
        </w:tc>
        <w:tc>
          <w:tcPr>
            <w:tcW w:w="2694" w:type="dxa"/>
            <w:noWrap/>
            <w:vAlign w:val="center"/>
          </w:tcPr>
          <w:p w:rsidR="007268E4"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嘉实价值优势混合A</w:t>
            </w:r>
            <w:r>
              <w:rPr>
                <w:rFonts w:asciiTheme="minorEastAsia" w:eastAsiaTheme="minorEastAsia" w:hAnsiTheme="minorEastAsia" w:cs="Arial" w:hint="eastAsia"/>
                <w:szCs w:val="21"/>
              </w:rPr>
              <w:t>/</w:t>
            </w:r>
            <w:r>
              <w:rPr>
                <w:rFonts w:asciiTheme="minorEastAsia" w:eastAsiaTheme="minorEastAsia" w:hAnsiTheme="minorEastAsia" w:cs="Arial"/>
                <w:szCs w:val="21"/>
              </w:rPr>
              <w:t>C</w:t>
            </w:r>
          </w:p>
        </w:tc>
        <w:tc>
          <w:tcPr>
            <w:tcW w:w="1417" w:type="dxa"/>
            <w:noWrap/>
            <w:vAlign w:val="center"/>
          </w:tcPr>
          <w:p w:rsidR="007268E4" w:rsidRPr="00C52045" w:rsidRDefault="0046707C" w:rsidP="00DF79F4">
            <w:pPr>
              <w:adjustRightInd w:val="0"/>
              <w:snapToGrid w:val="0"/>
              <w:spacing w:before="40" w:after="40"/>
              <w:jc w:val="center"/>
              <w:rPr>
                <w:rFonts w:asciiTheme="minorEastAsia" w:eastAsiaTheme="minorEastAsia" w:hAnsiTheme="minorEastAsia" w:cs="Arial"/>
                <w:szCs w:val="21"/>
              </w:rPr>
            </w:pPr>
            <w:r w:rsidRPr="0046707C">
              <w:rPr>
                <w:rFonts w:asciiTheme="minorEastAsia" w:eastAsiaTheme="minorEastAsia" w:hAnsiTheme="minorEastAsia" w:cs="Arial"/>
                <w:szCs w:val="21"/>
              </w:rPr>
              <w:t>070019</w:t>
            </w:r>
          </w:p>
        </w:tc>
      </w:tr>
      <w:tr w:rsidR="001C2158" w:rsidRPr="00190AEF" w:rsidTr="001C2158">
        <w:trPr>
          <w:trHeight w:val="283"/>
        </w:trPr>
        <w:tc>
          <w:tcPr>
            <w:tcW w:w="710" w:type="dxa"/>
            <w:noWrap/>
            <w:vAlign w:val="center"/>
          </w:tcPr>
          <w:p w:rsidR="001C2158" w:rsidRPr="00C52045" w:rsidRDefault="004E66ED" w:rsidP="00423346">
            <w:pPr>
              <w:adjustRightInd w:val="0"/>
              <w:snapToGrid w:val="0"/>
              <w:spacing w:before="40" w:after="40"/>
              <w:jc w:val="center"/>
              <w:rPr>
                <w:rFonts w:asciiTheme="minorEastAsia" w:eastAsiaTheme="minorEastAsia" w:hAnsiTheme="minorEastAsia" w:cs="Arial"/>
                <w:szCs w:val="21"/>
              </w:rPr>
            </w:pPr>
            <w:r>
              <w:rPr>
                <w:rFonts w:asciiTheme="minorEastAsia" w:eastAsiaTheme="minorEastAsia" w:hAnsiTheme="minorEastAsia" w:cs="Arial" w:hint="eastAsia"/>
                <w:szCs w:val="21"/>
              </w:rPr>
              <w:t>3</w:t>
            </w:r>
          </w:p>
        </w:tc>
        <w:tc>
          <w:tcPr>
            <w:tcW w:w="4110" w:type="dxa"/>
            <w:noWrap/>
            <w:vAlign w:val="center"/>
          </w:tcPr>
          <w:p w:rsidR="001C2158"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嘉实价值长青混合型证券投资基金</w:t>
            </w:r>
          </w:p>
        </w:tc>
        <w:tc>
          <w:tcPr>
            <w:tcW w:w="2694" w:type="dxa"/>
            <w:noWrap/>
            <w:vAlign w:val="center"/>
          </w:tcPr>
          <w:p w:rsidR="001C2158"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嘉实价值长青混合A</w:t>
            </w:r>
            <w:r>
              <w:rPr>
                <w:rFonts w:asciiTheme="minorEastAsia" w:eastAsiaTheme="minorEastAsia" w:hAnsiTheme="minorEastAsia" w:cs="Arial" w:hint="eastAsia"/>
                <w:szCs w:val="21"/>
              </w:rPr>
              <w:t>/</w:t>
            </w:r>
            <w:r>
              <w:rPr>
                <w:rFonts w:asciiTheme="minorEastAsia" w:eastAsiaTheme="minorEastAsia" w:hAnsiTheme="minorEastAsia" w:cs="Arial"/>
                <w:szCs w:val="21"/>
              </w:rPr>
              <w:t>C</w:t>
            </w:r>
          </w:p>
        </w:tc>
        <w:tc>
          <w:tcPr>
            <w:tcW w:w="1417" w:type="dxa"/>
            <w:noWrap/>
            <w:vAlign w:val="center"/>
          </w:tcPr>
          <w:p w:rsidR="001C2158" w:rsidRPr="00C52045" w:rsidRDefault="0046707C" w:rsidP="00DF79F4">
            <w:pPr>
              <w:adjustRightInd w:val="0"/>
              <w:snapToGrid w:val="0"/>
              <w:spacing w:before="40" w:after="40"/>
              <w:jc w:val="center"/>
              <w:rPr>
                <w:rFonts w:asciiTheme="minorEastAsia" w:eastAsiaTheme="minorEastAsia" w:hAnsiTheme="minorEastAsia" w:cs="Arial"/>
                <w:szCs w:val="21"/>
              </w:rPr>
            </w:pPr>
            <w:r w:rsidRPr="0046707C">
              <w:rPr>
                <w:rFonts w:asciiTheme="minorEastAsia" w:eastAsiaTheme="minorEastAsia" w:hAnsiTheme="minorEastAsia" w:cs="Arial"/>
                <w:szCs w:val="21"/>
              </w:rPr>
              <w:t>010273</w:t>
            </w:r>
          </w:p>
        </w:tc>
      </w:tr>
      <w:tr w:rsidR="001C2158" w:rsidRPr="00190AEF" w:rsidTr="001C2158">
        <w:trPr>
          <w:trHeight w:val="283"/>
        </w:trPr>
        <w:tc>
          <w:tcPr>
            <w:tcW w:w="710" w:type="dxa"/>
            <w:noWrap/>
            <w:vAlign w:val="center"/>
          </w:tcPr>
          <w:p w:rsidR="001C2158" w:rsidRPr="00C52045" w:rsidRDefault="004E66ED" w:rsidP="00423346">
            <w:pPr>
              <w:adjustRightInd w:val="0"/>
              <w:snapToGrid w:val="0"/>
              <w:spacing w:before="40" w:after="40"/>
              <w:jc w:val="center"/>
              <w:rPr>
                <w:rFonts w:asciiTheme="minorEastAsia" w:eastAsiaTheme="minorEastAsia" w:hAnsiTheme="minorEastAsia" w:cs="Arial"/>
                <w:szCs w:val="21"/>
              </w:rPr>
            </w:pPr>
            <w:r>
              <w:rPr>
                <w:rFonts w:asciiTheme="minorEastAsia" w:eastAsiaTheme="minorEastAsia" w:hAnsiTheme="minorEastAsia" w:cs="Arial" w:hint="eastAsia"/>
                <w:szCs w:val="21"/>
              </w:rPr>
              <w:t>4</w:t>
            </w:r>
          </w:p>
        </w:tc>
        <w:tc>
          <w:tcPr>
            <w:tcW w:w="4110" w:type="dxa"/>
            <w:noWrap/>
            <w:vAlign w:val="center"/>
          </w:tcPr>
          <w:p w:rsidR="001C2158"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嘉实中证半导体产业指数增强型发起式证券投资基金</w:t>
            </w:r>
          </w:p>
        </w:tc>
        <w:tc>
          <w:tcPr>
            <w:tcW w:w="2694" w:type="dxa"/>
            <w:noWrap/>
            <w:vAlign w:val="center"/>
          </w:tcPr>
          <w:p w:rsidR="001C2158"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嘉实中证半导体指数增强发起式A</w:t>
            </w:r>
            <w:r>
              <w:rPr>
                <w:rFonts w:asciiTheme="minorEastAsia" w:eastAsiaTheme="minorEastAsia" w:hAnsiTheme="minorEastAsia" w:cs="Arial" w:hint="eastAsia"/>
                <w:szCs w:val="21"/>
              </w:rPr>
              <w:t>/</w:t>
            </w:r>
            <w:r>
              <w:rPr>
                <w:rFonts w:asciiTheme="minorEastAsia" w:eastAsiaTheme="minorEastAsia" w:hAnsiTheme="minorEastAsia" w:cs="Arial"/>
                <w:szCs w:val="21"/>
              </w:rPr>
              <w:t>C</w:t>
            </w:r>
          </w:p>
        </w:tc>
        <w:tc>
          <w:tcPr>
            <w:tcW w:w="1417" w:type="dxa"/>
            <w:noWrap/>
            <w:vAlign w:val="center"/>
          </w:tcPr>
          <w:p w:rsidR="001C2158" w:rsidRPr="00C52045" w:rsidRDefault="0046707C" w:rsidP="00DF79F4">
            <w:pPr>
              <w:adjustRightInd w:val="0"/>
              <w:snapToGrid w:val="0"/>
              <w:spacing w:before="40" w:after="40"/>
              <w:jc w:val="center"/>
              <w:rPr>
                <w:rFonts w:asciiTheme="minorEastAsia" w:eastAsiaTheme="minorEastAsia" w:hAnsiTheme="minorEastAsia" w:cs="Arial"/>
                <w:szCs w:val="21"/>
              </w:rPr>
            </w:pPr>
            <w:r w:rsidRPr="0046707C">
              <w:rPr>
                <w:rFonts w:asciiTheme="minorEastAsia" w:eastAsiaTheme="minorEastAsia" w:hAnsiTheme="minorEastAsia" w:cs="Arial"/>
                <w:szCs w:val="21"/>
              </w:rPr>
              <w:t>014854</w:t>
            </w:r>
          </w:p>
        </w:tc>
      </w:tr>
      <w:tr w:rsidR="001C2158" w:rsidRPr="00190AEF" w:rsidTr="001C2158">
        <w:trPr>
          <w:trHeight w:val="283"/>
        </w:trPr>
        <w:tc>
          <w:tcPr>
            <w:tcW w:w="710" w:type="dxa"/>
            <w:noWrap/>
            <w:vAlign w:val="center"/>
          </w:tcPr>
          <w:p w:rsidR="001C2158" w:rsidRPr="00C52045" w:rsidRDefault="004E66ED" w:rsidP="00423346">
            <w:pPr>
              <w:adjustRightInd w:val="0"/>
              <w:snapToGrid w:val="0"/>
              <w:spacing w:before="40" w:after="40"/>
              <w:jc w:val="center"/>
              <w:rPr>
                <w:rFonts w:asciiTheme="minorEastAsia" w:eastAsiaTheme="minorEastAsia" w:hAnsiTheme="minorEastAsia" w:cs="Arial"/>
                <w:szCs w:val="21"/>
              </w:rPr>
            </w:pPr>
            <w:r>
              <w:rPr>
                <w:rFonts w:asciiTheme="minorEastAsia" w:eastAsiaTheme="minorEastAsia" w:hAnsiTheme="minorEastAsia" w:cs="Arial" w:hint="eastAsia"/>
                <w:szCs w:val="21"/>
              </w:rPr>
              <w:t>5</w:t>
            </w:r>
          </w:p>
        </w:tc>
        <w:tc>
          <w:tcPr>
            <w:tcW w:w="4110" w:type="dxa"/>
            <w:noWrap/>
            <w:vAlign w:val="center"/>
          </w:tcPr>
          <w:p w:rsidR="001C2158"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嘉实创新先锋混合型证券投资基金</w:t>
            </w:r>
          </w:p>
        </w:tc>
        <w:tc>
          <w:tcPr>
            <w:tcW w:w="2694" w:type="dxa"/>
            <w:noWrap/>
            <w:vAlign w:val="center"/>
          </w:tcPr>
          <w:p w:rsidR="001C2158" w:rsidRPr="00C52045" w:rsidRDefault="0046707C" w:rsidP="00423346">
            <w:pPr>
              <w:adjustRightInd w:val="0"/>
              <w:snapToGrid w:val="0"/>
              <w:spacing w:before="40" w:after="40"/>
              <w:rPr>
                <w:rFonts w:asciiTheme="minorEastAsia" w:eastAsiaTheme="minorEastAsia" w:hAnsiTheme="minorEastAsia" w:cs="Arial"/>
                <w:szCs w:val="21"/>
              </w:rPr>
            </w:pPr>
            <w:r w:rsidRPr="0046707C">
              <w:rPr>
                <w:rFonts w:asciiTheme="minorEastAsia" w:eastAsiaTheme="minorEastAsia" w:hAnsiTheme="minorEastAsia" w:cs="Arial" w:hint="eastAsia"/>
                <w:szCs w:val="21"/>
              </w:rPr>
              <w:t>嘉实创新先锋混合A</w:t>
            </w:r>
            <w:r>
              <w:rPr>
                <w:rFonts w:asciiTheme="minorEastAsia" w:eastAsiaTheme="minorEastAsia" w:hAnsiTheme="minorEastAsia" w:cs="Arial" w:hint="eastAsia"/>
                <w:szCs w:val="21"/>
              </w:rPr>
              <w:t>/</w:t>
            </w:r>
            <w:r>
              <w:rPr>
                <w:rFonts w:asciiTheme="minorEastAsia" w:eastAsiaTheme="minorEastAsia" w:hAnsiTheme="minorEastAsia" w:cs="Arial"/>
                <w:szCs w:val="21"/>
              </w:rPr>
              <w:t>C</w:t>
            </w:r>
          </w:p>
        </w:tc>
        <w:tc>
          <w:tcPr>
            <w:tcW w:w="1417" w:type="dxa"/>
            <w:noWrap/>
            <w:vAlign w:val="center"/>
          </w:tcPr>
          <w:p w:rsidR="001C2158" w:rsidRPr="00C52045" w:rsidRDefault="0046707C" w:rsidP="00DF79F4">
            <w:pPr>
              <w:adjustRightInd w:val="0"/>
              <w:snapToGrid w:val="0"/>
              <w:spacing w:before="40" w:after="40"/>
              <w:jc w:val="center"/>
              <w:rPr>
                <w:rFonts w:asciiTheme="minorEastAsia" w:eastAsiaTheme="minorEastAsia" w:hAnsiTheme="minorEastAsia" w:cs="Arial"/>
                <w:szCs w:val="21"/>
              </w:rPr>
            </w:pPr>
            <w:r w:rsidRPr="0046707C">
              <w:rPr>
                <w:rFonts w:asciiTheme="minorEastAsia" w:eastAsiaTheme="minorEastAsia" w:hAnsiTheme="minorEastAsia" w:cs="Arial"/>
                <w:szCs w:val="21"/>
              </w:rPr>
              <w:t>009994</w:t>
            </w:r>
          </w:p>
        </w:tc>
      </w:tr>
    </w:tbl>
    <w:p w:rsidR="004E70BB" w:rsidRDefault="004E4237" w:rsidP="00192898">
      <w:pPr>
        <w:adjustRightInd w:val="0"/>
        <w:snapToGrid w:val="0"/>
        <w:spacing w:before="240"/>
        <w:ind w:firstLineChars="200" w:firstLine="420"/>
        <w:rPr>
          <w:rFonts w:asciiTheme="minorEastAsia" w:eastAsiaTheme="minorEastAsia" w:hAnsiTheme="minorEastAsia"/>
          <w:kern w:val="0"/>
        </w:rPr>
      </w:pPr>
      <w:r>
        <w:rPr>
          <w:rFonts w:asciiTheme="minorEastAsia" w:eastAsiaTheme="minorEastAsia" w:hAnsiTheme="minorEastAsia" w:hint="eastAsia"/>
          <w:kern w:val="0"/>
        </w:rPr>
        <w:t>二</w:t>
      </w:r>
      <w:r w:rsidR="00AB202F">
        <w:rPr>
          <w:rFonts w:asciiTheme="minorEastAsia" w:eastAsiaTheme="minorEastAsia" w:hAnsiTheme="minorEastAsia" w:hint="eastAsia"/>
          <w:kern w:val="0"/>
        </w:rPr>
        <w:t>、</w:t>
      </w:r>
      <w:r w:rsidRPr="00807276">
        <w:rPr>
          <w:rFonts w:asciiTheme="minorEastAsia" w:eastAsiaTheme="minorEastAsia" w:hAnsiTheme="minorEastAsia" w:hint="eastAsia"/>
          <w:kern w:val="0"/>
        </w:rPr>
        <w:t>同一基金不同类别基金份额相互</w:t>
      </w:r>
      <w:r>
        <w:rPr>
          <w:rFonts w:asciiTheme="minorEastAsia" w:eastAsiaTheme="minorEastAsia" w:hAnsiTheme="minorEastAsia" w:hint="eastAsia"/>
          <w:kern w:val="0"/>
        </w:rPr>
        <w:t>转换业务（以下简称“本业务”）</w:t>
      </w:r>
      <w:r w:rsidR="00AB202F">
        <w:rPr>
          <w:rFonts w:asciiTheme="minorEastAsia" w:eastAsiaTheme="minorEastAsia" w:hAnsiTheme="minorEastAsia" w:hint="eastAsia"/>
          <w:kern w:val="0"/>
        </w:rPr>
        <w:t>规则</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（1）</w:t>
      </w:r>
      <w:r w:rsidR="00807276" w:rsidRPr="00192898">
        <w:rPr>
          <w:rFonts w:asciiTheme="minorEastAsia" w:eastAsiaTheme="minorEastAsia" w:hAnsiTheme="minorEastAsia" w:hint="eastAsia"/>
          <w:kern w:val="0"/>
        </w:rPr>
        <w:t>本业务的办理</w:t>
      </w:r>
      <w:r w:rsidRPr="00192898">
        <w:rPr>
          <w:rFonts w:asciiTheme="minorEastAsia" w:eastAsiaTheme="minorEastAsia" w:hAnsiTheme="minorEastAsia" w:hint="eastAsia"/>
          <w:kern w:val="0"/>
        </w:rPr>
        <w:t>时间：</w:t>
      </w:r>
      <w:r w:rsidR="00807276" w:rsidRPr="00192898">
        <w:rPr>
          <w:rFonts w:asciiTheme="minorEastAsia" w:eastAsiaTheme="minorEastAsia" w:hAnsiTheme="minorEastAsia" w:hint="eastAsia"/>
          <w:kern w:val="0"/>
        </w:rPr>
        <w:t>投资者办理本业务时，转出份额必须处于可赎回状态，转入份额必须处于可申购状态，已经冻结的基金份额不得申请转换业务。</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（2）</w:t>
      </w:r>
      <w:r w:rsidR="00807276" w:rsidRPr="00192898">
        <w:rPr>
          <w:rFonts w:asciiTheme="minorEastAsia" w:eastAsiaTheme="minorEastAsia" w:hAnsiTheme="minorEastAsia" w:hint="eastAsia"/>
          <w:kern w:val="0"/>
        </w:rPr>
        <w:t>本业务的办理原则</w:t>
      </w:r>
      <w:r w:rsidRPr="00192898">
        <w:rPr>
          <w:rFonts w:asciiTheme="minorEastAsia" w:eastAsiaTheme="minorEastAsia" w:hAnsiTheme="minorEastAsia" w:hint="eastAsia"/>
          <w:kern w:val="0"/>
        </w:rPr>
        <w:t>：</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①采用份额转换原则，即</w:t>
      </w:r>
      <w:r w:rsidR="003C1188" w:rsidRPr="00807276">
        <w:rPr>
          <w:rFonts w:asciiTheme="minorEastAsia" w:eastAsiaTheme="minorEastAsia" w:hAnsiTheme="minorEastAsia" w:hint="eastAsia"/>
          <w:kern w:val="0"/>
        </w:rPr>
        <w:t>同一基金不同类别基金份额相互</w:t>
      </w:r>
      <w:r w:rsidR="003C1188">
        <w:rPr>
          <w:rFonts w:asciiTheme="minorEastAsia" w:eastAsiaTheme="minorEastAsia" w:hAnsiTheme="minorEastAsia" w:hint="eastAsia"/>
          <w:kern w:val="0"/>
        </w:rPr>
        <w:t>转换业务</w:t>
      </w:r>
      <w:r w:rsidRPr="00192898">
        <w:rPr>
          <w:rFonts w:asciiTheme="minorEastAsia" w:eastAsiaTheme="minorEastAsia" w:hAnsiTheme="minorEastAsia" w:hint="eastAsia"/>
          <w:kern w:val="0"/>
        </w:rPr>
        <w:t>以份额申请；</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②当日的转换申请可以在当日交易结束时间前撤销，在当日的交易时间结束后不得撤销；</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③基金转换价格以申请转换当日基金份额净值为基础计算；</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④投资者可在任一同时销售拟转出基金</w:t>
      </w:r>
      <w:r w:rsidR="00807276" w:rsidRPr="00192898">
        <w:rPr>
          <w:rFonts w:asciiTheme="minorEastAsia" w:eastAsiaTheme="minorEastAsia" w:hAnsiTheme="minorEastAsia" w:hint="eastAsia"/>
          <w:kern w:val="0"/>
        </w:rPr>
        <w:t>份额</w:t>
      </w:r>
      <w:r w:rsidRPr="00192898">
        <w:rPr>
          <w:rFonts w:asciiTheme="minorEastAsia" w:eastAsiaTheme="minorEastAsia" w:hAnsiTheme="minorEastAsia" w:hint="eastAsia"/>
          <w:kern w:val="0"/>
        </w:rPr>
        <w:t>及转入基金</w:t>
      </w:r>
      <w:r w:rsidR="00807276" w:rsidRPr="00192898">
        <w:rPr>
          <w:rFonts w:asciiTheme="minorEastAsia" w:eastAsiaTheme="minorEastAsia" w:hAnsiTheme="minorEastAsia" w:hint="eastAsia"/>
          <w:kern w:val="0"/>
        </w:rPr>
        <w:t>份额</w:t>
      </w:r>
      <w:r w:rsidRPr="00192898">
        <w:rPr>
          <w:rFonts w:asciiTheme="minorEastAsia" w:eastAsiaTheme="minorEastAsia" w:hAnsiTheme="minorEastAsia" w:hint="eastAsia"/>
          <w:kern w:val="0"/>
        </w:rPr>
        <w:t>的销售机构处办理</w:t>
      </w:r>
      <w:r w:rsidR="00807276" w:rsidRPr="00192898">
        <w:rPr>
          <w:rFonts w:asciiTheme="minorEastAsia" w:eastAsiaTheme="minorEastAsia" w:hAnsiTheme="minorEastAsia" w:hint="eastAsia"/>
          <w:kern w:val="0"/>
        </w:rPr>
        <w:t>本业务</w:t>
      </w:r>
      <w:r w:rsidRPr="00192898">
        <w:rPr>
          <w:rFonts w:asciiTheme="minorEastAsia" w:eastAsiaTheme="minorEastAsia" w:hAnsiTheme="minorEastAsia" w:hint="eastAsia"/>
          <w:kern w:val="0"/>
        </w:rPr>
        <w:t>。</w:t>
      </w:r>
      <w:r w:rsidR="00807276" w:rsidRPr="00192898">
        <w:rPr>
          <w:rFonts w:asciiTheme="minorEastAsia" w:eastAsiaTheme="minorEastAsia" w:hAnsiTheme="minorEastAsia" w:hint="eastAsia"/>
          <w:kern w:val="0"/>
        </w:rPr>
        <w:t>本业务</w:t>
      </w:r>
      <w:r w:rsidRPr="00192898">
        <w:rPr>
          <w:rFonts w:asciiTheme="minorEastAsia" w:eastAsiaTheme="minorEastAsia" w:hAnsiTheme="minorEastAsia" w:hint="eastAsia"/>
          <w:kern w:val="0"/>
        </w:rPr>
        <w:t>只能在同一销售机构进行。</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⑤基金管理人可在不损害基金份额持有人权益的情况下更改上述原则，但应在新的原则实施前在至少一种中国证监会指定媒介公告。</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（3）</w:t>
      </w:r>
      <w:r w:rsidR="003C1188" w:rsidRPr="00192898">
        <w:rPr>
          <w:rFonts w:asciiTheme="minorEastAsia" w:eastAsiaTheme="minorEastAsia" w:hAnsiTheme="minorEastAsia" w:hint="eastAsia"/>
          <w:kern w:val="0"/>
        </w:rPr>
        <w:t>本业务的申请及确认</w:t>
      </w:r>
      <w:r w:rsidRPr="00192898">
        <w:rPr>
          <w:rFonts w:asciiTheme="minorEastAsia" w:eastAsiaTheme="minorEastAsia" w:hAnsiTheme="minorEastAsia" w:hint="eastAsia"/>
          <w:kern w:val="0"/>
        </w:rPr>
        <w:t>程序</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①申请方式</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基金投资者必须根据基金管理人和基金销售机构规定的手续，在开放日的业务办理时间提出转换的申请。投资者提交基金转换申请时，账户中必须有足够可用的转出基金份额余额。</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lastRenderedPageBreak/>
        <w:t>②申请的确认</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基金管理人应以在规定的基金业务办理时间段内收到基金转换申请的当天作为基金转换的申请日（T日），并在T+1日对该交易的有效性进行确认。投资者可在T+2日及之后查询成交情况。</w:t>
      </w:r>
    </w:p>
    <w:p w:rsidR="00CF1F78" w:rsidRPr="00192898"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（4）数额限制</w:t>
      </w:r>
    </w:p>
    <w:p w:rsidR="004E70BB" w:rsidRDefault="00CF1F78" w:rsidP="00192898">
      <w:pPr>
        <w:adjustRightInd w:val="0"/>
        <w:snapToGrid w:val="0"/>
        <w:spacing w:before="240"/>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投资者通过销售机构</w:t>
      </w:r>
      <w:r w:rsidR="00AB72EA" w:rsidRPr="00192898">
        <w:rPr>
          <w:rFonts w:asciiTheme="minorEastAsia" w:eastAsiaTheme="minorEastAsia" w:hAnsiTheme="minorEastAsia" w:hint="eastAsia"/>
          <w:kern w:val="0"/>
        </w:rPr>
        <w:t>办理本业务</w:t>
      </w:r>
      <w:r w:rsidRPr="00192898">
        <w:rPr>
          <w:rFonts w:asciiTheme="minorEastAsia" w:eastAsiaTheme="minorEastAsia" w:hAnsiTheme="minorEastAsia" w:hint="eastAsia"/>
          <w:kern w:val="0"/>
        </w:rPr>
        <w:t>时，最低转出份额以基金管理人或销售机构发布的公告为准。基金管理人可根据市场情况制定或调整上述基金转换的有关限制并及时公告。</w:t>
      </w:r>
    </w:p>
    <w:p w:rsidR="00192898" w:rsidRDefault="00EB3CAD" w:rsidP="00192898">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（5）本业务与</w:t>
      </w:r>
      <w:r w:rsidR="00A027F4" w:rsidRPr="00F52E5A">
        <w:rPr>
          <w:rFonts w:asciiTheme="minorEastAsia" w:eastAsiaTheme="minorEastAsia" w:hAnsiTheme="minorEastAsia" w:hint="eastAsia"/>
          <w:kern w:val="0"/>
        </w:rPr>
        <w:t>基金管理人</w:t>
      </w:r>
      <w:r>
        <w:rPr>
          <w:rFonts w:asciiTheme="minorEastAsia" w:eastAsiaTheme="minorEastAsia" w:hAnsiTheme="minorEastAsia" w:hint="eastAsia"/>
          <w:kern w:val="0"/>
        </w:rPr>
        <w:t>已经开通的不同基金之间</w:t>
      </w:r>
      <w:r w:rsidRPr="00EB3CAD">
        <w:rPr>
          <w:rFonts w:asciiTheme="minorEastAsia" w:eastAsiaTheme="minorEastAsia" w:hAnsiTheme="minorEastAsia" w:hint="eastAsia"/>
          <w:kern w:val="0"/>
        </w:rPr>
        <w:t>转换业务不产生冲突</w:t>
      </w:r>
      <w:r>
        <w:rPr>
          <w:rFonts w:asciiTheme="minorEastAsia" w:eastAsiaTheme="minorEastAsia" w:hAnsiTheme="minorEastAsia" w:hint="eastAsia"/>
          <w:kern w:val="0"/>
        </w:rPr>
        <w:t>，</w:t>
      </w:r>
      <w:r w:rsidRPr="00EB3CAD">
        <w:rPr>
          <w:rFonts w:asciiTheme="minorEastAsia" w:eastAsiaTheme="minorEastAsia" w:hAnsiTheme="minorEastAsia" w:hint="eastAsia"/>
          <w:kern w:val="0"/>
        </w:rPr>
        <w:t>投资者到本基金销售机构的销售网点办理</w:t>
      </w:r>
      <w:r>
        <w:rPr>
          <w:rFonts w:asciiTheme="minorEastAsia" w:eastAsiaTheme="minorEastAsia" w:hAnsiTheme="minorEastAsia" w:hint="eastAsia"/>
          <w:kern w:val="0"/>
        </w:rPr>
        <w:t>本业务或</w:t>
      </w:r>
      <w:r w:rsidRPr="00EB3CAD">
        <w:rPr>
          <w:rFonts w:asciiTheme="minorEastAsia" w:eastAsiaTheme="minorEastAsia" w:hAnsiTheme="minorEastAsia" w:hint="eastAsia"/>
          <w:kern w:val="0"/>
        </w:rPr>
        <w:t>本基金</w:t>
      </w:r>
      <w:r>
        <w:rPr>
          <w:rFonts w:asciiTheme="minorEastAsia" w:eastAsiaTheme="minorEastAsia" w:hAnsiTheme="minorEastAsia" w:hint="eastAsia"/>
          <w:kern w:val="0"/>
        </w:rPr>
        <w:t>与基金管理人管理的其他基金之间</w:t>
      </w:r>
      <w:r w:rsidRPr="00EB3CAD">
        <w:rPr>
          <w:rFonts w:asciiTheme="minorEastAsia" w:eastAsiaTheme="minorEastAsia" w:hAnsiTheme="minorEastAsia" w:hint="eastAsia"/>
          <w:kern w:val="0"/>
        </w:rPr>
        <w:t>转换业务时，其相关具体办理规定以各销售机构的规定为准。</w:t>
      </w:r>
    </w:p>
    <w:p w:rsidR="004E4237" w:rsidRDefault="004E4237" w:rsidP="004E4237">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三、本业务的转换费用</w:t>
      </w:r>
    </w:p>
    <w:p w:rsidR="004E4237" w:rsidRPr="00CF1F78" w:rsidRDefault="004E4237" w:rsidP="004E4237">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本业务的</w:t>
      </w:r>
      <w:r w:rsidRPr="00CF1F78">
        <w:rPr>
          <w:rFonts w:asciiTheme="minorEastAsia" w:eastAsiaTheme="minorEastAsia" w:hAnsiTheme="minorEastAsia" w:hint="eastAsia"/>
          <w:kern w:val="0"/>
        </w:rPr>
        <w:t>转换费用由转出基金</w:t>
      </w:r>
      <w:r>
        <w:rPr>
          <w:rFonts w:asciiTheme="minorEastAsia" w:eastAsiaTheme="minorEastAsia" w:hAnsiTheme="minorEastAsia" w:hint="eastAsia"/>
          <w:kern w:val="0"/>
        </w:rPr>
        <w:t>份额</w:t>
      </w:r>
      <w:r w:rsidRPr="00CF1F78">
        <w:rPr>
          <w:rFonts w:asciiTheme="minorEastAsia" w:eastAsiaTheme="minorEastAsia" w:hAnsiTheme="minorEastAsia" w:hint="eastAsia"/>
          <w:kern w:val="0"/>
        </w:rPr>
        <w:t>赎回费用及</w:t>
      </w:r>
      <w:r>
        <w:rPr>
          <w:rFonts w:asciiTheme="minorEastAsia" w:eastAsiaTheme="minorEastAsia" w:hAnsiTheme="minorEastAsia" w:hint="eastAsia"/>
          <w:kern w:val="0"/>
        </w:rPr>
        <w:t>转入</w:t>
      </w:r>
      <w:r w:rsidRPr="00CF1F78">
        <w:rPr>
          <w:rFonts w:asciiTheme="minorEastAsia" w:eastAsiaTheme="minorEastAsia" w:hAnsiTheme="minorEastAsia" w:hint="eastAsia"/>
          <w:kern w:val="0"/>
        </w:rPr>
        <w:t>基金</w:t>
      </w:r>
      <w:r>
        <w:rPr>
          <w:rFonts w:asciiTheme="minorEastAsia" w:eastAsiaTheme="minorEastAsia" w:hAnsiTheme="minorEastAsia" w:hint="eastAsia"/>
          <w:kern w:val="0"/>
        </w:rPr>
        <w:t>份额</w:t>
      </w:r>
      <w:r w:rsidRPr="00CF1F78">
        <w:rPr>
          <w:rFonts w:asciiTheme="minorEastAsia" w:eastAsiaTheme="minorEastAsia" w:hAnsiTheme="minorEastAsia" w:hint="eastAsia"/>
          <w:kern w:val="0"/>
        </w:rPr>
        <w:t>申购补差费用构成：</w:t>
      </w:r>
    </w:p>
    <w:p w:rsidR="004E4237" w:rsidRPr="00CF1F78" w:rsidRDefault="004E4237" w:rsidP="00BF3B8D">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（1）基金转换份额的计算</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基金转换采取未知价法，以申请当日基金份额净值为基础计算。计算公式如下：</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转出基金份额金额=转出份额×转出基金份额当日基金份额净值</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转出基金份额赎回费用=转出基金份额金额×转出基金份额赎回费率</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转出基金份额申购费用=（转出基金份额金额-转出基金份额赎回费用）×转出基金份额申购费率÷（1+转出基金份额申购费率）</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转入基金份额申购费用=（转出基金份额金额-转出基金份额赎回费用）×转入基金份额申购费率÷（1+转入基金份额申购费率）</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申购补差费用=MAX（0，转入基金份额申购费用-转出基金份额申购费用）</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转换费用=转出基金份额赎回费用+申购补差费用</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净转入金额=转出基金</w:t>
      </w:r>
      <w:r>
        <w:rPr>
          <w:rFonts w:asciiTheme="minorEastAsia" w:eastAsiaTheme="minorEastAsia" w:hAnsiTheme="minorEastAsia" w:hint="eastAsia"/>
          <w:kern w:val="0"/>
        </w:rPr>
        <w:t>份额</w:t>
      </w:r>
      <w:r w:rsidRPr="00CF1F78">
        <w:rPr>
          <w:rFonts w:asciiTheme="minorEastAsia" w:eastAsiaTheme="minorEastAsia" w:hAnsiTheme="minorEastAsia" w:hint="eastAsia"/>
          <w:kern w:val="0"/>
        </w:rPr>
        <w:t>金额-转换费用</w:t>
      </w:r>
    </w:p>
    <w:p w:rsidR="004E4237" w:rsidRPr="00CF1F78"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转入份额=净转入金额/转入基金份额当日基金份额净值</w:t>
      </w:r>
    </w:p>
    <w:p w:rsidR="004E4237" w:rsidRDefault="004E4237" w:rsidP="004E4237">
      <w:pPr>
        <w:adjustRightInd w:val="0"/>
        <w:snapToGrid w:val="0"/>
        <w:spacing w:before="240"/>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转出基金份额有赎回费用的,收取的赎回费归入基金财产的比例不得低于法律法规、中国证监会规定的比例下限以及该基金基金合同的相关约定。</w:t>
      </w:r>
    </w:p>
    <w:p w:rsidR="001B57AE" w:rsidRDefault="001B57AE" w:rsidP="00BF3B8D">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（2）通过非直销销售机构、</w:t>
      </w:r>
      <w:r w:rsidRPr="001B57AE">
        <w:rPr>
          <w:rFonts w:asciiTheme="minorEastAsia" w:eastAsiaTheme="minorEastAsia" w:hAnsiTheme="minorEastAsia" w:hint="eastAsia"/>
          <w:kern w:val="0"/>
        </w:rPr>
        <w:t>通过直销（直销柜台及网上直销）办理</w:t>
      </w:r>
      <w:r>
        <w:rPr>
          <w:rFonts w:asciiTheme="minorEastAsia" w:eastAsiaTheme="minorEastAsia" w:hAnsiTheme="minorEastAsia" w:hint="eastAsia"/>
          <w:kern w:val="0"/>
        </w:rPr>
        <w:t>本业务时的</w:t>
      </w:r>
      <w:r w:rsidR="006F7427">
        <w:rPr>
          <w:rFonts w:asciiTheme="minorEastAsia" w:eastAsiaTheme="minorEastAsia" w:hAnsiTheme="minorEastAsia" w:hint="eastAsia"/>
          <w:kern w:val="0"/>
        </w:rPr>
        <w:t>具体</w:t>
      </w:r>
      <w:r>
        <w:rPr>
          <w:rFonts w:asciiTheme="minorEastAsia" w:eastAsiaTheme="minorEastAsia" w:hAnsiTheme="minorEastAsia" w:hint="eastAsia"/>
          <w:kern w:val="0"/>
        </w:rPr>
        <w:t>费用规则，详见各基金的《招募说明书》及各销售机构的最新公告。</w:t>
      </w:r>
    </w:p>
    <w:p w:rsidR="00EB3CAD" w:rsidRPr="004E4237" w:rsidRDefault="00EB3CAD" w:rsidP="00192898">
      <w:pPr>
        <w:adjustRightInd w:val="0"/>
        <w:snapToGrid w:val="0"/>
        <w:spacing w:before="240" w:line="360" w:lineRule="auto"/>
        <w:ind w:firstLineChars="200" w:firstLine="420"/>
        <w:rPr>
          <w:rFonts w:asciiTheme="minorEastAsia" w:eastAsiaTheme="minorEastAsia" w:hAnsiTheme="minorEastAsia"/>
          <w:kern w:val="0"/>
        </w:rPr>
      </w:pPr>
    </w:p>
    <w:p w:rsidR="001C2158" w:rsidRDefault="001C2158" w:rsidP="001C2158">
      <w:pPr>
        <w:snapToGrid w:val="0"/>
        <w:spacing w:line="360" w:lineRule="auto"/>
        <w:ind w:firstLineChars="200" w:firstLine="420"/>
        <w:rPr>
          <w:rFonts w:ascii="宋体" w:hAnsi="宋体"/>
          <w:szCs w:val="21"/>
        </w:rPr>
      </w:pPr>
      <w:r>
        <w:rPr>
          <w:rFonts w:ascii="宋体" w:hAnsi="宋体" w:hint="eastAsia"/>
          <w:szCs w:val="21"/>
        </w:rPr>
        <w:t>基金管理人将根据上述调整情况修订各基金基金合同中的有关内容，并将根据修订的基</w:t>
      </w:r>
      <w:r>
        <w:rPr>
          <w:rFonts w:ascii="宋体" w:hAnsi="宋体" w:hint="eastAsia"/>
          <w:szCs w:val="21"/>
        </w:rPr>
        <w:lastRenderedPageBreak/>
        <w:t>金合同相应修订各基金的托管协议（如涉及）、招募说明书、基金产品资料概要（如涉及）等法律文件。本次修订已履行规定的程序，符合法律法规及各基金基金合同的规定，修订内容自2025年3月2</w:t>
      </w:r>
      <w:r w:rsidR="00E656E5">
        <w:rPr>
          <w:rFonts w:ascii="宋体" w:hAnsi="宋体"/>
          <w:szCs w:val="21"/>
        </w:rPr>
        <w:t>4</w:t>
      </w:r>
      <w:r>
        <w:rPr>
          <w:rFonts w:ascii="宋体" w:hAnsi="宋体" w:hint="eastAsia"/>
          <w:szCs w:val="21"/>
        </w:rPr>
        <w:t>日起生效，修订后的法律文件将依照《信息披露办法》的有关规定在基金管理人网站（</w:t>
      </w:r>
      <w:r w:rsidRPr="001C2158">
        <w:rPr>
          <w:rFonts w:ascii="宋体" w:hAnsi="宋体"/>
          <w:szCs w:val="21"/>
        </w:rPr>
        <w:t>www.jsfund.cn</w:t>
      </w:r>
      <w:r>
        <w:rPr>
          <w:rFonts w:ascii="宋体" w:hAnsi="宋体" w:hint="eastAsia"/>
          <w:szCs w:val="21"/>
        </w:rPr>
        <w:t>）和中国证监会基金电子披露网站（http://eid.csrc.gov.cn/fund）发布，投资者可登录查阅。</w:t>
      </w:r>
    </w:p>
    <w:p w:rsidR="001C2158" w:rsidRDefault="001C2158" w:rsidP="001C2158">
      <w:pPr>
        <w:snapToGrid w:val="0"/>
        <w:spacing w:line="360" w:lineRule="auto"/>
        <w:ind w:firstLineChars="200" w:firstLine="420"/>
        <w:rPr>
          <w:rFonts w:ascii="宋体" w:hAnsi="宋体"/>
          <w:szCs w:val="21"/>
        </w:rPr>
      </w:pPr>
      <w:r>
        <w:rPr>
          <w:rFonts w:ascii="宋体" w:hAnsi="宋体" w:hint="eastAsia"/>
          <w:szCs w:val="21"/>
        </w:rPr>
        <w:t>如有疑问，投资者可访问</w:t>
      </w:r>
      <w:r w:rsidR="00A027F4" w:rsidRPr="00F52E5A">
        <w:rPr>
          <w:rFonts w:asciiTheme="minorEastAsia" w:eastAsiaTheme="minorEastAsia" w:hAnsiTheme="minorEastAsia" w:hint="eastAsia"/>
          <w:kern w:val="0"/>
        </w:rPr>
        <w:t>基金管理人</w:t>
      </w:r>
      <w:r>
        <w:rPr>
          <w:rFonts w:ascii="宋体" w:hAnsi="宋体" w:hint="eastAsia"/>
          <w:szCs w:val="21"/>
        </w:rPr>
        <w:t>网站(</w:t>
      </w:r>
      <w:r w:rsidRPr="001C2158">
        <w:rPr>
          <w:rFonts w:ascii="宋体" w:hAnsi="宋体"/>
          <w:szCs w:val="21"/>
        </w:rPr>
        <w:t>www.jsfund.cn</w:t>
      </w:r>
      <w:r>
        <w:rPr>
          <w:rFonts w:ascii="宋体" w:hAnsi="宋体" w:hint="eastAsia"/>
          <w:szCs w:val="21"/>
        </w:rPr>
        <w:t>)或拨打客户服务电话（</w:t>
      </w:r>
      <w:r w:rsidRPr="009E441D">
        <w:rPr>
          <w:rFonts w:asciiTheme="minorEastAsia" w:eastAsiaTheme="minorEastAsia" w:hAnsiTheme="minorEastAsia" w:cs="Arial" w:hint="eastAsia"/>
          <w:szCs w:val="21"/>
        </w:rPr>
        <w:t>400-600-8800</w:t>
      </w:r>
      <w:r>
        <w:rPr>
          <w:rFonts w:ascii="宋体" w:hAnsi="宋体" w:hint="eastAsia"/>
          <w:szCs w:val="21"/>
        </w:rPr>
        <w:t>）咨询相关事宜。</w:t>
      </w:r>
    </w:p>
    <w:p w:rsidR="001C2158" w:rsidRDefault="001C2158" w:rsidP="001C2158">
      <w:pPr>
        <w:snapToGrid w:val="0"/>
        <w:spacing w:line="360" w:lineRule="auto"/>
        <w:ind w:firstLineChars="200" w:firstLine="420"/>
        <w:rPr>
          <w:rFonts w:ascii="宋体" w:hAnsi="宋体"/>
          <w:szCs w:val="21"/>
        </w:rPr>
      </w:pPr>
      <w:r>
        <w:rPr>
          <w:rFonts w:ascii="宋体" w:hAnsi="宋体"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2423CE" w:rsidRPr="009E441D" w:rsidRDefault="001C2158" w:rsidP="001C2158">
      <w:pPr>
        <w:autoSpaceDE w:val="0"/>
        <w:autoSpaceDN w:val="0"/>
        <w:adjustRightInd w:val="0"/>
        <w:spacing w:line="360" w:lineRule="auto"/>
        <w:ind w:firstLineChars="200" w:firstLine="420"/>
        <w:rPr>
          <w:rFonts w:asciiTheme="minorEastAsia" w:eastAsiaTheme="minorEastAsia" w:hAnsiTheme="minorEastAsia" w:cs="Arial"/>
          <w:szCs w:val="21"/>
        </w:rPr>
      </w:pPr>
      <w:r>
        <w:rPr>
          <w:rFonts w:ascii="宋体" w:hAnsi="宋体" w:hint="eastAsia"/>
          <w:szCs w:val="21"/>
        </w:rPr>
        <w:t>特此公告。</w:t>
      </w:r>
    </w:p>
    <w:p w:rsidR="000A0BD0" w:rsidRPr="009E441D" w:rsidRDefault="000A0BD0" w:rsidP="000A0BD0">
      <w:pPr>
        <w:autoSpaceDE w:val="0"/>
        <w:autoSpaceDN w:val="0"/>
        <w:adjustRightInd w:val="0"/>
        <w:spacing w:line="360" w:lineRule="auto"/>
        <w:ind w:firstLineChars="2950" w:firstLine="6195"/>
        <w:jc w:val="left"/>
        <w:rPr>
          <w:rFonts w:asciiTheme="minorEastAsia" w:eastAsiaTheme="minorEastAsia" w:hAnsiTheme="minorEastAsia" w:cs="Arial"/>
          <w:szCs w:val="21"/>
        </w:rPr>
      </w:pPr>
      <w:r w:rsidRPr="009E441D">
        <w:rPr>
          <w:rFonts w:asciiTheme="minorEastAsia" w:eastAsiaTheme="minorEastAsia" w:hAnsiTheme="minorEastAsia" w:cs="Arial" w:hint="eastAsia"/>
          <w:szCs w:val="21"/>
        </w:rPr>
        <w:t>嘉实基金管理有限公司</w:t>
      </w:r>
    </w:p>
    <w:p w:rsidR="001C2158" w:rsidRDefault="000A0BD0" w:rsidP="00C52045">
      <w:pPr>
        <w:wordWrap w:val="0"/>
        <w:adjustRightInd w:val="0"/>
        <w:snapToGrid w:val="0"/>
        <w:spacing w:line="400" w:lineRule="exact"/>
        <w:jc w:val="right"/>
        <w:rPr>
          <w:rFonts w:asciiTheme="minorEastAsia" w:eastAsiaTheme="minorEastAsia" w:hAnsiTheme="minorEastAsia" w:cs="Arial"/>
          <w:szCs w:val="21"/>
        </w:rPr>
      </w:pPr>
      <w:r w:rsidRPr="009E441D">
        <w:rPr>
          <w:rFonts w:asciiTheme="minorEastAsia" w:eastAsiaTheme="minorEastAsia" w:hAnsiTheme="minorEastAsia" w:cs="Arial"/>
          <w:szCs w:val="21"/>
        </w:rPr>
        <w:t>202</w:t>
      </w:r>
      <w:r w:rsidR="00DD6756">
        <w:rPr>
          <w:rFonts w:asciiTheme="minorEastAsia" w:eastAsiaTheme="minorEastAsia" w:hAnsiTheme="minorEastAsia" w:cs="Arial"/>
          <w:szCs w:val="21"/>
        </w:rPr>
        <w:t>5</w:t>
      </w:r>
      <w:r w:rsidRPr="009E441D">
        <w:rPr>
          <w:rFonts w:asciiTheme="minorEastAsia" w:eastAsiaTheme="minorEastAsia" w:hAnsiTheme="minorEastAsia" w:cs="Arial" w:hint="eastAsia"/>
          <w:szCs w:val="21"/>
        </w:rPr>
        <w:t>年</w:t>
      </w:r>
      <w:r w:rsidR="00FF063F">
        <w:rPr>
          <w:rFonts w:asciiTheme="minorEastAsia" w:eastAsiaTheme="minorEastAsia" w:hAnsiTheme="minorEastAsia" w:cs="Arial"/>
          <w:szCs w:val="21"/>
        </w:rPr>
        <w:t>3</w:t>
      </w:r>
      <w:r w:rsidRPr="009E441D">
        <w:rPr>
          <w:rFonts w:asciiTheme="minorEastAsia" w:eastAsiaTheme="minorEastAsia" w:hAnsiTheme="minorEastAsia" w:cs="Arial" w:hint="eastAsia"/>
          <w:szCs w:val="21"/>
        </w:rPr>
        <w:t>月</w:t>
      </w:r>
      <w:r w:rsidR="004E66ED">
        <w:rPr>
          <w:rFonts w:asciiTheme="minorEastAsia" w:eastAsiaTheme="minorEastAsia" w:hAnsiTheme="minorEastAsia" w:cs="Arial"/>
          <w:szCs w:val="21"/>
        </w:rPr>
        <w:t>2</w:t>
      </w:r>
      <w:r w:rsidR="006F7427">
        <w:rPr>
          <w:rFonts w:asciiTheme="minorEastAsia" w:eastAsiaTheme="minorEastAsia" w:hAnsiTheme="minorEastAsia" w:cs="Arial"/>
          <w:szCs w:val="21"/>
        </w:rPr>
        <w:t>2</w:t>
      </w:r>
      <w:r w:rsidRPr="009E441D">
        <w:rPr>
          <w:rFonts w:asciiTheme="minorEastAsia" w:eastAsiaTheme="minorEastAsia" w:hAnsiTheme="minorEastAsia" w:cs="Arial" w:hint="eastAsia"/>
          <w:szCs w:val="21"/>
        </w:rPr>
        <w:t>日</w:t>
      </w:r>
      <w:bookmarkEnd w:id="0"/>
    </w:p>
    <w:p w:rsidR="001C2158" w:rsidRDefault="001C2158">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1C2158" w:rsidRDefault="001C2158" w:rsidP="001C2158">
      <w:pPr>
        <w:snapToGrid w:val="0"/>
        <w:spacing w:line="360" w:lineRule="auto"/>
        <w:rPr>
          <w:rFonts w:ascii="宋体" w:hAnsi="宋体"/>
          <w:szCs w:val="21"/>
        </w:rPr>
      </w:pPr>
      <w:r w:rsidRPr="001C2158">
        <w:rPr>
          <w:rFonts w:ascii="宋体" w:hAnsi="宋体" w:hint="eastAsia"/>
          <w:szCs w:val="21"/>
        </w:rPr>
        <w:t>附</w:t>
      </w:r>
      <w:r w:rsidR="0074364E">
        <w:rPr>
          <w:rFonts w:ascii="宋体" w:hAnsi="宋体" w:hint="eastAsia"/>
          <w:szCs w:val="21"/>
        </w:rPr>
        <w:t>1</w:t>
      </w:r>
      <w:r w:rsidRPr="001C2158">
        <w:rPr>
          <w:rFonts w:ascii="宋体" w:hAnsi="宋体" w:hint="eastAsia"/>
          <w:szCs w:val="21"/>
        </w:rPr>
        <w:t>：</w:t>
      </w:r>
      <w:r w:rsidR="00AB72EA" w:rsidRPr="00AB72EA">
        <w:rPr>
          <w:rFonts w:ascii="宋体" w:hAnsi="宋体" w:hint="eastAsia"/>
          <w:szCs w:val="21"/>
        </w:rPr>
        <w:t>嘉实前沿科技沪港深股票型证券投资基金</w:t>
      </w:r>
      <w:r w:rsidR="00885C1B">
        <w:rPr>
          <w:rFonts w:ascii="宋体" w:hAnsi="宋体" w:hint="eastAsia"/>
          <w:szCs w:val="21"/>
        </w:rPr>
        <w:t>基金合同</w:t>
      </w:r>
      <w:r w:rsidRPr="001C2158">
        <w:rPr>
          <w:rFonts w:ascii="宋体" w:hAnsi="宋体" w:hint="eastAsia"/>
          <w:szCs w:val="21"/>
        </w:rPr>
        <w:t>修订</w:t>
      </w:r>
      <w:r w:rsidR="0074364E">
        <w:rPr>
          <w:rFonts w:ascii="宋体" w:hAnsi="宋体" w:hint="eastAsia"/>
          <w:szCs w:val="21"/>
        </w:rPr>
        <w:t>前后文对照表</w:t>
      </w:r>
    </w:p>
    <w:tbl>
      <w:tblPr>
        <w:tblpPr w:leftFromText="180" w:rightFromText="180" w:vertAnchor="text" w:horzAnchor="page" w:tblpXSpec="center" w:tblpY="29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3932"/>
        <w:gridCol w:w="3576"/>
      </w:tblGrid>
      <w:tr w:rsidR="00456A8B" w:rsidTr="008F3CD6">
        <w:tc>
          <w:tcPr>
            <w:tcW w:w="595" w:type="pct"/>
            <w:vAlign w:val="center"/>
          </w:tcPr>
          <w:p w:rsidR="00456A8B" w:rsidRDefault="00456A8B" w:rsidP="008F3CD6">
            <w:pPr>
              <w:snapToGrid w:val="0"/>
              <w:jc w:val="center"/>
              <w:rPr>
                <w:rFonts w:cs="宋体"/>
                <w:b/>
                <w:szCs w:val="21"/>
              </w:rPr>
            </w:pPr>
            <w:r>
              <w:rPr>
                <w:rFonts w:cs="宋体" w:hint="eastAsia"/>
                <w:b/>
                <w:szCs w:val="21"/>
              </w:rPr>
              <w:t>章节</w:t>
            </w:r>
          </w:p>
        </w:tc>
        <w:tc>
          <w:tcPr>
            <w:tcW w:w="2307" w:type="pct"/>
          </w:tcPr>
          <w:p w:rsidR="00456A8B" w:rsidRDefault="00456A8B" w:rsidP="008F3CD6">
            <w:pPr>
              <w:snapToGrid w:val="0"/>
              <w:jc w:val="center"/>
              <w:rPr>
                <w:rFonts w:cs="宋体"/>
                <w:b/>
                <w:szCs w:val="21"/>
              </w:rPr>
            </w:pPr>
            <w:r>
              <w:rPr>
                <w:rFonts w:cs="宋体" w:hint="eastAsia"/>
                <w:b/>
                <w:szCs w:val="21"/>
              </w:rPr>
              <w:t>修改前</w:t>
            </w:r>
          </w:p>
        </w:tc>
        <w:tc>
          <w:tcPr>
            <w:tcW w:w="2098" w:type="pct"/>
          </w:tcPr>
          <w:p w:rsidR="00456A8B" w:rsidRDefault="00456A8B" w:rsidP="008F3CD6">
            <w:pPr>
              <w:snapToGrid w:val="0"/>
              <w:jc w:val="center"/>
              <w:rPr>
                <w:rFonts w:cs="宋体"/>
                <w:b/>
                <w:szCs w:val="21"/>
              </w:rPr>
            </w:pPr>
            <w:r>
              <w:rPr>
                <w:rFonts w:cs="宋体" w:hint="eastAsia"/>
                <w:b/>
                <w:szCs w:val="21"/>
              </w:rPr>
              <w:t>修改后</w:t>
            </w:r>
          </w:p>
        </w:tc>
      </w:tr>
      <w:tr w:rsidR="00456A8B" w:rsidTr="008F3CD6">
        <w:tc>
          <w:tcPr>
            <w:tcW w:w="595" w:type="pct"/>
            <w:vAlign w:val="center"/>
          </w:tcPr>
          <w:p w:rsidR="00456A8B" w:rsidRPr="00A91AC6" w:rsidRDefault="00456A8B" w:rsidP="008F3CD6">
            <w:pPr>
              <w:snapToGrid w:val="0"/>
              <w:jc w:val="center"/>
              <w:rPr>
                <w:rFonts w:cs="宋体"/>
                <w:b/>
                <w:szCs w:val="21"/>
              </w:rPr>
            </w:pPr>
            <w:r w:rsidRPr="00111A58">
              <w:rPr>
                <w:rFonts w:cs="宋体" w:hint="eastAsia"/>
                <w:b/>
                <w:szCs w:val="21"/>
              </w:rPr>
              <w:t>第二部分</w:t>
            </w:r>
            <w:r w:rsidRPr="00111A58">
              <w:rPr>
                <w:rFonts w:cs="宋体" w:hint="eastAsia"/>
                <w:b/>
                <w:szCs w:val="21"/>
              </w:rPr>
              <w:t xml:space="preserve"> </w:t>
            </w:r>
            <w:r w:rsidRPr="00111A58">
              <w:rPr>
                <w:rFonts w:cs="宋体" w:hint="eastAsia"/>
                <w:b/>
                <w:szCs w:val="21"/>
              </w:rPr>
              <w:t>释义</w:t>
            </w:r>
          </w:p>
        </w:tc>
        <w:tc>
          <w:tcPr>
            <w:tcW w:w="2307" w:type="pct"/>
          </w:tcPr>
          <w:p w:rsidR="00456A8B" w:rsidRDefault="00456A8B" w:rsidP="008F3CD6">
            <w:pPr>
              <w:snapToGrid w:val="0"/>
              <w:rPr>
                <w:rFonts w:cs="宋体"/>
                <w:szCs w:val="21"/>
              </w:rPr>
            </w:pPr>
            <w:r w:rsidRPr="00F628AE">
              <w:rPr>
                <w:rFonts w:cs="宋体" w:hint="eastAsia"/>
                <w:szCs w:val="21"/>
              </w:rPr>
              <w:t>43</w:t>
            </w:r>
            <w:r w:rsidRPr="00F628AE">
              <w:rPr>
                <w:rFonts w:cs="宋体" w:hint="eastAsia"/>
                <w:szCs w:val="21"/>
              </w:rPr>
              <w:t>、基金转换：指基金份额持有人按照本基金合同和基金管理人届时有效公告规定的条件，申请将其持有基金管理人管理的某一基金的基金份额转换为</w:t>
            </w:r>
            <w:r w:rsidRPr="00F628AE">
              <w:rPr>
                <w:rFonts w:cs="宋体" w:hint="eastAsia"/>
                <w:b/>
                <w:strike/>
                <w:szCs w:val="21"/>
              </w:rPr>
              <w:t>基金管理人管理的其他基金基金份额的行为</w:t>
            </w:r>
          </w:p>
          <w:p w:rsidR="00456A8B" w:rsidRPr="005F52AB" w:rsidRDefault="00456A8B" w:rsidP="008F3CD6">
            <w:pPr>
              <w:snapToGrid w:val="0"/>
              <w:rPr>
                <w:rFonts w:cs="宋体"/>
                <w:szCs w:val="21"/>
              </w:rPr>
            </w:pPr>
          </w:p>
        </w:tc>
        <w:tc>
          <w:tcPr>
            <w:tcW w:w="2098" w:type="pct"/>
          </w:tcPr>
          <w:p w:rsidR="00456A8B" w:rsidRPr="00906B76" w:rsidRDefault="00456A8B" w:rsidP="008F3CD6">
            <w:pPr>
              <w:snapToGrid w:val="0"/>
              <w:rPr>
                <w:rFonts w:cs="宋体"/>
                <w:szCs w:val="21"/>
              </w:rPr>
            </w:pPr>
            <w:r w:rsidRPr="00F628AE">
              <w:rPr>
                <w:rFonts w:cs="宋体" w:hint="eastAsia"/>
                <w:szCs w:val="21"/>
              </w:rPr>
              <w:t>43</w:t>
            </w:r>
            <w:r w:rsidRPr="00F628AE">
              <w:rPr>
                <w:rFonts w:cs="宋体" w:hint="eastAsia"/>
                <w:szCs w:val="21"/>
              </w:rPr>
              <w:t>、基金转换：指基金份额持有人按照本基金合同和基金管理人届时有效公告规定的条件，申请将其持有基金管理人管理的某一基金的基金份额转换为</w:t>
            </w:r>
            <w:r w:rsidRPr="00F628AE">
              <w:rPr>
                <w:rFonts w:cs="宋体" w:hint="eastAsia"/>
                <w:b/>
                <w:szCs w:val="21"/>
                <w:u w:val="single"/>
              </w:rPr>
              <w:t>该基金其他份额（如有）或基金管理人管理的其他基金基金份额的行为</w:t>
            </w:r>
          </w:p>
        </w:tc>
      </w:tr>
      <w:tr w:rsidR="00456A8B" w:rsidTr="008F3CD6">
        <w:trPr>
          <w:trHeight w:val="1459"/>
        </w:trPr>
        <w:tc>
          <w:tcPr>
            <w:tcW w:w="595" w:type="pct"/>
            <w:vAlign w:val="center"/>
          </w:tcPr>
          <w:p w:rsidR="00456A8B" w:rsidRPr="002E7608" w:rsidRDefault="00456A8B" w:rsidP="008F3CD6">
            <w:pPr>
              <w:snapToGrid w:val="0"/>
              <w:jc w:val="center"/>
              <w:rPr>
                <w:rFonts w:cs="宋体"/>
                <w:b/>
                <w:szCs w:val="21"/>
              </w:rPr>
            </w:pPr>
            <w:r w:rsidRPr="00F628AE">
              <w:rPr>
                <w:rFonts w:cs="宋体" w:hint="eastAsia"/>
                <w:b/>
                <w:szCs w:val="21"/>
              </w:rPr>
              <w:t>第六部分</w:t>
            </w:r>
            <w:r w:rsidRPr="00F628AE">
              <w:rPr>
                <w:rFonts w:cs="宋体" w:hint="eastAsia"/>
                <w:b/>
                <w:szCs w:val="21"/>
              </w:rPr>
              <w:t xml:space="preserve"> </w:t>
            </w:r>
            <w:r w:rsidRPr="00F628AE">
              <w:rPr>
                <w:rFonts w:cs="宋体" w:hint="eastAsia"/>
                <w:b/>
                <w:szCs w:val="21"/>
              </w:rPr>
              <w:t>基金份额的申购与赎回</w:t>
            </w:r>
          </w:p>
        </w:tc>
        <w:tc>
          <w:tcPr>
            <w:tcW w:w="2307" w:type="pct"/>
          </w:tcPr>
          <w:p w:rsidR="00456A8B" w:rsidRPr="00F628AE" w:rsidRDefault="00456A8B" w:rsidP="008F3CD6">
            <w:pPr>
              <w:snapToGrid w:val="0"/>
              <w:rPr>
                <w:rFonts w:cs="宋体"/>
                <w:szCs w:val="21"/>
              </w:rPr>
            </w:pPr>
            <w:r w:rsidRPr="00F628AE">
              <w:rPr>
                <w:rFonts w:cs="宋体" w:hint="eastAsia"/>
                <w:szCs w:val="21"/>
              </w:rPr>
              <w:t>十一、基金转换</w:t>
            </w:r>
          </w:p>
          <w:p w:rsidR="00456A8B" w:rsidRDefault="00456A8B" w:rsidP="008F3CD6">
            <w:pPr>
              <w:snapToGrid w:val="0"/>
              <w:rPr>
                <w:rFonts w:cs="宋体"/>
                <w:szCs w:val="21"/>
              </w:rPr>
            </w:pPr>
            <w:r w:rsidRPr="00F628AE">
              <w:rPr>
                <w:rFonts w:cs="宋体" w:hint="eastAsia"/>
                <w:szCs w:val="21"/>
              </w:rPr>
              <w:t>基金管理人可以根据相关法律法规以及本基金合同的规定决定</w:t>
            </w:r>
            <w:r w:rsidRPr="00F628AE">
              <w:rPr>
                <w:rFonts w:cs="宋体" w:hint="eastAsia"/>
                <w:b/>
                <w:strike/>
                <w:szCs w:val="21"/>
              </w:rPr>
              <w:t>开办本基金与基金管理人管理的其他基金之间的转换业务</w:t>
            </w:r>
            <w:r w:rsidRPr="00F628AE">
              <w:rPr>
                <w:rFonts w:cs="宋体" w:hint="eastAsia"/>
                <w:szCs w:val="21"/>
              </w:rPr>
              <w:t>，基金转换可以收取一定的转换费，相关规则由基金管理人届时根据相关法律法规及本基金合同的规定制定并公告，并提前告知基金托管人与相关机构。</w:t>
            </w:r>
          </w:p>
          <w:p w:rsidR="00456A8B" w:rsidRDefault="00456A8B" w:rsidP="008F3CD6">
            <w:pPr>
              <w:snapToGrid w:val="0"/>
              <w:rPr>
                <w:rFonts w:cs="宋体"/>
                <w:szCs w:val="21"/>
              </w:rPr>
            </w:pPr>
          </w:p>
        </w:tc>
        <w:tc>
          <w:tcPr>
            <w:tcW w:w="2098" w:type="pct"/>
          </w:tcPr>
          <w:p w:rsidR="00456A8B" w:rsidRPr="00F628AE" w:rsidRDefault="00456A8B" w:rsidP="008F3CD6">
            <w:pPr>
              <w:snapToGrid w:val="0"/>
              <w:rPr>
                <w:rFonts w:cs="宋体"/>
                <w:szCs w:val="21"/>
              </w:rPr>
            </w:pPr>
            <w:r w:rsidRPr="00F628AE">
              <w:rPr>
                <w:rFonts w:cs="宋体" w:hint="eastAsia"/>
                <w:szCs w:val="21"/>
              </w:rPr>
              <w:t>十一、基金转换</w:t>
            </w:r>
          </w:p>
          <w:p w:rsidR="00456A8B" w:rsidRDefault="00456A8B" w:rsidP="008F3CD6">
            <w:pPr>
              <w:snapToGrid w:val="0"/>
              <w:rPr>
                <w:rFonts w:cs="宋体"/>
                <w:szCs w:val="21"/>
              </w:rPr>
            </w:pPr>
            <w:r w:rsidRPr="00F628AE">
              <w:rPr>
                <w:rFonts w:cs="宋体" w:hint="eastAsia"/>
                <w:szCs w:val="21"/>
              </w:rPr>
              <w:t>基金管理人可以根据相关法律法规以及本基金合同的规定决定</w:t>
            </w:r>
            <w:r w:rsidRPr="00F628AE">
              <w:rPr>
                <w:rFonts w:cs="宋体" w:hint="eastAsia"/>
                <w:b/>
                <w:szCs w:val="21"/>
                <w:u w:val="single"/>
              </w:rPr>
              <w:t>开办本基金的基金转换业务</w:t>
            </w:r>
            <w:r w:rsidRPr="00F628AE">
              <w:rPr>
                <w:rFonts w:cs="宋体" w:hint="eastAsia"/>
                <w:szCs w:val="21"/>
              </w:rPr>
              <w:t>，基金转换可以收取一定的转换费，相关规则由基金管理人届时根据相关法律法规及本基金合同的规定制定并公告，并提前告知基金托管人与相关机构。</w:t>
            </w:r>
          </w:p>
        </w:tc>
      </w:tr>
      <w:tr w:rsidR="00456A8B" w:rsidTr="008F3CD6">
        <w:trPr>
          <w:trHeight w:val="1459"/>
        </w:trPr>
        <w:tc>
          <w:tcPr>
            <w:tcW w:w="595" w:type="pct"/>
            <w:vAlign w:val="center"/>
          </w:tcPr>
          <w:p w:rsidR="00456A8B" w:rsidRDefault="00456A8B" w:rsidP="008F3CD6">
            <w:pPr>
              <w:snapToGrid w:val="0"/>
              <w:jc w:val="center"/>
              <w:rPr>
                <w:rFonts w:cs="宋体"/>
                <w:b/>
                <w:szCs w:val="21"/>
              </w:rPr>
            </w:pPr>
            <w:r w:rsidRPr="002E7608">
              <w:rPr>
                <w:rFonts w:cs="宋体" w:hint="eastAsia"/>
                <w:b/>
                <w:szCs w:val="21"/>
              </w:rPr>
              <w:t>第七部分</w:t>
            </w:r>
            <w:r w:rsidRPr="002E7608">
              <w:rPr>
                <w:rFonts w:cs="宋体" w:hint="eastAsia"/>
                <w:b/>
                <w:szCs w:val="21"/>
              </w:rPr>
              <w:t xml:space="preserve">  </w:t>
            </w:r>
            <w:r w:rsidRPr="002E7608">
              <w:rPr>
                <w:rFonts w:cs="宋体" w:hint="eastAsia"/>
                <w:b/>
                <w:szCs w:val="21"/>
              </w:rPr>
              <w:t>基金合同当事人及权利义务</w:t>
            </w:r>
          </w:p>
        </w:tc>
        <w:tc>
          <w:tcPr>
            <w:tcW w:w="2307" w:type="pct"/>
          </w:tcPr>
          <w:p w:rsidR="00456A8B" w:rsidRPr="00906B76" w:rsidRDefault="00456A8B" w:rsidP="008F3CD6">
            <w:pPr>
              <w:snapToGrid w:val="0"/>
              <w:rPr>
                <w:rFonts w:cs="宋体"/>
                <w:szCs w:val="21"/>
              </w:rPr>
            </w:pPr>
            <w:r>
              <w:rPr>
                <w:rFonts w:cs="宋体" w:hint="eastAsia"/>
                <w:szCs w:val="21"/>
              </w:rPr>
              <w:t>一、</w:t>
            </w:r>
            <w:r w:rsidRPr="00906B76">
              <w:rPr>
                <w:rFonts w:cs="宋体" w:hint="eastAsia"/>
                <w:szCs w:val="21"/>
              </w:rPr>
              <w:t>基金管理人</w:t>
            </w:r>
          </w:p>
          <w:p w:rsidR="00456A8B" w:rsidRDefault="00456A8B" w:rsidP="008F3CD6">
            <w:pPr>
              <w:snapToGrid w:val="0"/>
              <w:rPr>
                <w:rFonts w:cs="宋体"/>
                <w:szCs w:val="21"/>
              </w:rPr>
            </w:pPr>
            <w:r w:rsidRPr="002E7608">
              <w:rPr>
                <w:rFonts w:cs="宋体" w:hint="eastAsia"/>
                <w:szCs w:val="21"/>
              </w:rPr>
              <w:t>（一）</w:t>
            </w:r>
            <w:r w:rsidRPr="002E7608">
              <w:rPr>
                <w:rFonts w:cs="宋体" w:hint="eastAsia"/>
                <w:szCs w:val="21"/>
              </w:rPr>
              <w:tab/>
            </w:r>
            <w:r w:rsidRPr="002E7608">
              <w:rPr>
                <w:rFonts w:cs="宋体" w:hint="eastAsia"/>
                <w:szCs w:val="21"/>
              </w:rPr>
              <w:t>基金管理人简况</w:t>
            </w:r>
          </w:p>
          <w:p w:rsidR="00456A8B" w:rsidRPr="00906B76" w:rsidRDefault="00456A8B" w:rsidP="008F3CD6">
            <w:pPr>
              <w:snapToGrid w:val="0"/>
              <w:rPr>
                <w:rFonts w:cs="宋体"/>
                <w:szCs w:val="21"/>
              </w:rPr>
            </w:pPr>
            <w:r w:rsidRPr="00906B76">
              <w:rPr>
                <w:rFonts w:cs="宋体" w:hint="eastAsia"/>
                <w:szCs w:val="21"/>
              </w:rPr>
              <w:t>名称：嘉实基金管理有限公司</w:t>
            </w:r>
          </w:p>
          <w:p w:rsidR="00456A8B" w:rsidRDefault="00456A8B" w:rsidP="008F3CD6">
            <w:pPr>
              <w:snapToGrid w:val="0"/>
              <w:rPr>
                <w:rFonts w:cs="宋体"/>
                <w:szCs w:val="21"/>
              </w:rPr>
            </w:pPr>
            <w:r>
              <w:rPr>
                <w:rFonts w:cs="宋体"/>
                <w:szCs w:val="21"/>
              </w:rPr>
              <w:t>……</w:t>
            </w:r>
          </w:p>
          <w:p w:rsidR="00456A8B" w:rsidRDefault="00456A8B" w:rsidP="008F3CD6">
            <w:pPr>
              <w:snapToGrid w:val="0"/>
              <w:rPr>
                <w:rFonts w:cs="宋体"/>
                <w:szCs w:val="21"/>
              </w:rPr>
            </w:pPr>
            <w:r w:rsidRPr="000D060F">
              <w:rPr>
                <w:rFonts w:cs="宋体" w:hint="eastAsia"/>
                <w:szCs w:val="21"/>
              </w:rPr>
              <w:t>组织形式：有限责任公司（</w:t>
            </w:r>
            <w:r w:rsidRPr="000D060F">
              <w:rPr>
                <w:rFonts w:cs="宋体" w:hint="eastAsia"/>
                <w:b/>
                <w:strike/>
                <w:szCs w:val="21"/>
              </w:rPr>
              <w:t>中外合资</w:t>
            </w:r>
            <w:r w:rsidRPr="000D060F">
              <w:rPr>
                <w:rFonts w:cs="宋体" w:hint="eastAsia"/>
                <w:szCs w:val="21"/>
              </w:rPr>
              <w:t>）</w:t>
            </w:r>
          </w:p>
          <w:p w:rsidR="00456A8B" w:rsidRDefault="00456A8B" w:rsidP="008F3CD6">
            <w:pPr>
              <w:snapToGrid w:val="0"/>
              <w:rPr>
                <w:rFonts w:cs="宋体"/>
                <w:szCs w:val="21"/>
              </w:rPr>
            </w:pPr>
            <w:r>
              <w:rPr>
                <w:rFonts w:cs="宋体"/>
                <w:szCs w:val="21"/>
              </w:rPr>
              <w:t>……</w:t>
            </w:r>
          </w:p>
          <w:p w:rsidR="00456A8B" w:rsidRPr="00860B33" w:rsidRDefault="00456A8B" w:rsidP="008F3CD6">
            <w:pPr>
              <w:snapToGrid w:val="0"/>
              <w:rPr>
                <w:rFonts w:cs="宋体"/>
                <w:szCs w:val="21"/>
              </w:rPr>
            </w:pPr>
          </w:p>
        </w:tc>
        <w:tc>
          <w:tcPr>
            <w:tcW w:w="2098" w:type="pct"/>
          </w:tcPr>
          <w:p w:rsidR="00456A8B" w:rsidRPr="00906B76" w:rsidRDefault="00456A8B" w:rsidP="008F3CD6">
            <w:pPr>
              <w:snapToGrid w:val="0"/>
              <w:rPr>
                <w:rFonts w:cs="宋体"/>
                <w:szCs w:val="21"/>
              </w:rPr>
            </w:pPr>
            <w:r>
              <w:rPr>
                <w:rFonts w:cs="宋体" w:hint="eastAsia"/>
                <w:szCs w:val="21"/>
              </w:rPr>
              <w:t>一、</w:t>
            </w:r>
            <w:r w:rsidRPr="00906B76">
              <w:rPr>
                <w:rFonts w:cs="宋体" w:hint="eastAsia"/>
                <w:szCs w:val="21"/>
              </w:rPr>
              <w:t>基金管理人</w:t>
            </w:r>
          </w:p>
          <w:p w:rsidR="00456A8B" w:rsidRDefault="00456A8B" w:rsidP="008F3CD6">
            <w:pPr>
              <w:snapToGrid w:val="0"/>
              <w:rPr>
                <w:rFonts w:cs="宋体"/>
                <w:szCs w:val="21"/>
              </w:rPr>
            </w:pPr>
            <w:r w:rsidRPr="002E7608">
              <w:rPr>
                <w:rFonts w:cs="宋体" w:hint="eastAsia"/>
                <w:szCs w:val="21"/>
              </w:rPr>
              <w:t>（一）</w:t>
            </w:r>
            <w:r w:rsidRPr="002E7608">
              <w:rPr>
                <w:rFonts w:cs="宋体" w:hint="eastAsia"/>
                <w:szCs w:val="21"/>
              </w:rPr>
              <w:tab/>
            </w:r>
            <w:r w:rsidRPr="002E7608">
              <w:rPr>
                <w:rFonts w:cs="宋体" w:hint="eastAsia"/>
                <w:szCs w:val="21"/>
              </w:rPr>
              <w:t>基金管理人简况</w:t>
            </w:r>
          </w:p>
          <w:p w:rsidR="00456A8B" w:rsidRPr="00906B76" w:rsidRDefault="00456A8B" w:rsidP="008F3CD6">
            <w:pPr>
              <w:snapToGrid w:val="0"/>
              <w:rPr>
                <w:rFonts w:cs="宋体"/>
                <w:szCs w:val="21"/>
              </w:rPr>
            </w:pPr>
            <w:r w:rsidRPr="00906B76">
              <w:rPr>
                <w:rFonts w:cs="宋体" w:hint="eastAsia"/>
                <w:szCs w:val="21"/>
              </w:rPr>
              <w:t>名称：嘉实基金管理有限公司</w:t>
            </w:r>
          </w:p>
          <w:p w:rsidR="00456A8B" w:rsidRDefault="00456A8B" w:rsidP="008F3CD6">
            <w:pPr>
              <w:snapToGrid w:val="0"/>
              <w:rPr>
                <w:rFonts w:cs="宋体"/>
                <w:szCs w:val="21"/>
              </w:rPr>
            </w:pPr>
            <w:r w:rsidRPr="00906B76">
              <w:rPr>
                <w:rFonts w:cs="宋体"/>
                <w:szCs w:val="21"/>
              </w:rPr>
              <w:t>……</w:t>
            </w:r>
          </w:p>
          <w:p w:rsidR="00456A8B" w:rsidRDefault="00456A8B" w:rsidP="008F3CD6">
            <w:pPr>
              <w:snapToGrid w:val="0"/>
              <w:rPr>
                <w:rFonts w:cs="宋体"/>
                <w:szCs w:val="21"/>
              </w:rPr>
            </w:pPr>
            <w:r w:rsidRPr="000D060F">
              <w:rPr>
                <w:rFonts w:cs="宋体" w:hint="eastAsia"/>
                <w:szCs w:val="21"/>
              </w:rPr>
              <w:t>组织形式：有限责任公司（</w:t>
            </w:r>
            <w:r w:rsidRPr="000D060F">
              <w:rPr>
                <w:rFonts w:cs="宋体" w:hint="eastAsia"/>
                <w:b/>
                <w:szCs w:val="21"/>
                <w:u w:val="single"/>
              </w:rPr>
              <w:t>外商投资、非独资</w:t>
            </w:r>
            <w:r w:rsidRPr="000D060F">
              <w:rPr>
                <w:rFonts w:cs="宋体" w:hint="eastAsia"/>
                <w:szCs w:val="21"/>
              </w:rPr>
              <w:t>）</w:t>
            </w:r>
          </w:p>
          <w:p w:rsidR="00456A8B" w:rsidRDefault="00456A8B" w:rsidP="008F3CD6">
            <w:pPr>
              <w:snapToGrid w:val="0"/>
              <w:rPr>
                <w:rFonts w:cs="宋体"/>
                <w:szCs w:val="21"/>
              </w:rPr>
            </w:pPr>
            <w:r>
              <w:rPr>
                <w:rFonts w:cs="宋体"/>
                <w:szCs w:val="21"/>
              </w:rPr>
              <w:t>……</w:t>
            </w:r>
          </w:p>
          <w:p w:rsidR="00456A8B" w:rsidRPr="00860B33" w:rsidRDefault="00456A8B" w:rsidP="008F3CD6">
            <w:pPr>
              <w:snapToGrid w:val="0"/>
              <w:rPr>
                <w:rFonts w:cs="宋体"/>
                <w:szCs w:val="21"/>
              </w:rPr>
            </w:pPr>
          </w:p>
        </w:tc>
      </w:tr>
      <w:tr w:rsidR="00456A8B" w:rsidTr="008F3CD6">
        <w:trPr>
          <w:trHeight w:val="1459"/>
        </w:trPr>
        <w:tc>
          <w:tcPr>
            <w:tcW w:w="595" w:type="pct"/>
            <w:vAlign w:val="center"/>
          </w:tcPr>
          <w:p w:rsidR="00456A8B" w:rsidRDefault="00456A8B" w:rsidP="008F3CD6">
            <w:pPr>
              <w:snapToGrid w:val="0"/>
              <w:jc w:val="center"/>
              <w:rPr>
                <w:rFonts w:cs="宋体"/>
                <w:b/>
                <w:szCs w:val="21"/>
              </w:rPr>
            </w:pPr>
          </w:p>
          <w:p w:rsidR="00456A8B" w:rsidRPr="00A91AC6" w:rsidRDefault="00456A8B" w:rsidP="008F3CD6">
            <w:pPr>
              <w:snapToGrid w:val="0"/>
              <w:jc w:val="center"/>
              <w:rPr>
                <w:rFonts w:cs="宋体"/>
                <w:b/>
                <w:szCs w:val="21"/>
              </w:rPr>
            </w:pPr>
            <w:r w:rsidRPr="002E7608">
              <w:rPr>
                <w:rFonts w:cs="宋体" w:hint="eastAsia"/>
                <w:b/>
                <w:szCs w:val="21"/>
              </w:rPr>
              <w:t>第七部分</w:t>
            </w:r>
            <w:r w:rsidRPr="002E7608">
              <w:rPr>
                <w:rFonts w:cs="宋体" w:hint="eastAsia"/>
                <w:b/>
                <w:szCs w:val="21"/>
              </w:rPr>
              <w:t xml:space="preserve">  </w:t>
            </w:r>
            <w:r w:rsidRPr="002E7608">
              <w:rPr>
                <w:rFonts w:cs="宋体" w:hint="eastAsia"/>
                <w:b/>
                <w:szCs w:val="21"/>
              </w:rPr>
              <w:t>基金合同当事人及权利义务</w:t>
            </w:r>
          </w:p>
        </w:tc>
        <w:tc>
          <w:tcPr>
            <w:tcW w:w="2307" w:type="pct"/>
          </w:tcPr>
          <w:p w:rsidR="00456A8B" w:rsidRDefault="00456A8B" w:rsidP="008F3CD6">
            <w:pPr>
              <w:snapToGrid w:val="0"/>
              <w:rPr>
                <w:rFonts w:cs="宋体"/>
                <w:szCs w:val="21"/>
              </w:rPr>
            </w:pPr>
            <w:r>
              <w:rPr>
                <w:rFonts w:cs="宋体" w:hint="eastAsia"/>
                <w:szCs w:val="21"/>
              </w:rPr>
              <w:t>二、</w:t>
            </w:r>
            <w:r w:rsidRPr="00860B33">
              <w:rPr>
                <w:rFonts w:cs="宋体" w:hint="eastAsia"/>
                <w:szCs w:val="21"/>
              </w:rPr>
              <w:t>基金托管人</w:t>
            </w:r>
          </w:p>
          <w:p w:rsidR="00456A8B" w:rsidRDefault="00456A8B" w:rsidP="008F3CD6">
            <w:pPr>
              <w:snapToGrid w:val="0"/>
              <w:rPr>
                <w:rFonts w:cs="宋体"/>
                <w:szCs w:val="21"/>
              </w:rPr>
            </w:pPr>
            <w:r w:rsidRPr="002E7608">
              <w:rPr>
                <w:rFonts w:cs="宋体" w:hint="eastAsia"/>
                <w:szCs w:val="21"/>
              </w:rPr>
              <w:t>（一）基金托管人简况</w:t>
            </w:r>
          </w:p>
          <w:p w:rsidR="00456A8B" w:rsidRDefault="00456A8B" w:rsidP="008F3CD6">
            <w:pPr>
              <w:snapToGrid w:val="0"/>
              <w:rPr>
                <w:rFonts w:cs="宋体"/>
                <w:szCs w:val="21"/>
              </w:rPr>
            </w:pPr>
            <w:r>
              <w:rPr>
                <w:rFonts w:cs="宋体"/>
                <w:szCs w:val="21"/>
              </w:rPr>
              <w:t>……</w:t>
            </w:r>
          </w:p>
          <w:p w:rsidR="00456A8B" w:rsidRPr="002E7608" w:rsidRDefault="00456A8B" w:rsidP="008F3CD6">
            <w:pPr>
              <w:snapToGrid w:val="0"/>
              <w:rPr>
                <w:rFonts w:ascii="宋体" w:hAnsi="宋体"/>
                <w:strike/>
                <w:kern w:val="0"/>
                <w:szCs w:val="21"/>
              </w:rPr>
            </w:pPr>
            <w:r>
              <w:rPr>
                <w:rFonts w:ascii="宋体" w:hAnsi="宋体" w:hint="eastAsia"/>
                <w:kern w:val="0"/>
                <w:szCs w:val="21"/>
              </w:rPr>
              <w:t>法定代表人：</w:t>
            </w:r>
            <w:r w:rsidRPr="00456A8B">
              <w:rPr>
                <w:rFonts w:ascii="宋体" w:hAnsi="宋体" w:hint="eastAsia"/>
                <w:b/>
                <w:strike/>
                <w:kern w:val="0"/>
                <w:szCs w:val="21"/>
              </w:rPr>
              <w:t>田国立</w:t>
            </w:r>
          </w:p>
          <w:p w:rsidR="00456A8B" w:rsidRPr="00860B33" w:rsidRDefault="00456A8B" w:rsidP="008F3CD6">
            <w:pPr>
              <w:snapToGrid w:val="0"/>
              <w:rPr>
                <w:rFonts w:ascii="宋体" w:hAnsi="宋体"/>
                <w:kern w:val="0"/>
                <w:szCs w:val="21"/>
              </w:rPr>
            </w:pPr>
            <w:r w:rsidRPr="00860B33">
              <w:rPr>
                <w:rFonts w:cs="宋体"/>
                <w:szCs w:val="21"/>
              </w:rPr>
              <w:t>……</w:t>
            </w:r>
          </w:p>
        </w:tc>
        <w:tc>
          <w:tcPr>
            <w:tcW w:w="2098" w:type="pct"/>
          </w:tcPr>
          <w:p w:rsidR="00456A8B" w:rsidRDefault="00456A8B" w:rsidP="008F3CD6">
            <w:pPr>
              <w:snapToGrid w:val="0"/>
              <w:rPr>
                <w:rFonts w:cs="宋体"/>
                <w:szCs w:val="21"/>
              </w:rPr>
            </w:pPr>
            <w:r>
              <w:rPr>
                <w:rFonts w:cs="宋体" w:hint="eastAsia"/>
                <w:szCs w:val="21"/>
              </w:rPr>
              <w:t>二、</w:t>
            </w:r>
            <w:r w:rsidRPr="00860B33">
              <w:rPr>
                <w:rFonts w:cs="宋体" w:hint="eastAsia"/>
                <w:szCs w:val="21"/>
              </w:rPr>
              <w:t>基金托管人</w:t>
            </w:r>
          </w:p>
          <w:p w:rsidR="00456A8B" w:rsidRDefault="00456A8B" w:rsidP="008F3CD6">
            <w:pPr>
              <w:snapToGrid w:val="0"/>
              <w:rPr>
                <w:rFonts w:cs="宋体"/>
                <w:szCs w:val="21"/>
              </w:rPr>
            </w:pPr>
            <w:r w:rsidRPr="002E7608">
              <w:rPr>
                <w:rFonts w:cs="宋体" w:hint="eastAsia"/>
                <w:szCs w:val="21"/>
              </w:rPr>
              <w:t>（一）基金托管人简况</w:t>
            </w:r>
          </w:p>
          <w:p w:rsidR="00456A8B" w:rsidRDefault="00456A8B" w:rsidP="008F3CD6">
            <w:pPr>
              <w:snapToGrid w:val="0"/>
              <w:rPr>
                <w:rFonts w:cs="宋体"/>
                <w:szCs w:val="21"/>
              </w:rPr>
            </w:pPr>
            <w:r>
              <w:rPr>
                <w:rFonts w:cs="宋体"/>
                <w:szCs w:val="21"/>
              </w:rPr>
              <w:t>……</w:t>
            </w:r>
          </w:p>
          <w:p w:rsidR="00456A8B" w:rsidRPr="00860B33" w:rsidRDefault="00456A8B" w:rsidP="008F3CD6">
            <w:pPr>
              <w:snapToGrid w:val="0"/>
              <w:rPr>
                <w:rFonts w:ascii="宋体" w:hAnsi="宋体"/>
                <w:b/>
                <w:kern w:val="0"/>
                <w:szCs w:val="21"/>
                <w:u w:val="single"/>
              </w:rPr>
            </w:pPr>
            <w:r>
              <w:rPr>
                <w:rFonts w:ascii="宋体" w:hAnsi="宋体" w:hint="eastAsia"/>
                <w:kern w:val="0"/>
                <w:szCs w:val="21"/>
              </w:rPr>
              <w:t>法定代表人：</w:t>
            </w:r>
            <w:r w:rsidRPr="002E7608">
              <w:rPr>
                <w:rFonts w:ascii="宋体" w:hAnsi="宋体" w:hint="eastAsia"/>
                <w:b/>
                <w:kern w:val="0"/>
                <w:szCs w:val="21"/>
                <w:u w:val="single"/>
              </w:rPr>
              <w:t>张金良</w:t>
            </w:r>
          </w:p>
          <w:p w:rsidR="00456A8B" w:rsidRPr="00860B33" w:rsidRDefault="00456A8B" w:rsidP="008F3CD6">
            <w:pPr>
              <w:snapToGrid w:val="0"/>
              <w:rPr>
                <w:rFonts w:ascii="宋体" w:hAnsi="宋体"/>
                <w:kern w:val="0"/>
                <w:szCs w:val="21"/>
              </w:rPr>
            </w:pPr>
            <w:r w:rsidRPr="00860B33">
              <w:rPr>
                <w:rFonts w:cs="宋体"/>
                <w:szCs w:val="21"/>
              </w:rPr>
              <w:t>……</w:t>
            </w:r>
          </w:p>
          <w:p w:rsidR="00456A8B" w:rsidRPr="005F52AB" w:rsidRDefault="00456A8B" w:rsidP="008F3CD6">
            <w:pPr>
              <w:snapToGrid w:val="0"/>
              <w:rPr>
                <w:rFonts w:cs="宋体"/>
                <w:szCs w:val="21"/>
              </w:rPr>
            </w:pPr>
          </w:p>
        </w:tc>
      </w:tr>
      <w:tr w:rsidR="00456A8B" w:rsidTr="00C87375">
        <w:trPr>
          <w:trHeight w:val="446"/>
        </w:trPr>
        <w:tc>
          <w:tcPr>
            <w:tcW w:w="5000" w:type="pct"/>
            <w:gridSpan w:val="3"/>
            <w:vAlign w:val="center"/>
          </w:tcPr>
          <w:p w:rsidR="00456A8B" w:rsidRPr="00550EF5" w:rsidRDefault="00D3716B" w:rsidP="008F3CD6">
            <w:pPr>
              <w:snapToGrid w:val="0"/>
              <w:rPr>
                <w:rFonts w:cs="宋体"/>
                <w:b/>
                <w:szCs w:val="21"/>
              </w:rPr>
            </w:pPr>
            <w:r w:rsidRPr="00550EF5">
              <w:rPr>
                <w:rFonts w:cs="宋体" w:hint="eastAsia"/>
                <w:b/>
                <w:szCs w:val="21"/>
              </w:rPr>
              <w:t>注：</w:t>
            </w:r>
            <w:r w:rsidR="00456A8B" w:rsidRPr="00550EF5">
              <w:rPr>
                <w:rFonts w:cs="宋体" w:hint="eastAsia"/>
                <w:b/>
                <w:szCs w:val="21"/>
              </w:rPr>
              <w:t>托管协议中涉及上述内容的</w:t>
            </w:r>
            <w:r w:rsidRPr="00550EF5">
              <w:rPr>
                <w:rFonts w:cs="宋体" w:hint="eastAsia"/>
                <w:b/>
                <w:szCs w:val="21"/>
              </w:rPr>
              <w:t>部分</w:t>
            </w:r>
            <w:r w:rsidR="00456A8B" w:rsidRPr="00550EF5">
              <w:rPr>
                <w:rFonts w:cs="宋体" w:hint="eastAsia"/>
                <w:b/>
                <w:szCs w:val="21"/>
              </w:rPr>
              <w:t>同步修订</w:t>
            </w:r>
          </w:p>
        </w:tc>
      </w:tr>
    </w:tbl>
    <w:p w:rsidR="00456A8B" w:rsidRPr="00456A8B" w:rsidRDefault="00456A8B" w:rsidP="001C2158">
      <w:pPr>
        <w:snapToGrid w:val="0"/>
        <w:spacing w:line="360" w:lineRule="auto"/>
        <w:rPr>
          <w:rFonts w:ascii="宋体" w:hAnsi="宋体"/>
          <w:szCs w:val="21"/>
        </w:rPr>
      </w:pPr>
    </w:p>
    <w:p w:rsidR="00550EF5" w:rsidRDefault="00550EF5">
      <w:pPr>
        <w:widowControl/>
        <w:jc w:val="left"/>
        <w:rPr>
          <w:rFonts w:ascii="宋体" w:hAnsi="宋体"/>
          <w:szCs w:val="21"/>
        </w:rPr>
      </w:pPr>
      <w:r>
        <w:rPr>
          <w:rFonts w:ascii="宋体" w:hAnsi="宋体"/>
          <w:szCs w:val="21"/>
        </w:rPr>
        <w:br w:type="page"/>
      </w:r>
    </w:p>
    <w:p w:rsidR="0074364E" w:rsidRDefault="0074364E" w:rsidP="0074364E">
      <w:pPr>
        <w:snapToGrid w:val="0"/>
        <w:spacing w:line="360" w:lineRule="auto"/>
        <w:rPr>
          <w:rFonts w:ascii="宋体" w:hAnsi="宋体"/>
          <w:szCs w:val="21"/>
        </w:rPr>
      </w:pPr>
      <w:r w:rsidRPr="001C2158">
        <w:rPr>
          <w:rFonts w:ascii="宋体" w:hAnsi="宋体" w:hint="eastAsia"/>
          <w:szCs w:val="21"/>
        </w:rPr>
        <w:t>附</w:t>
      </w:r>
      <w:r>
        <w:rPr>
          <w:rFonts w:ascii="宋体" w:hAnsi="宋体"/>
          <w:szCs w:val="21"/>
        </w:rPr>
        <w:t>2</w:t>
      </w:r>
      <w:r w:rsidRPr="001C2158">
        <w:rPr>
          <w:rFonts w:ascii="宋体" w:hAnsi="宋体" w:hint="eastAsia"/>
          <w:szCs w:val="21"/>
        </w:rPr>
        <w:t>：</w:t>
      </w:r>
      <w:r w:rsidR="00AB72EA" w:rsidRPr="00AB72EA">
        <w:rPr>
          <w:rFonts w:asciiTheme="minorEastAsia" w:eastAsiaTheme="minorEastAsia" w:hAnsiTheme="minorEastAsia" w:cs="Arial" w:hint="eastAsia"/>
          <w:szCs w:val="21"/>
        </w:rPr>
        <w:t>嘉实价值优势混合型证券投资基金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p>
    <w:tbl>
      <w:tblPr>
        <w:tblpPr w:leftFromText="180" w:rightFromText="180" w:vertAnchor="text" w:horzAnchor="page" w:tblpXSpec="center" w:tblpY="29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885C1B" w:rsidTr="00B12DD0">
        <w:tc>
          <w:tcPr>
            <w:tcW w:w="394" w:type="pct"/>
            <w:vAlign w:val="center"/>
          </w:tcPr>
          <w:p w:rsidR="00885C1B" w:rsidRDefault="00885C1B" w:rsidP="00B12DD0">
            <w:pPr>
              <w:snapToGrid w:val="0"/>
              <w:jc w:val="center"/>
              <w:rPr>
                <w:rFonts w:cs="宋体"/>
                <w:b/>
                <w:szCs w:val="21"/>
              </w:rPr>
            </w:pPr>
            <w:r>
              <w:rPr>
                <w:rFonts w:cs="宋体" w:hint="eastAsia"/>
                <w:b/>
                <w:szCs w:val="21"/>
              </w:rPr>
              <w:t>章节</w:t>
            </w:r>
          </w:p>
        </w:tc>
        <w:tc>
          <w:tcPr>
            <w:tcW w:w="2303" w:type="pct"/>
          </w:tcPr>
          <w:p w:rsidR="00885C1B" w:rsidRDefault="00885C1B" w:rsidP="00B12DD0">
            <w:pPr>
              <w:snapToGrid w:val="0"/>
              <w:jc w:val="center"/>
              <w:rPr>
                <w:rFonts w:cs="宋体"/>
                <w:b/>
                <w:szCs w:val="21"/>
              </w:rPr>
            </w:pPr>
            <w:r>
              <w:rPr>
                <w:rFonts w:cs="宋体" w:hint="eastAsia"/>
                <w:b/>
                <w:szCs w:val="21"/>
              </w:rPr>
              <w:t>修改前</w:t>
            </w:r>
          </w:p>
        </w:tc>
        <w:tc>
          <w:tcPr>
            <w:tcW w:w="2303" w:type="pct"/>
          </w:tcPr>
          <w:p w:rsidR="00885C1B" w:rsidRDefault="00885C1B" w:rsidP="00B12DD0">
            <w:pPr>
              <w:snapToGrid w:val="0"/>
              <w:jc w:val="center"/>
              <w:rPr>
                <w:rFonts w:cs="宋体"/>
                <w:b/>
                <w:szCs w:val="21"/>
              </w:rPr>
            </w:pPr>
            <w:r>
              <w:rPr>
                <w:rFonts w:cs="宋体" w:hint="eastAsia"/>
                <w:b/>
                <w:szCs w:val="21"/>
              </w:rPr>
              <w:t>修改后</w:t>
            </w:r>
          </w:p>
        </w:tc>
      </w:tr>
      <w:tr w:rsidR="00885C1B" w:rsidTr="00B12DD0">
        <w:tc>
          <w:tcPr>
            <w:tcW w:w="394" w:type="pct"/>
            <w:vAlign w:val="center"/>
          </w:tcPr>
          <w:p w:rsidR="00885C1B" w:rsidRPr="005040B5" w:rsidRDefault="00885C1B" w:rsidP="00B12DD0">
            <w:pPr>
              <w:snapToGrid w:val="0"/>
              <w:jc w:val="center"/>
              <w:rPr>
                <w:rFonts w:cs="宋体"/>
                <w:b/>
                <w:szCs w:val="21"/>
              </w:rPr>
            </w:pPr>
            <w:r>
              <w:rPr>
                <w:rFonts w:cs="宋体" w:hint="eastAsia"/>
                <w:b/>
                <w:szCs w:val="21"/>
              </w:rPr>
              <w:t>二、</w:t>
            </w:r>
            <w:r w:rsidRPr="005040B5">
              <w:rPr>
                <w:rFonts w:cs="宋体"/>
                <w:b/>
                <w:szCs w:val="21"/>
              </w:rPr>
              <w:t xml:space="preserve">  </w:t>
            </w:r>
            <w:r w:rsidRPr="005040B5">
              <w:rPr>
                <w:rFonts w:cs="宋体"/>
                <w:b/>
                <w:szCs w:val="21"/>
              </w:rPr>
              <w:t>释义</w:t>
            </w:r>
          </w:p>
        </w:tc>
        <w:tc>
          <w:tcPr>
            <w:tcW w:w="2303" w:type="pct"/>
          </w:tcPr>
          <w:p w:rsidR="00885C1B" w:rsidRDefault="00885C1B" w:rsidP="00B12DD0">
            <w:pPr>
              <w:snapToGrid w:val="0"/>
              <w:rPr>
                <w:rFonts w:cs="宋体"/>
                <w:szCs w:val="21"/>
              </w:rPr>
            </w:pPr>
            <w:r>
              <w:rPr>
                <w:rFonts w:cs="宋体"/>
                <w:szCs w:val="21"/>
              </w:rPr>
              <w:t>基金转换</w:t>
            </w:r>
            <w:r>
              <w:rPr>
                <w:rFonts w:cs="宋体" w:hint="eastAsia"/>
                <w:szCs w:val="21"/>
              </w:rPr>
              <w:t xml:space="preserve"> </w:t>
            </w:r>
            <w:r w:rsidRPr="008575B3">
              <w:rPr>
                <w:rFonts w:cs="宋体" w:hint="eastAsia"/>
                <w:szCs w:val="21"/>
              </w:rPr>
              <w:t>指基金份额持有人按基金管理人规定的条件，申请将其持有的基金管理人管理的某一开放式基金的基金份额转换为</w:t>
            </w:r>
            <w:r w:rsidRPr="008575B3">
              <w:rPr>
                <w:rFonts w:cs="宋体" w:hint="eastAsia"/>
                <w:b/>
                <w:strike/>
                <w:szCs w:val="21"/>
              </w:rPr>
              <w:t>基金管理人管理的、且由同一注册登记机构办理注册登记的其他开放式基金的基金份额的行为</w:t>
            </w:r>
          </w:p>
        </w:tc>
        <w:tc>
          <w:tcPr>
            <w:tcW w:w="2303" w:type="pct"/>
          </w:tcPr>
          <w:p w:rsidR="00885C1B" w:rsidRPr="005040B5" w:rsidRDefault="00885C1B" w:rsidP="00B12DD0">
            <w:pPr>
              <w:snapToGrid w:val="0"/>
              <w:rPr>
                <w:rFonts w:cs="宋体"/>
                <w:b/>
                <w:szCs w:val="21"/>
                <w:u w:val="single"/>
              </w:rPr>
            </w:pPr>
            <w:r w:rsidRPr="008575B3">
              <w:rPr>
                <w:rFonts w:cs="宋体" w:hint="eastAsia"/>
                <w:szCs w:val="21"/>
              </w:rPr>
              <w:t>基金转换</w:t>
            </w:r>
            <w:r w:rsidRPr="008575B3">
              <w:rPr>
                <w:rFonts w:cs="宋体" w:hint="eastAsia"/>
                <w:szCs w:val="21"/>
              </w:rPr>
              <w:t xml:space="preserve"> </w:t>
            </w:r>
            <w:r w:rsidRPr="008575B3">
              <w:rPr>
                <w:rFonts w:cs="宋体" w:hint="eastAsia"/>
                <w:szCs w:val="21"/>
              </w:rPr>
              <w:t>指基金份额持有人按基金管理人规定的条件，申请将其持有的基金管理人管理的某一开放式基金的基金份额转换为</w:t>
            </w:r>
            <w:r w:rsidRPr="008575B3">
              <w:rPr>
                <w:rFonts w:cs="宋体" w:hint="eastAsia"/>
                <w:b/>
                <w:szCs w:val="21"/>
                <w:u w:val="single"/>
              </w:rPr>
              <w:t>该基金其他份额（如有）或基金管理人管理的其他基金基金份额的行为</w:t>
            </w:r>
          </w:p>
        </w:tc>
      </w:tr>
      <w:tr w:rsidR="00885C1B" w:rsidTr="00B12DD0">
        <w:tc>
          <w:tcPr>
            <w:tcW w:w="394" w:type="pct"/>
            <w:vAlign w:val="center"/>
          </w:tcPr>
          <w:p w:rsidR="00885C1B" w:rsidRPr="005040B5" w:rsidRDefault="00885C1B" w:rsidP="00B12DD0">
            <w:pPr>
              <w:snapToGrid w:val="0"/>
              <w:jc w:val="center"/>
              <w:rPr>
                <w:rFonts w:cs="宋体"/>
                <w:b/>
                <w:szCs w:val="21"/>
              </w:rPr>
            </w:pPr>
            <w:r w:rsidRPr="005040B5">
              <w:rPr>
                <w:rFonts w:cs="宋体" w:hint="eastAsia"/>
                <w:b/>
                <w:szCs w:val="21"/>
              </w:rPr>
              <w:t>三</w:t>
            </w:r>
            <w:r>
              <w:rPr>
                <w:rFonts w:cs="宋体" w:hint="eastAsia"/>
                <w:b/>
                <w:szCs w:val="21"/>
              </w:rPr>
              <w:t>、</w:t>
            </w:r>
            <w:r w:rsidRPr="005040B5">
              <w:rPr>
                <w:rFonts w:cs="宋体"/>
                <w:b/>
                <w:szCs w:val="21"/>
              </w:rPr>
              <w:t>基金的基本情况</w:t>
            </w:r>
          </w:p>
        </w:tc>
        <w:tc>
          <w:tcPr>
            <w:tcW w:w="2303" w:type="pct"/>
          </w:tcPr>
          <w:p w:rsidR="00885C1B" w:rsidRDefault="00885C1B" w:rsidP="00B12DD0">
            <w:pPr>
              <w:snapToGrid w:val="0"/>
              <w:rPr>
                <w:rFonts w:cs="宋体"/>
                <w:szCs w:val="21"/>
              </w:rPr>
            </w:pPr>
            <w:r w:rsidRPr="00FD7CD4">
              <w:rPr>
                <w:rFonts w:cs="宋体" w:hint="eastAsia"/>
                <w:szCs w:val="21"/>
              </w:rPr>
              <w:t>（八）</w:t>
            </w:r>
            <w:r w:rsidRPr="005040B5">
              <w:rPr>
                <w:rFonts w:cs="宋体" w:hint="eastAsia"/>
                <w:szCs w:val="21"/>
              </w:rPr>
              <w:t>基金份额类别</w:t>
            </w:r>
          </w:p>
          <w:p w:rsidR="00885C1B" w:rsidRDefault="00885C1B" w:rsidP="00B12DD0">
            <w:pPr>
              <w:snapToGrid w:val="0"/>
              <w:rPr>
                <w:rFonts w:cs="宋体"/>
                <w:szCs w:val="21"/>
              </w:rPr>
            </w:pPr>
            <w:r>
              <w:rPr>
                <w:rFonts w:cs="宋体" w:hint="eastAsia"/>
                <w:szCs w:val="21"/>
              </w:rPr>
              <w:t>……</w:t>
            </w:r>
          </w:p>
          <w:p w:rsidR="00885C1B" w:rsidRDefault="00885C1B" w:rsidP="00B12DD0">
            <w:pPr>
              <w:snapToGrid w:val="0"/>
              <w:rPr>
                <w:rFonts w:cs="宋体"/>
                <w:szCs w:val="21"/>
              </w:rPr>
            </w:pPr>
            <w:r w:rsidRPr="00FD7CD4">
              <w:rPr>
                <w:rFonts w:cs="宋体" w:hint="eastAsia"/>
                <w:szCs w:val="21"/>
              </w:rPr>
              <w:t>投资人在申购基金份额时可自行选择申购的基金份额类别</w:t>
            </w:r>
            <w:r w:rsidRPr="00ED11F5">
              <w:rPr>
                <w:rFonts w:cs="宋体"/>
                <w:szCs w:val="21"/>
              </w:rPr>
              <w:t>。</w:t>
            </w:r>
            <w:r w:rsidRPr="00504BCE">
              <w:rPr>
                <w:rFonts w:cs="宋体" w:hint="eastAsia"/>
                <w:b/>
                <w:strike/>
                <w:szCs w:val="21"/>
              </w:rPr>
              <w:t>本基金不同基金份额类别之间不得相互转换。</w:t>
            </w:r>
          </w:p>
        </w:tc>
        <w:tc>
          <w:tcPr>
            <w:tcW w:w="2303" w:type="pct"/>
          </w:tcPr>
          <w:p w:rsidR="00885C1B" w:rsidRPr="00ED11F5" w:rsidRDefault="00885C1B" w:rsidP="00B12DD0">
            <w:pPr>
              <w:snapToGrid w:val="0"/>
              <w:rPr>
                <w:rFonts w:cs="宋体"/>
                <w:szCs w:val="21"/>
              </w:rPr>
            </w:pPr>
            <w:r w:rsidRPr="00FD7CD4">
              <w:rPr>
                <w:rFonts w:cs="宋体" w:hint="eastAsia"/>
                <w:szCs w:val="21"/>
              </w:rPr>
              <w:t>（八）</w:t>
            </w:r>
            <w:r w:rsidRPr="00ED11F5">
              <w:rPr>
                <w:rFonts w:cs="宋体" w:hint="eastAsia"/>
                <w:szCs w:val="21"/>
              </w:rPr>
              <w:t>基金份额类别</w:t>
            </w:r>
          </w:p>
          <w:p w:rsidR="00885C1B" w:rsidRPr="00ED11F5" w:rsidRDefault="00885C1B" w:rsidP="00B12DD0">
            <w:pPr>
              <w:snapToGrid w:val="0"/>
              <w:rPr>
                <w:rFonts w:cs="宋体"/>
                <w:szCs w:val="21"/>
              </w:rPr>
            </w:pPr>
            <w:r w:rsidRPr="00ED11F5">
              <w:rPr>
                <w:rFonts w:cs="宋体" w:hint="eastAsia"/>
                <w:szCs w:val="21"/>
              </w:rPr>
              <w:t>……</w:t>
            </w:r>
          </w:p>
          <w:p w:rsidR="00885C1B" w:rsidRPr="005040B5" w:rsidRDefault="00885C1B" w:rsidP="00B12DD0">
            <w:pPr>
              <w:snapToGrid w:val="0"/>
              <w:rPr>
                <w:rFonts w:cs="宋体"/>
                <w:b/>
                <w:szCs w:val="21"/>
                <w:u w:val="single"/>
              </w:rPr>
            </w:pPr>
            <w:r w:rsidRPr="00FD7CD4">
              <w:rPr>
                <w:rFonts w:cs="宋体" w:hint="eastAsia"/>
                <w:szCs w:val="21"/>
              </w:rPr>
              <w:t>投资人在申购基金份额时可自行选择申购的基金份额类别</w:t>
            </w:r>
            <w:r w:rsidRPr="00ED11F5">
              <w:rPr>
                <w:rFonts w:cs="宋体"/>
                <w:szCs w:val="21"/>
              </w:rPr>
              <w:t>。</w:t>
            </w:r>
          </w:p>
        </w:tc>
      </w:tr>
      <w:tr w:rsidR="00885C1B" w:rsidTr="00B12DD0">
        <w:tc>
          <w:tcPr>
            <w:tcW w:w="394" w:type="pct"/>
            <w:vAlign w:val="center"/>
          </w:tcPr>
          <w:p w:rsidR="00885C1B" w:rsidRPr="005040B5" w:rsidRDefault="00885C1B" w:rsidP="00B12DD0">
            <w:pPr>
              <w:snapToGrid w:val="0"/>
              <w:jc w:val="center"/>
              <w:rPr>
                <w:rFonts w:cs="宋体"/>
                <w:b/>
                <w:szCs w:val="21"/>
              </w:rPr>
            </w:pPr>
            <w:r w:rsidRPr="005040B5">
              <w:rPr>
                <w:rFonts w:cs="宋体" w:hint="eastAsia"/>
                <w:b/>
                <w:szCs w:val="21"/>
              </w:rPr>
              <w:t>六</w:t>
            </w:r>
            <w:r>
              <w:rPr>
                <w:rFonts w:cs="宋体" w:hint="eastAsia"/>
                <w:b/>
                <w:szCs w:val="21"/>
              </w:rPr>
              <w:t>、</w:t>
            </w:r>
            <w:r w:rsidRPr="005040B5">
              <w:rPr>
                <w:rFonts w:cs="宋体"/>
                <w:b/>
                <w:szCs w:val="21"/>
              </w:rPr>
              <w:t xml:space="preserve">  </w:t>
            </w:r>
            <w:r>
              <w:rPr>
                <w:rFonts w:cs="宋体"/>
                <w:b/>
                <w:szCs w:val="21"/>
              </w:rPr>
              <w:t>基金份额的申购</w:t>
            </w:r>
            <w:r>
              <w:rPr>
                <w:rFonts w:cs="宋体" w:hint="eastAsia"/>
                <w:b/>
                <w:szCs w:val="21"/>
              </w:rPr>
              <w:t>、</w:t>
            </w:r>
            <w:r w:rsidRPr="005040B5">
              <w:rPr>
                <w:rFonts w:cs="宋体"/>
                <w:b/>
                <w:szCs w:val="21"/>
              </w:rPr>
              <w:t>赎回</w:t>
            </w:r>
            <w:r>
              <w:rPr>
                <w:rFonts w:cs="宋体" w:hint="eastAsia"/>
                <w:b/>
                <w:szCs w:val="21"/>
              </w:rPr>
              <w:t>与转换</w:t>
            </w:r>
          </w:p>
        </w:tc>
        <w:tc>
          <w:tcPr>
            <w:tcW w:w="2303" w:type="pct"/>
          </w:tcPr>
          <w:p w:rsidR="00885C1B" w:rsidRPr="00CB2EE1" w:rsidRDefault="00885C1B" w:rsidP="00B12DD0">
            <w:pPr>
              <w:snapToGrid w:val="0"/>
              <w:rPr>
                <w:rFonts w:cs="宋体"/>
                <w:szCs w:val="21"/>
              </w:rPr>
            </w:pPr>
            <w:r w:rsidRPr="00FD7CD4">
              <w:rPr>
                <w:rFonts w:cs="宋体" w:hint="eastAsia"/>
                <w:szCs w:val="21"/>
              </w:rPr>
              <w:t>（十一）</w:t>
            </w:r>
            <w:r w:rsidRPr="00CB2EE1">
              <w:rPr>
                <w:rFonts w:cs="宋体" w:hint="eastAsia"/>
                <w:szCs w:val="21"/>
              </w:rPr>
              <w:t>基金转换</w:t>
            </w:r>
          </w:p>
          <w:p w:rsidR="00885C1B" w:rsidRDefault="00885C1B" w:rsidP="00B12DD0">
            <w:pPr>
              <w:snapToGrid w:val="0"/>
              <w:rPr>
                <w:rFonts w:cs="宋体"/>
                <w:szCs w:val="21"/>
              </w:rPr>
            </w:pPr>
            <w:r w:rsidRPr="00FD7CD4">
              <w:rPr>
                <w:rFonts w:cs="宋体" w:hint="eastAsia"/>
                <w:szCs w:val="21"/>
              </w:rPr>
              <w:t>基金管理人可以根据相关法律法规以及本基金合同的规定</w:t>
            </w:r>
            <w:r w:rsidRPr="00FD7CD4">
              <w:rPr>
                <w:rFonts w:cs="宋体" w:hint="eastAsia"/>
                <w:b/>
                <w:strike/>
                <w:szCs w:val="21"/>
              </w:rPr>
              <w:t>，在条件成熟的情况下提供本基金与基金管理人管理的其他基金之间的转换服务</w:t>
            </w:r>
            <w:r w:rsidRPr="00FD7CD4">
              <w:rPr>
                <w:rFonts w:cs="宋体" w:hint="eastAsia"/>
                <w:szCs w:val="21"/>
              </w:rPr>
              <w:t>。基金转换可以收取一定的转换费，相关规则由基金管理人届时根据相关法律法规及本基金合同的规定制定并公告</w:t>
            </w:r>
            <w:r w:rsidRPr="00CB2EE1">
              <w:rPr>
                <w:rFonts w:cs="宋体" w:hint="eastAsia"/>
                <w:szCs w:val="21"/>
              </w:rPr>
              <w:t>。</w:t>
            </w:r>
          </w:p>
        </w:tc>
        <w:tc>
          <w:tcPr>
            <w:tcW w:w="2303" w:type="pct"/>
          </w:tcPr>
          <w:p w:rsidR="00885C1B" w:rsidRPr="00CB2EE1" w:rsidRDefault="00885C1B" w:rsidP="00B12DD0">
            <w:pPr>
              <w:snapToGrid w:val="0"/>
              <w:rPr>
                <w:rFonts w:cs="宋体"/>
                <w:szCs w:val="21"/>
              </w:rPr>
            </w:pPr>
            <w:r w:rsidRPr="00FD7CD4">
              <w:rPr>
                <w:rFonts w:cs="宋体" w:hint="eastAsia"/>
                <w:szCs w:val="21"/>
              </w:rPr>
              <w:t>（十一）</w:t>
            </w:r>
            <w:r w:rsidRPr="00CB2EE1">
              <w:rPr>
                <w:rFonts w:cs="宋体" w:hint="eastAsia"/>
                <w:szCs w:val="21"/>
              </w:rPr>
              <w:t>基金转换</w:t>
            </w:r>
          </w:p>
          <w:p w:rsidR="00885C1B" w:rsidRPr="005040B5" w:rsidRDefault="00885C1B" w:rsidP="00B12DD0">
            <w:pPr>
              <w:snapToGrid w:val="0"/>
              <w:rPr>
                <w:rFonts w:cs="宋体"/>
                <w:b/>
                <w:szCs w:val="21"/>
                <w:u w:val="single"/>
              </w:rPr>
            </w:pPr>
            <w:r w:rsidRPr="00FD7CD4">
              <w:rPr>
                <w:rFonts w:cs="宋体" w:hint="eastAsia"/>
                <w:szCs w:val="21"/>
              </w:rPr>
              <w:t>基金管理人可以根据相关法律法规以及本基金合同的规定</w:t>
            </w:r>
            <w:r w:rsidRPr="00FD7CD4">
              <w:rPr>
                <w:rFonts w:cs="宋体" w:hint="eastAsia"/>
                <w:b/>
                <w:szCs w:val="21"/>
                <w:u w:val="single"/>
              </w:rPr>
              <w:t>决定开办本基金的基金转换业务</w:t>
            </w:r>
            <w:r w:rsidRPr="00FD7CD4">
              <w:rPr>
                <w:rFonts w:cs="宋体" w:hint="eastAsia"/>
                <w:szCs w:val="21"/>
              </w:rPr>
              <w:t>。基金转换可以收取一定的转换费，相关规则由基金管理人届时根据相关法律法规及本基金合同的规定制定并公告</w:t>
            </w:r>
            <w:r w:rsidRPr="00CB2EE1">
              <w:rPr>
                <w:rFonts w:cs="宋体" w:hint="eastAsia"/>
                <w:szCs w:val="21"/>
              </w:rPr>
              <w:t>。</w:t>
            </w:r>
          </w:p>
        </w:tc>
      </w:tr>
      <w:tr w:rsidR="00885C1B" w:rsidTr="00B12DD0">
        <w:tc>
          <w:tcPr>
            <w:tcW w:w="394" w:type="pct"/>
            <w:vMerge w:val="restart"/>
            <w:vAlign w:val="center"/>
          </w:tcPr>
          <w:p w:rsidR="00885C1B" w:rsidRPr="005040B5" w:rsidRDefault="00885C1B" w:rsidP="00B12DD0">
            <w:pPr>
              <w:snapToGrid w:val="0"/>
              <w:jc w:val="center"/>
              <w:rPr>
                <w:rFonts w:cs="宋体"/>
                <w:b/>
                <w:szCs w:val="21"/>
              </w:rPr>
            </w:pPr>
            <w:r>
              <w:rPr>
                <w:rFonts w:cs="宋体" w:hint="eastAsia"/>
                <w:b/>
                <w:szCs w:val="21"/>
              </w:rPr>
              <w:t>八、</w:t>
            </w:r>
            <w:r w:rsidRPr="005040B5">
              <w:rPr>
                <w:rFonts w:cs="宋体"/>
                <w:b/>
                <w:szCs w:val="21"/>
              </w:rPr>
              <w:t xml:space="preserve">  </w:t>
            </w:r>
            <w:r w:rsidRPr="005040B5">
              <w:rPr>
                <w:rFonts w:cs="宋体"/>
                <w:b/>
                <w:szCs w:val="21"/>
              </w:rPr>
              <w:t>基金</w:t>
            </w:r>
            <w:r>
              <w:rPr>
                <w:rFonts w:cs="宋体" w:hint="eastAsia"/>
                <w:b/>
                <w:szCs w:val="21"/>
              </w:rPr>
              <w:t>合同当事人及其权利义务</w:t>
            </w:r>
          </w:p>
        </w:tc>
        <w:tc>
          <w:tcPr>
            <w:tcW w:w="2303" w:type="pct"/>
          </w:tcPr>
          <w:p w:rsidR="00885C1B" w:rsidRPr="00FD7CD4" w:rsidRDefault="00885C1B" w:rsidP="00B12DD0">
            <w:pPr>
              <w:snapToGrid w:val="0"/>
              <w:rPr>
                <w:rFonts w:cs="宋体"/>
                <w:szCs w:val="21"/>
              </w:rPr>
            </w:pPr>
            <w:r w:rsidRPr="00FD7CD4">
              <w:rPr>
                <w:rFonts w:cs="宋体" w:hint="eastAsia"/>
                <w:szCs w:val="21"/>
              </w:rPr>
              <w:t>（一）基金管理人</w:t>
            </w:r>
          </w:p>
          <w:p w:rsidR="00885C1B" w:rsidRPr="00FD7CD4" w:rsidRDefault="00885C1B" w:rsidP="00B12DD0">
            <w:pPr>
              <w:snapToGrid w:val="0"/>
              <w:rPr>
                <w:rFonts w:cs="宋体"/>
                <w:szCs w:val="21"/>
              </w:rPr>
            </w:pPr>
            <w:r w:rsidRPr="00FD7CD4">
              <w:rPr>
                <w:rFonts w:cs="宋体" w:hint="eastAsia"/>
                <w:szCs w:val="21"/>
              </w:rPr>
              <w:t>1</w:t>
            </w:r>
            <w:r w:rsidRPr="00FD7CD4">
              <w:rPr>
                <w:rFonts w:cs="宋体" w:hint="eastAsia"/>
                <w:szCs w:val="21"/>
              </w:rPr>
              <w:t>、基金管理人基本情况</w:t>
            </w:r>
          </w:p>
          <w:p w:rsidR="00885C1B" w:rsidRDefault="00885C1B" w:rsidP="00B12DD0">
            <w:pPr>
              <w:snapToGrid w:val="0"/>
              <w:rPr>
                <w:rFonts w:cs="宋体"/>
                <w:szCs w:val="21"/>
              </w:rPr>
            </w:pPr>
            <w:r w:rsidRPr="00FD7CD4">
              <w:rPr>
                <w:rFonts w:cs="宋体" w:hint="eastAsia"/>
                <w:szCs w:val="21"/>
              </w:rPr>
              <w:t>名称：嘉实基金管理有限公司</w:t>
            </w:r>
          </w:p>
          <w:p w:rsidR="00885C1B" w:rsidRPr="005040B5" w:rsidRDefault="00885C1B" w:rsidP="00B12DD0">
            <w:pPr>
              <w:snapToGrid w:val="0"/>
              <w:rPr>
                <w:rFonts w:cs="宋体"/>
                <w:szCs w:val="21"/>
              </w:rPr>
            </w:pPr>
            <w:r w:rsidRPr="00130039">
              <w:rPr>
                <w:rFonts w:cs="宋体" w:hint="eastAsia"/>
                <w:szCs w:val="21"/>
              </w:rPr>
              <w:t>组织形式：有限责任公司（</w:t>
            </w:r>
            <w:r w:rsidRPr="00504BCE">
              <w:rPr>
                <w:rFonts w:cs="宋体" w:hint="eastAsia"/>
                <w:b/>
                <w:strike/>
                <w:szCs w:val="21"/>
              </w:rPr>
              <w:t>中外合资</w:t>
            </w:r>
            <w:r w:rsidRPr="00130039">
              <w:rPr>
                <w:rFonts w:cs="宋体" w:hint="eastAsia"/>
                <w:szCs w:val="21"/>
              </w:rPr>
              <w:t>）</w:t>
            </w:r>
          </w:p>
        </w:tc>
        <w:tc>
          <w:tcPr>
            <w:tcW w:w="2303" w:type="pct"/>
          </w:tcPr>
          <w:p w:rsidR="00885C1B" w:rsidRPr="00FD7CD4" w:rsidRDefault="00885C1B" w:rsidP="00B12DD0">
            <w:pPr>
              <w:snapToGrid w:val="0"/>
              <w:rPr>
                <w:rFonts w:cs="宋体"/>
                <w:szCs w:val="21"/>
              </w:rPr>
            </w:pPr>
            <w:r w:rsidRPr="00FD7CD4">
              <w:rPr>
                <w:rFonts w:cs="宋体" w:hint="eastAsia"/>
                <w:szCs w:val="21"/>
              </w:rPr>
              <w:t>（一）基金管理人</w:t>
            </w:r>
          </w:p>
          <w:p w:rsidR="00885C1B" w:rsidRPr="00FD7CD4" w:rsidRDefault="00885C1B" w:rsidP="00B12DD0">
            <w:pPr>
              <w:snapToGrid w:val="0"/>
              <w:rPr>
                <w:rFonts w:cs="宋体"/>
                <w:szCs w:val="21"/>
              </w:rPr>
            </w:pPr>
            <w:r w:rsidRPr="00FD7CD4">
              <w:rPr>
                <w:rFonts w:cs="宋体" w:hint="eastAsia"/>
                <w:szCs w:val="21"/>
              </w:rPr>
              <w:t>1</w:t>
            </w:r>
            <w:r w:rsidRPr="00FD7CD4">
              <w:rPr>
                <w:rFonts w:cs="宋体" w:hint="eastAsia"/>
                <w:szCs w:val="21"/>
              </w:rPr>
              <w:t>、基金管理人基本情况</w:t>
            </w:r>
          </w:p>
          <w:p w:rsidR="00885C1B" w:rsidRDefault="00885C1B" w:rsidP="00B12DD0">
            <w:pPr>
              <w:snapToGrid w:val="0"/>
              <w:rPr>
                <w:rFonts w:cs="宋体"/>
                <w:szCs w:val="21"/>
              </w:rPr>
            </w:pPr>
            <w:r w:rsidRPr="00FD7CD4">
              <w:rPr>
                <w:rFonts w:cs="宋体" w:hint="eastAsia"/>
                <w:szCs w:val="21"/>
              </w:rPr>
              <w:t>名称：嘉实基金管理有限公司</w:t>
            </w:r>
          </w:p>
          <w:p w:rsidR="00885C1B" w:rsidRPr="005040B5" w:rsidRDefault="00885C1B" w:rsidP="00B12DD0">
            <w:pPr>
              <w:snapToGrid w:val="0"/>
              <w:rPr>
                <w:rFonts w:cs="宋体"/>
                <w:szCs w:val="21"/>
              </w:rPr>
            </w:pPr>
            <w:r w:rsidRPr="00130039">
              <w:rPr>
                <w:rFonts w:cs="宋体" w:hint="eastAsia"/>
                <w:szCs w:val="21"/>
              </w:rPr>
              <w:t>组织形式：有限责任公司（</w:t>
            </w:r>
            <w:r w:rsidRPr="00504BCE">
              <w:rPr>
                <w:rFonts w:cs="宋体" w:hint="eastAsia"/>
                <w:b/>
                <w:szCs w:val="21"/>
                <w:u w:val="single"/>
              </w:rPr>
              <w:t>外商投资、非独资</w:t>
            </w:r>
            <w:r w:rsidRPr="00130039">
              <w:rPr>
                <w:rFonts w:cs="宋体" w:hint="eastAsia"/>
                <w:szCs w:val="21"/>
              </w:rPr>
              <w:t>）</w:t>
            </w:r>
          </w:p>
        </w:tc>
      </w:tr>
      <w:tr w:rsidR="00885C1B" w:rsidTr="00B12DD0">
        <w:tc>
          <w:tcPr>
            <w:tcW w:w="394" w:type="pct"/>
            <w:vMerge/>
            <w:vAlign w:val="center"/>
          </w:tcPr>
          <w:p w:rsidR="00885C1B" w:rsidRPr="005040B5" w:rsidRDefault="00885C1B" w:rsidP="00B12DD0">
            <w:pPr>
              <w:snapToGrid w:val="0"/>
              <w:jc w:val="center"/>
              <w:rPr>
                <w:rFonts w:cs="宋体"/>
                <w:b/>
                <w:szCs w:val="21"/>
              </w:rPr>
            </w:pPr>
          </w:p>
        </w:tc>
        <w:tc>
          <w:tcPr>
            <w:tcW w:w="2303" w:type="pct"/>
          </w:tcPr>
          <w:p w:rsidR="00885C1B" w:rsidRDefault="00885C1B" w:rsidP="00B12DD0">
            <w:pPr>
              <w:snapToGrid w:val="0"/>
              <w:rPr>
                <w:rFonts w:cs="宋体"/>
                <w:szCs w:val="21"/>
              </w:rPr>
            </w:pPr>
            <w:r>
              <w:rPr>
                <w:rFonts w:cs="宋体" w:hint="eastAsia"/>
                <w:szCs w:val="21"/>
              </w:rPr>
              <w:t>二、基金托管人</w:t>
            </w:r>
          </w:p>
          <w:p w:rsidR="00885C1B" w:rsidRPr="00CE1E85" w:rsidRDefault="00885C1B" w:rsidP="00B12DD0">
            <w:pPr>
              <w:snapToGrid w:val="0"/>
              <w:rPr>
                <w:rFonts w:cs="宋体"/>
                <w:szCs w:val="21"/>
              </w:rPr>
            </w:pPr>
            <w:r w:rsidRPr="00CE1E85">
              <w:rPr>
                <w:rFonts w:cs="宋体" w:hint="eastAsia"/>
                <w:szCs w:val="21"/>
              </w:rPr>
              <w:t>（一）基金托管人简况</w:t>
            </w:r>
          </w:p>
          <w:p w:rsidR="00885C1B" w:rsidRDefault="00885C1B" w:rsidP="00B12DD0">
            <w:pPr>
              <w:snapToGrid w:val="0"/>
              <w:rPr>
                <w:rFonts w:cs="宋体"/>
                <w:szCs w:val="21"/>
              </w:rPr>
            </w:pPr>
            <w:r w:rsidRPr="00CE1E85">
              <w:rPr>
                <w:rFonts w:cs="宋体" w:hint="eastAsia"/>
                <w:szCs w:val="21"/>
              </w:rPr>
              <w:t>名称：中国银行股份有限公司</w:t>
            </w:r>
          </w:p>
          <w:p w:rsidR="00885C1B" w:rsidRPr="00130039" w:rsidRDefault="00885C1B" w:rsidP="00B12DD0">
            <w:pPr>
              <w:snapToGrid w:val="0"/>
              <w:rPr>
                <w:rFonts w:cs="宋体"/>
                <w:szCs w:val="21"/>
              </w:rPr>
            </w:pPr>
            <w:r>
              <w:rPr>
                <w:rFonts w:cs="宋体" w:hint="eastAsia"/>
                <w:szCs w:val="21"/>
              </w:rPr>
              <w:t>法定代表人：</w:t>
            </w:r>
            <w:r w:rsidRPr="00CE1E85">
              <w:rPr>
                <w:rFonts w:cs="宋体" w:hint="eastAsia"/>
                <w:b/>
                <w:strike/>
                <w:szCs w:val="21"/>
              </w:rPr>
              <w:t>刘连舸</w:t>
            </w:r>
          </w:p>
        </w:tc>
        <w:tc>
          <w:tcPr>
            <w:tcW w:w="2303" w:type="pct"/>
          </w:tcPr>
          <w:p w:rsidR="00885C1B" w:rsidRDefault="00885C1B" w:rsidP="00B12DD0">
            <w:pPr>
              <w:snapToGrid w:val="0"/>
              <w:rPr>
                <w:rFonts w:cs="宋体"/>
                <w:szCs w:val="21"/>
              </w:rPr>
            </w:pPr>
            <w:r>
              <w:rPr>
                <w:rFonts w:cs="宋体" w:hint="eastAsia"/>
                <w:szCs w:val="21"/>
              </w:rPr>
              <w:t>二、基金托管人</w:t>
            </w:r>
          </w:p>
          <w:p w:rsidR="00885C1B" w:rsidRPr="00CE1E85" w:rsidRDefault="00885C1B" w:rsidP="00B12DD0">
            <w:pPr>
              <w:snapToGrid w:val="0"/>
              <w:rPr>
                <w:rFonts w:cs="宋体"/>
                <w:szCs w:val="21"/>
              </w:rPr>
            </w:pPr>
            <w:r w:rsidRPr="00CE1E85">
              <w:rPr>
                <w:rFonts w:cs="宋体" w:hint="eastAsia"/>
                <w:szCs w:val="21"/>
              </w:rPr>
              <w:t>（一）基金托管人简况</w:t>
            </w:r>
          </w:p>
          <w:p w:rsidR="00885C1B" w:rsidRDefault="00885C1B" w:rsidP="00B12DD0">
            <w:pPr>
              <w:snapToGrid w:val="0"/>
              <w:rPr>
                <w:rFonts w:cs="宋体"/>
                <w:szCs w:val="21"/>
              </w:rPr>
            </w:pPr>
            <w:r w:rsidRPr="00CE1E85">
              <w:rPr>
                <w:rFonts w:cs="宋体" w:hint="eastAsia"/>
                <w:szCs w:val="21"/>
              </w:rPr>
              <w:t>名称：中国银行股份有限公司</w:t>
            </w:r>
          </w:p>
          <w:p w:rsidR="00885C1B" w:rsidRPr="00130039" w:rsidRDefault="00885C1B" w:rsidP="00B12DD0">
            <w:pPr>
              <w:snapToGrid w:val="0"/>
              <w:rPr>
                <w:rFonts w:cs="宋体"/>
                <w:szCs w:val="21"/>
              </w:rPr>
            </w:pPr>
            <w:r>
              <w:rPr>
                <w:rFonts w:cs="宋体" w:hint="eastAsia"/>
                <w:szCs w:val="21"/>
              </w:rPr>
              <w:t>法定代表人：</w:t>
            </w:r>
            <w:r w:rsidRPr="00CE1E85">
              <w:rPr>
                <w:rFonts w:cs="宋体" w:hint="eastAsia"/>
                <w:b/>
                <w:szCs w:val="21"/>
                <w:u w:val="single"/>
              </w:rPr>
              <w:t>葛海蛟</w:t>
            </w:r>
          </w:p>
        </w:tc>
      </w:tr>
    </w:tbl>
    <w:p w:rsidR="00885C1B" w:rsidRDefault="00885C1B" w:rsidP="0074364E">
      <w:pPr>
        <w:snapToGrid w:val="0"/>
        <w:spacing w:line="360" w:lineRule="auto"/>
        <w:rPr>
          <w:rFonts w:ascii="宋体" w:hAnsi="宋体"/>
          <w:szCs w:val="21"/>
        </w:rPr>
      </w:pPr>
      <w:bookmarkStart w:id="1" w:name="_GoBack"/>
      <w:bookmarkEnd w:id="1"/>
    </w:p>
    <w:p w:rsidR="00550EF5" w:rsidRDefault="00550EF5">
      <w:pPr>
        <w:widowControl/>
        <w:jc w:val="left"/>
        <w:rPr>
          <w:rFonts w:ascii="宋体" w:hAnsi="宋体"/>
          <w:szCs w:val="21"/>
        </w:rPr>
      </w:pPr>
      <w:r>
        <w:rPr>
          <w:rFonts w:ascii="宋体" w:hAnsi="宋体"/>
          <w:szCs w:val="21"/>
        </w:rPr>
        <w:br w:type="page"/>
      </w:r>
    </w:p>
    <w:p w:rsidR="0074364E" w:rsidRDefault="0074364E" w:rsidP="0074364E">
      <w:pPr>
        <w:snapToGrid w:val="0"/>
        <w:spacing w:line="360" w:lineRule="auto"/>
        <w:rPr>
          <w:rFonts w:ascii="宋体" w:hAnsi="宋体"/>
          <w:szCs w:val="21"/>
        </w:rPr>
      </w:pPr>
      <w:r>
        <w:rPr>
          <w:rFonts w:ascii="宋体" w:hAnsi="宋体" w:hint="eastAsia"/>
          <w:szCs w:val="21"/>
        </w:rPr>
        <w:t>附3：</w:t>
      </w:r>
      <w:r w:rsidR="00AB72EA" w:rsidRPr="00AB72EA">
        <w:rPr>
          <w:rFonts w:asciiTheme="minorEastAsia" w:eastAsiaTheme="minorEastAsia" w:hAnsiTheme="minorEastAsia" w:cs="Arial" w:hint="eastAsia"/>
          <w:szCs w:val="21"/>
        </w:rPr>
        <w:t>嘉实价值长青混合型证券投资基金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p>
    <w:tbl>
      <w:tblPr>
        <w:tblpPr w:leftFromText="180" w:rightFromText="180" w:vertAnchor="text" w:horzAnchor="margin" w:tblpXSpec="center" w:tblpY="36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909"/>
        <w:gridCol w:w="3909"/>
      </w:tblGrid>
      <w:tr w:rsidR="00550EF5" w:rsidTr="00925AA2">
        <w:trPr>
          <w:tblHeader/>
        </w:trPr>
        <w:tc>
          <w:tcPr>
            <w:tcW w:w="704" w:type="dxa"/>
            <w:shd w:val="clear" w:color="auto" w:fill="auto"/>
            <w:vAlign w:val="center"/>
          </w:tcPr>
          <w:p w:rsidR="00550EF5" w:rsidRPr="002E1255" w:rsidRDefault="00550EF5" w:rsidP="00925AA2">
            <w:pPr>
              <w:jc w:val="center"/>
              <w:rPr>
                <w:b/>
              </w:rPr>
            </w:pPr>
            <w:r w:rsidRPr="002E1255">
              <w:rPr>
                <w:rFonts w:hint="eastAsia"/>
                <w:b/>
              </w:rPr>
              <w:t>章节</w:t>
            </w:r>
          </w:p>
        </w:tc>
        <w:tc>
          <w:tcPr>
            <w:tcW w:w="3909" w:type="dxa"/>
            <w:shd w:val="clear" w:color="auto" w:fill="auto"/>
            <w:vAlign w:val="center"/>
          </w:tcPr>
          <w:p w:rsidR="00550EF5" w:rsidRPr="002E1255" w:rsidRDefault="00550EF5" w:rsidP="00925AA2">
            <w:pPr>
              <w:jc w:val="center"/>
              <w:rPr>
                <w:b/>
              </w:rPr>
            </w:pPr>
            <w:r>
              <w:rPr>
                <w:rFonts w:hint="eastAsia"/>
                <w:b/>
              </w:rPr>
              <w:t>修改前</w:t>
            </w:r>
          </w:p>
        </w:tc>
        <w:tc>
          <w:tcPr>
            <w:tcW w:w="3909" w:type="dxa"/>
            <w:shd w:val="clear" w:color="auto" w:fill="auto"/>
            <w:vAlign w:val="center"/>
          </w:tcPr>
          <w:p w:rsidR="00550EF5" w:rsidRPr="002E1255" w:rsidRDefault="00550EF5" w:rsidP="00550EF5">
            <w:pPr>
              <w:jc w:val="center"/>
              <w:rPr>
                <w:b/>
              </w:rPr>
            </w:pPr>
            <w:r w:rsidRPr="002E1255">
              <w:rPr>
                <w:rFonts w:hint="eastAsia"/>
                <w:b/>
              </w:rPr>
              <w:t>修改后</w:t>
            </w:r>
          </w:p>
        </w:tc>
      </w:tr>
      <w:tr w:rsidR="00550EF5" w:rsidTr="00925AA2">
        <w:trPr>
          <w:tblHeader/>
        </w:trPr>
        <w:tc>
          <w:tcPr>
            <w:tcW w:w="704" w:type="dxa"/>
            <w:vMerge w:val="restart"/>
            <w:shd w:val="clear" w:color="auto" w:fill="auto"/>
            <w:vAlign w:val="center"/>
          </w:tcPr>
          <w:p w:rsidR="00550EF5" w:rsidRPr="002E1255" w:rsidRDefault="00550EF5" w:rsidP="00925AA2">
            <w:pPr>
              <w:jc w:val="center"/>
              <w:rPr>
                <w:b/>
              </w:rPr>
            </w:pPr>
            <w:r>
              <w:rPr>
                <w:rFonts w:hint="eastAsia"/>
                <w:b/>
              </w:rPr>
              <w:t>第二部分释义</w:t>
            </w:r>
          </w:p>
        </w:tc>
        <w:tc>
          <w:tcPr>
            <w:tcW w:w="3909" w:type="dxa"/>
            <w:shd w:val="clear" w:color="auto" w:fill="auto"/>
          </w:tcPr>
          <w:p w:rsidR="00550EF5" w:rsidRPr="002E1255" w:rsidRDefault="00550EF5" w:rsidP="00925AA2">
            <w:pPr>
              <w:rPr>
                <w:b/>
              </w:rPr>
            </w:pPr>
            <w:r>
              <w:rPr>
                <w:szCs w:val="21"/>
              </w:rPr>
              <w:t>16</w:t>
            </w:r>
            <w:r w:rsidRPr="00A56A4F">
              <w:rPr>
                <w:rFonts w:ascii="宋体" w:hAnsi="宋体" w:hint="eastAsia"/>
                <w:szCs w:val="21"/>
              </w:rPr>
              <w:t>、银行业监督管理机构：指中国人民银行和</w:t>
            </w:r>
            <w:r w:rsidRPr="00A56A4F">
              <w:rPr>
                <w:rFonts w:hint="eastAsia"/>
                <w:szCs w:val="21"/>
              </w:rPr>
              <w:t>/</w:t>
            </w:r>
            <w:r w:rsidRPr="00A56A4F">
              <w:rPr>
                <w:rFonts w:ascii="宋体" w:hAnsi="宋体" w:hint="eastAsia"/>
                <w:szCs w:val="21"/>
              </w:rPr>
              <w:t>或</w:t>
            </w:r>
            <w:r w:rsidRPr="00A56A4F">
              <w:rPr>
                <w:rFonts w:ascii="宋体" w:hAnsi="宋体" w:hint="eastAsia"/>
                <w:b/>
                <w:bCs/>
                <w:strike/>
                <w:szCs w:val="21"/>
              </w:rPr>
              <w:t>中国银行保险监督管理委员会</w:t>
            </w:r>
          </w:p>
        </w:tc>
        <w:tc>
          <w:tcPr>
            <w:tcW w:w="3909" w:type="dxa"/>
            <w:shd w:val="clear" w:color="auto" w:fill="auto"/>
          </w:tcPr>
          <w:p w:rsidR="00550EF5" w:rsidRPr="002E1255" w:rsidRDefault="00550EF5" w:rsidP="00925AA2">
            <w:pPr>
              <w:rPr>
                <w:b/>
              </w:rPr>
            </w:pPr>
            <w:r w:rsidRPr="00A56A4F">
              <w:rPr>
                <w:rFonts w:hint="eastAsia"/>
                <w:szCs w:val="21"/>
              </w:rPr>
              <w:t>1</w:t>
            </w:r>
            <w:r>
              <w:rPr>
                <w:szCs w:val="21"/>
              </w:rPr>
              <w:t>6</w:t>
            </w:r>
            <w:r w:rsidRPr="00A56A4F">
              <w:rPr>
                <w:rFonts w:ascii="宋体" w:hAnsi="宋体" w:hint="eastAsia"/>
                <w:szCs w:val="21"/>
              </w:rPr>
              <w:t>、银行业监督管理机构：指中国人民银行和</w:t>
            </w:r>
            <w:r w:rsidRPr="00A56A4F">
              <w:rPr>
                <w:rFonts w:hint="eastAsia"/>
                <w:szCs w:val="21"/>
              </w:rPr>
              <w:t>/</w:t>
            </w:r>
            <w:r w:rsidRPr="00A56A4F">
              <w:rPr>
                <w:rFonts w:ascii="宋体" w:hAnsi="宋体" w:hint="eastAsia"/>
                <w:szCs w:val="21"/>
              </w:rPr>
              <w:t>或</w:t>
            </w:r>
            <w:r w:rsidRPr="00A56A4F">
              <w:rPr>
                <w:rFonts w:ascii="宋体" w:hAnsi="宋体" w:hint="eastAsia"/>
                <w:b/>
                <w:bCs/>
                <w:szCs w:val="21"/>
                <w:u w:val="single"/>
              </w:rPr>
              <w:t>国家金融监督管理总局等对银行业金融机构进行监督和管理的机构</w:t>
            </w:r>
          </w:p>
        </w:tc>
      </w:tr>
      <w:tr w:rsidR="00550EF5" w:rsidTr="00925AA2">
        <w:trPr>
          <w:tblHeader/>
        </w:trPr>
        <w:tc>
          <w:tcPr>
            <w:tcW w:w="704" w:type="dxa"/>
            <w:vMerge/>
            <w:shd w:val="clear" w:color="auto" w:fill="auto"/>
            <w:vAlign w:val="center"/>
          </w:tcPr>
          <w:p w:rsidR="00550EF5" w:rsidRDefault="00550EF5" w:rsidP="00925AA2">
            <w:pPr>
              <w:jc w:val="center"/>
              <w:rPr>
                <w:b/>
              </w:rPr>
            </w:pPr>
          </w:p>
        </w:tc>
        <w:tc>
          <w:tcPr>
            <w:tcW w:w="3909" w:type="dxa"/>
            <w:shd w:val="clear" w:color="auto" w:fill="auto"/>
          </w:tcPr>
          <w:p w:rsidR="00550EF5" w:rsidRDefault="00550EF5" w:rsidP="00925AA2">
            <w:pPr>
              <w:rPr>
                <w:szCs w:val="21"/>
              </w:rPr>
            </w:pPr>
            <w:r>
              <w:rPr>
                <w:rFonts w:hint="eastAsia"/>
                <w:szCs w:val="21"/>
              </w:rPr>
              <w:t>4</w:t>
            </w:r>
            <w:r>
              <w:rPr>
                <w:szCs w:val="21"/>
              </w:rPr>
              <w:t>4</w:t>
            </w:r>
            <w:r>
              <w:rPr>
                <w:rFonts w:hint="eastAsia"/>
                <w:szCs w:val="21"/>
              </w:rPr>
              <w:t>、</w:t>
            </w:r>
            <w:r w:rsidRPr="005C6951">
              <w:rPr>
                <w:rFonts w:hint="eastAsia"/>
                <w:szCs w:val="21"/>
              </w:rPr>
              <w:t>基金转换：指基金份额持有人按照本基金合同和基金管理人届时有效公告规定的条件，申请将其持有基金管理人管理的某一基金的基金份额转换为基金管理人管理的其他基金份额的行为</w:t>
            </w:r>
          </w:p>
        </w:tc>
        <w:tc>
          <w:tcPr>
            <w:tcW w:w="3909" w:type="dxa"/>
            <w:shd w:val="clear" w:color="auto" w:fill="auto"/>
          </w:tcPr>
          <w:p w:rsidR="00550EF5" w:rsidRPr="00A56A4F" w:rsidRDefault="00550EF5" w:rsidP="00925AA2">
            <w:pPr>
              <w:rPr>
                <w:szCs w:val="21"/>
              </w:rPr>
            </w:pPr>
            <w:r>
              <w:rPr>
                <w:rFonts w:hint="eastAsia"/>
                <w:szCs w:val="21"/>
              </w:rPr>
              <w:t>4</w:t>
            </w:r>
            <w:r>
              <w:rPr>
                <w:szCs w:val="21"/>
              </w:rPr>
              <w:t>4</w:t>
            </w:r>
            <w:r>
              <w:rPr>
                <w:rFonts w:hint="eastAsia"/>
                <w:szCs w:val="21"/>
              </w:rPr>
              <w:t>、</w:t>
            </w:r>
            <w:r w:rsidRPr="005C6951">
              <w:rPr>
                <w:rFonts w:hint="eastAsia"/>
                <w:szCs w:val="21"/>
              </w:rPr>
              <w:t>基金转换：指基金份额持有人按照本基金合同和基金管理人届时有效公告规定的条件，申请将其持有基金管理人管理的某一基金的基金份额转换为</w:t>
            </w:r>
            <w:r w:rsidRPr="00F9586A">
              <w:rPr>
                <w:rFonts w:hint="eastAsia"/>
                <w:b/>
                <w:szCs w:val="21"/>
                <w:u w:val="single"/>
              </w:rPr>
              <w:t>该基金其他份额（如有）或</w:t>
            </w:r>
            <w:r w:rsidRPr="005C6951">
              <w:rPr>
                <w:rFonts w:hint="eastAsia"/>
                <w:szCs w:val="21"/>
              </w:rPr>
              <w:t>基金管理人管理的其他基金份额的行为</w:t>
            </w:r>
          </w:p>
        </w:tc>
      </w:tr>
      <w:tr w:rsidR="00550EF5" w:rsidTr="00925AA2">
        <w:tc>
          <w:tcPr>
            <w:tcW w:w="704" w:type="dxa"/>
            <w:vAlign w:val="center"/>
          </w:tcPr>
          <w:p w:rsidR="00550EF5" w:rsidRPr="002E1255" w:rsidRDefault="00550EF5" w:rsidP="00925AA2">
            <w:pPr>
              <w:jc w:val="center"/>
              <w:rPr>
                <w:b/>
              </w:rPr>
            </w:pPr>
            <w:r w:rsidRPr="002E1255">
              <w:rPr>
                <w:rFonts w:hint="eastAsia"/>
                <w:b/>
              </w:rPr>
              <w:t>第</w:t>
            </w:r>
            <w:r>
              <w:rPr>
                <w:rFonts w:hint="eastAsia"/>
                <w:b/>
              </w:rPr>
              <w:t>三</w:t>
            </w:r>
            <w:r w:rsidRPr="002E1255">
              <w:rPr>
                <w:rFonts w:hint="eastAsia"/>
                <w:b/>
              </w:rPr>
              <w:t>部分</w:t>
            </w:r>
            <w:r w:rsidRPr="002E1255">
              <w:rPr>
                <w:rFonts w:hint="eastAsia"/>
                <w:b/>
              </w:rPr>
              <w:t xml:space="preserve">  </w:t>
            </w:r>
            <w:r w:rsidRPr="002E1255">
              <w:rPr>
                <w:rFonts w:hint="eastAsia"/>
                <w:b/>
              </w:rPr>
              <w:t>基金</w:t>
            </w:r>
            <w:r>
              <w:rPr>
                <w:rFonts w:hint="eastAsia"/>
                <w:b/>
              </w:rPr>
              <w:t>的基本情况</w:t>
            </w:r>
          </w:p>
        </w:tc>
        <w:tc>
          <w:tcPr>
            <w:tcW w:w="3909" w:type="dxa"/>
          </w:tcPr>
          <w:p w:rsidR="00550EF5" w:rsidRPr="005C6951" w:rsidRDefault="00550EF5" w:rsidP="00925AA2">
            <w:pPr>
              <w:rPr>
                <w:szCs w:val="21"/>
              </w:rPr>
            </w:pPr>
            <w:r w:rsidRPr="005C6951">
              <w:rPr>
                <w:rFonts w:hint="eastAsia"/>
                <w:szCs w:val="21"/>
              </w:rPr>
              <w:t>八、基金份额类别</w:t>
            </w:r>
          </w:p>
          <w:p w:rsidR="00550EF5" w:rsidRPr="005C6951" w:rsidRDefault="00550EF5" w:rsidP="00925AA2">
            <w:pPr>
              <w:ind w:firstLineChars="200" w:firstLine="420"/>
              <w:rPr>
                <w:szCs w:val="21"/>
              </w:rPr>
            </w:pPr>
            <w:r w:rsidRPr="005C6951">
              <w:rPr>
                <w:rFonts w:hint="eastAsia"/>
                <w:szCs w:val="21"/>
              </w:rPr>
              <w:t>本基金根据认购</w:t>
            </w:r>
            <w:r w:rsidRPr="005C6951">
              <w:rPr>
                <w:rFonts w:hint="eastAsia"/>
                <w:szCs w:val="21"/>
              </w:rPr>
              <w:t>/</w:t>
            </w:r>
            <w:r w:rsidRPr="005C6951">
              <w:rPr>
                <w:rFonts w:hint="eastAsia"/>
                <w:szCs w:val="21"/>
              </w:rPr>
              <w:t>申购费用、销售服务费用收取方式的不同，将基金份额分为不同的类别。在投资人认购</w:t>
            </w:r>
            <w:r w:rsidRPr="005C6951">
              <w:rPr>
                <w:rFonts w:hint="eastAsia"/>
                <w:szCs w:val="21"/>
              </w:rPr>
              <w:t>/</w:t>
            </w:r>
            <w:r w:rsidRPr="005C6951">
              <w:rPr>
                <w:rFonts w:hint="eastAsia"/>
                <w:szCs w:val="21"/>
              </w:rPr>
              <w:t>申购基金份额时收取认购</w:t>
            </w:r>
            <w:r w:rsidRPr="005C6951">
              <w:rPr>
                <w:rFonts w:hint="eastAsia"/>
                <w:szCs w:val="21"/>
              </w:rPr>
              <w:t>/</w:t>
            </w:r>
            <w:r w:rsidRPr="005C6951">
              <w:rPr>
                <w:rFonts w:hint="eastAsia"/>
                <w:szCs w:val="21"/>
              </w:rPr>
              <w:t>申购费用，并不再从本类别基金资产中计提销售服务费的基金份额，称为</w:t>
            </w:r>
            <w:r w:rsidRPr="005C6951">
              <w:rPr>
                <w:rFonts w:hint="eastAsia"/>
                <w:szCs w:val="21"/>
              </w:rPr>
              <w:t>A</w:t>
            </w:r>
            <w:r w:rsidRPr="005C6951">
              <w:rPr>
                <w:rFonts w:hint="eastAsia"/>
                <w:szCs w:val="21"/>
              </w:rPr>
              <w:t>类基金份额；从本类别基金资产中计提销售服务费，并不收取认购</w:t>
            </w:r>
            <w:r w:rsidRPr="005C6951">
              <w:rPr>
                <w:rFonts w:hint="eastAsia"/>
                <w:szCs w:val="21"/>
              </w:rPr>
              <w:t>/</w:t>
            </w:r>
            <w:r w:rsidRPr="005C6951">
              <w:rPr>
                <w:rFonts w:hint="eastAsia"/>
                <w:szCs w:val="21"/>
              </w:rPr>
              <w:t>申购费用的基金份额，称为</w:t>
            </w:r>
            <w:r w:rsidRPr="005C6951">
              <w:rPr>
                <w:rFonts w:hint="eastAsia"/>
                <w:szCs w:val="21"/>
              </w:rPr>
              <w:t>C</w:t>
            </w:r>
            <w:r w:rsidRPr="005C6951">
              <w:rPr>
                <w:rFonts w:hint="eastAsia"/>
                <w:szCs w:val="21"/>
              </w:rPr>
              <w:t>类基金份额。相关费率的设置及费率水平在本基金招募说明书或相关公告中列示。</w:t>
            </w:r>
          </w:p>
          <w:p w:rsidR="00550EF5" w:rsidRPr="005C6951" w:rsidRDefault="00550EF5" w:rsidP="00925AA2">
            <w:pPr>
              <w:ind w:firstLineChars="200" w:firstLine="420"/>
              <w:rPr>
                <w:szCs w:val="21"/>
              </w:rPr>
            </w:pPr>
            <w:r w:rsidRPr="005C6951">
              <w:rPr>
                <w:rFonts w:hint="eastAsia"/>
                <w:szCs w:val="21"/>
              </w:rPr>
              <w:t>本基金各类基金份额分别设置代码，合并投资运作，分别计算和公告各类基金份额的基金份额净值和基金份额累计净值。</w:t>
            </w:r>
          </w:p>
          <w:p w:rsidR="00550EF5" w:rsidRPr="005C6951" w:rsidRDefault="00550EF5" w:rsidP="00925AA2">
            <w:pPr>
              <w:ind w:firstLineChars="200" w:firstLine="420"/>
              <w:rPr>
                <w:szCs w:val="21"/>
              </w:rPr>
            </w:pPr>
            <w:r w:rsidRPr="005C6951">
              <w:rPr>
                <w:rFonts w:hint="eastAsia"/>
                <w:szCs w:val="21"/>
              </w:rPr>
              <w:t>投资人在认购</w:t>
            </w:r>
            <w:r w:rsidRPr="005C6951">
              <w:rPr>
                <w:rFonts w:hint="eastAsia"/>
                <w:szCs w:val="21"/>
              </w:rPr>
              <w:t>/</w:t>
            </w:r>
            <w:r w:rsidRPr="005C6951">
              <w:rPr>
                <w:rFonts w:hint="eastAsia"/>
                <w:szCs w:val="21"/>
              </w:rPr>
              <w:t>申购基金份额时可自行选择认购</w:t>
            </w:r>
            <w:r w:rsidRPr="005C6951">
              <w:rPr>
                <w:rFonts w:hint="eastAsia"/>
                <w:szCs w:val="21"/>
              </w:rPr>
              <w:t>/</w:t>
            </w:r>
            <w:r w:rsidRPr="005C6951">
              <w:rPr>
                <w:rFonts w:hint="eastAsia"/>
                <w:szCs w:val="21"/>
              </w:rPr>
              <w:t>申购的基金份额类别。</w:t>
            </w:r>
            <w:r w:rsidRPr="005C6951">
              <w:rPr>
                <w:rFonts w:hint="eastAsia"/>
                <w:b/>
                <w:strike/>
                <w:szCs w:val="21"/>
              </w:rPr>
              <w:t>本基金不同基金份额类别之间不得相互转换。</w:t>
            </w:r>
          </w:p>
        </w:tc>
        <w:tc>
          <w:tcPr>
            <w:tcW w:w="3909" w:type="dxa"/>
          </w:tcPr>
          <w:p w:rsidR="00550EF5" w:rsidRPr="005C6951" w:rsidRDefault="00550EF5" w:rsidP="00925AA2">
            <w:pPr>
              <w:rPr>
                <w:szCs w:val="21"/>
              </w:rPr>
            </w:pPr>
            <w:r w:rsidRPr="005C6951">
              <w:rPr>
                <w:rFonts w:hint="eastAsia"/>
                <w:szCs w:val="21"/>
              </w:rPr>
              <w:t>八、基金份额类别</w:t>
            </w:r>
          </w:p>
          <w:p w:rsidR="00550EF5" w:rsidRPr="005C6951" w:rsidRDefault="00550EF5" w:rsidP="00925AA2">
            <w:pPr>
              <w:ind w:firstLineChars="200" w:firstLine="420"/>
              <w:rPr>
                <w:szCs w:val="21"/>
              </w:rPr>
            </w:pPr>
            <w:r w:rsidRPr="005C6951">
              <w:rPr>
                <w:rFonts w:hint="eastAsia"/>
                <w:szCs w:val="21"/>
              </w:rPr>
              <w:t>本基金根据认购</w:t>
            </w:r>
            <w:r w:rsidRPr="005C6951">
              <w:rPr>
                <w:rFonts w:hint="eastAsia"/>
                <w:szCs w:val="21"/>
              </w:rPr>
              <w:t>/</w:t>
            </w:r>
            <w:r w:rsidRPr="005C6951">
              <w:rPr>
                <w:rFonts w:hint="eastAsia"/>
                <w:szCs w:val="21"/>
              </w:rPr>
              <w:t>申购费用、销售服务费用收取方式的不同，将基金份额分为不同的类别。在投资人认购</w:t>
            </w:r>
            <w:r w:rsidRPr="005C6951">
              <w:rPr>
                <w:rFonts w:hint="eastAsia"/>
                <w:szCs w:val="21"/>
              </w:rPr>
              <w:t>/</w:t>
            </w:r>
            <w:r w:rsidRPr="005C6951">
              <w:rPr>
                <w:rFonts w:hint="eastAsia"/>
                <w:szCs w:val="21"/>
              </w:rPr>
              <w:t>申购基金份额时收取认购</w:t>
            </w:r>
            <w:r w:rsidRPr="005C6951">
              <w:rPr>
                <w:rFonts w:hint="eastAsia"/>
                <w:szCs w:val="21"/>
              </w:rPr>
              <w:t>/</w:t>
            </w:r>
            <w:r w:rsidRPr="005C6951">
              <w:rPr>
                <w:rFonts w:hint="eastAsia"/>
                <w:szCs w:val="21"/>
              </w:rPr>
              <w:t>申购费用，并不再从本类别基金资产中计提销售服务费的基金份额，称为</w:t>
            </w:r>
            <w:r w:rsidRPr="005C6951">
              <w:rPr>
                <w:rFonts w:hint="eastAsia"/>
                <w:szCs w:val="21"/>
              </w:rPr>
              <w:t>A</w:t>
            </w:r>
            <w:r w:rsidRPr="005C6951">
              <w:rPr>
                <w:rFonts w:hint="eastAsia"/>
                <w:szCs w:val="21"/>
              </w:rPr>
              <w:t>类基金份额；从本类别基金资产中计提销售服务费，并不收取认购</w:t>
            </w:r>
            <w:r w:rsidRPr="005C6951">
              <w:rPr>
                <w:rFonts w:hint="eastAsia"/>
                <w:szCs w:val="21"/>
              </w:rPr>
              <w:t>/</w:t>
            </w:r>
            <w:r w:rsidRPr="005C6951">
              <w:rPr>
                <w:rFonts w:hint="eastAsia"/>
                <w:szCs w:val="21"/>
              </w:rPr>
              <w:t>申购费用的基金份额，称为</w:t>
            </w:r>
            <w:r w:rsidRPr="005C6951">
              <w:rPr>
                <w:rFonts w:hint="eastAsia"/>
                <w:szCs w:val="21"/>
              </w:rPr>
              <w:t>C</w:t>
            </w:r>
            <w:r w:rsidRPr="005C6951">
              <w:rPr>
                <w:rFonts w:hint="eastAsia"/>
                <w:szCs w:val="21"/>
              </w:rPr>
              <w:t>类基金份额。相关费率的设置及费率水平在本基金招募说明书或相关公告中列示。</w:t>
            </w:r>
          </w:p>
          <w:p w:rsidR="00550EF5" w:rsidRPr="005C6951" w:rsidRDefault="00550EF5" w:rsidP="00925AA2">
            <w:pPr>
              <w:ind w:firstLineChars="200" w:firstLine="420"/>
              <w:rPr>
                <w:szCs w:val="21"/>
              </w:rPr>
            </w:pPr>
            <w:r w:rsidRPr="005C6951">
              <w:rPr>
                <w:rFonts w:hint="eastAsia"/>
                <w:szCs w:val="21"/>
              </w:rPr>
              <w:t>本基金各类基金份额分别设置代码，合并投资运作，分别计算和公告各类基金份额的基金份额净值和基金份额累计净值。</w:t>
            </w:r>
          </w:p>
          <w:p w:rsidR="00550EF5" w:rsidRPr="000C2B45" w:rsidRDefault="00550EF5" w:rsidP="00925AA2">
            <w:pPr>
              <w:ind w:firstLineChars="200" w:firstLine="420"/>
              <w:rPr>
                <w:bCs/>
                <w:szCs w:val="21"/>
              </w:rPr>
            </w:pPr>
            <w:r w:rsidRPr="005C6951">
              <w:rPr>
                <w:rFonts w:hint="eastAsia"/>
                <w:szCs w:val="21"/>
              </w:rPr>
              <w:t>投资人在认购</w:t>
            </w:r>
            <w:r w:rsidRPr="005C6951">
              <w:rPr>
                <w:rFonts w:hint="eastAsia"/>
                <w:szCs w:val="21"/>
              </w:rPr>
              <w:t>/</w:t>
            </w:r>
            <w:r w:rsidRPr="005C6951">
              <w:rPr>
                <w:rFonts w:hint="eastAsia"/>
                <w:szCs w:val="21"/>
              </w:rPr>
              <w:t>申购基金份额时可自行选择认购</w:t>
            </w:r>
            <w:r w:rsidRPr="005C6951">
              <w:rPr>
                <w:rFonts w:hint="eastAsia"/>
                <w:szCs w:val="21"/>
              </w:rPr>
              <w:t>/</w:t>
            </w:r>
            <w:r w:rsidRPr="005C6951">
              <w:rPr>
                <w:rFonts w:hint="eastAsia"/>
                <w:szCs w:val="21"/>
              </w:rPr>
              <w:t>申购的基金份额类别。</w:t>
            </w:r>
          </w:p>
        </w:tc>
      </w:tr>
      <w:tr w:rsidR="00550EF5" w:rsidTr="00925AA2">
        <w:tc>
          <w:tcPr>
            <w:tcW w:w="704" w:type="dxa"/>
            <w:vAlign w:val="center"/>
          </w:tcPr>
          <w:p w:rsidR="00550EF5" w:rsidRPr="002E1255" w:rsidRDefault="00550EF5" w:rsidP="00925AA2">
            <w:pPr>
              <w:jc w:val="center"/>
              <w:rPr>
                <w:b/>
              </w:rPr>
            </w:pPr>
            <w:r>
              <w:rPr>
                <w:rFonts w:hint="eastAsia"/>
                <w:b/>
              </w:rPr>
              <w:t>第六</w:t>
            </w:r>
            <w:r w:rsidRPr="00E56620">
              <w:rPr>
                <w:rFonts w:hint="eastAsia"/>
                <w:b/>
              </w:rPr>
              <w:t>部分</w:t>
            </w:r>
            <w:r w:rsidRPr="00E56620">
              <w:rPr>
                <w:rFonts w:hint="eastAsia"/>
                <w:b/>
              </w:rPr>
              <w:t xml:space="preserve"> </w:t>
            </w:r>
            <w:r w:rsidRPr="00E56620">
              <w:rPr>
                <w:rFonts w:hint="eastAsia"/>
                <w:b/>
              </w:rPr>
              <w:t>基金</w:t>
            </w:r>
            <w:r>
              <w:rPr>
                <w:rFonts w:hint="eastAsia"/>
                <w:b/>
              </w:rPr>
              <w:t>份额的申购与赎回</w:t>
            </w:r>
          </w:p>
        </w:tc>
        <w:tc>
          <w:tcPr>
            <w:tcW w:w="3909" w:type="dxa"/>
          </w:tcPr>
          <w:p w:rsidR="00550EF5" w:rsidRDefault="00550EF5" w:rsidP="00925AA2">
            <w:pPr>
              <w:ind w:firstLineChars="200" w:firstLine="420"/>
            </w:pPr>
            <w:r>
              <w:rPr>
                <w:rFonts w:hint="eastAsia"/>
              </w:rPr>
              <w:t>十一、基金转换</w:t>
            </w:r>
          </w:p>
          <w:p w:rsidR="00550EF5" w:rsidRPr="00016860" w:rsidRDefault="00550EF5" w:rsidP="00925AA2">
            <w:pPr>
              <w:ind w:firstLineChars="200" w:firstLine="420"/>
            </w:pPr>
            <w:r w:rsidRPr="0022026C">
              <w:rPr>
                <w:rFonts w:hint="eastAsia"/>
              </w:rPr>
              <w:t>基金管理人可以根据相关法律法规以及本基金合同的规定决定开办本基金</w:t>
            </w:r>
            <w:r w:rsidRPr="00F9586A">
              <w:rPr>
                <w:rFonts w:hint="eastAsia"/>
                <w:b/>
                <w:strike/>
              </w:rPr>
              <w:t>与基金管理人管理的其他基金之间</w:t>
            </w:r>
            <w:r w:rsidRPr="0022026C">
              <w:rPr>
                <w:rFonts w:hint="eastAsia"/>
              </w:rPr>
              <w:t>的转换业务，基金转换可以收取一定的转换费，相关规则由基金管理人届时根据相关法律法规及本基金合同的规定制定并公告，并提前告知基金托管人与相关机构。</w:t>
            </w:r>
          </w:p>
        </w:tc>
        <w:tc>
          <w:tcPr>
            <w:tcW w:w="3909" w:type="dxa"/>
          </w:tcPr>
          <w:p w:rsidR="00550EF5" w:rsidRDefault="00550EF5" w:rsidP="00925AA2">
            <w:pPr>
              <w:ind w:firstLineChars="200" w:firstLine="420"/>
            </w:pPr>
            <w:r>
              <w:rPr>
                <w:rFonts w:hint="eastAsia"/>
              </w:rPr>
              <w:t>十一、基金转换</w:t>
            </w:r>
          </w:p>
          <w:p w:rsidR="00550EF5" w:rsidRPr="00016860" w:rsidRDefault="00550EF5" w:rsidP="00925AA2">
            <w:pPr>
              <w:ind w:firstLineChars="200" w:firstLine="420"/>
              <w:rPr>
                <w:bCs/>
                <w:szCs w:val="21"/>
              </w:rPr>
            </w:pPr>
            <w:r w:rsidRPr="0022026C">
              <w:rPr>
                <w:rFonts w:hint="eastAsia"/>
              </w:rPr>
              <w:t>基金管理人可以根据相关法律法规以及本基金合同的规定决定开办本基金的</w:t>
            </w:r>
            <w:r w:rsidRPr="00F9586A">
              <w:rPr>
                <w:rFonts w:hint="eastAsia"/>
                <w:b/>
                <w:u w:val="single"/>
              </w:rPr>
              <w:t>基金</w:t>
            </w:r>
            <w:r w:rsidRPr="0022026C">
              <w:rPr>
                <w:rFonts w:hint="eastAsia"/>
              </w:rPr>
              <w:t>转换业务，基金转换可以收取一定的转换费，相关规则由基金管理人届时根据相关法律法规及本基金合同的规定制定并公告，并提前告知基金托管人与相关机构。</w:t>
            </w:r>
          </w:p>
        </w:tc>
      </w:tr>
      <w:tr w:rsidR="00550EF5" w:rsidTr="00925AA2">
        <w:tc>
          <w:tcPr>
            <w:tcW w:w="704" w:type="dxa"/>
            <w:vAlign w:val="center"/>
          </w:tcPr>
          <w:p w:rsidR="00550EF5" w:rsidRPr="00E56620" w:rsidRDefault="00550EF5" w:rsidP="00925AA2">
            <w:pPr>
              <w:jc w:val="center"/>
              <w:rPr>
                <w:b/>
              </w:rPr>
            </w:pPr>
            <w:r w:rsidRPr="002E1255">
              <w:rPr>
                <w:rFonts w:hint="eastAsia"/>
                <w:b/>
              </w:rPr>
              <w:t>第</w:t>
            </w:r>
            <w:r>
              <w:rPr>
                <w:rFonts w:hint="eastAsia"/>
                <w:b/>
              </w:rPr>
              <w:t>七</w:t>
            </w:r>
            <w:r w:rsidRPr="002E1255">
              <w:rPr>
                <w:rFonts w:hint="eastAsia"/>
                <w:b/>
              </w:rPr>
              <w:t>部分</w:t>
            </w:r>
            <w:r w:rsidRPr="002E1255">
              <w:rPr>
                <w:rFonts w:hint="eastAsia"/>
                <w:b/>
              </w:rPr>
              <w:t xml:space="preserve">  </w:t>
            </w:r>
            <w:r w:rsidRPr="002E1255">
              <w:rPr>
                <w:rFonts w:hint="eastAsia"/>
                <w:b/>
              </w:rPr>
              <w:t>基金</w:t>
            </w:r>
            <w:r>
              <w:rPr>
                <w:rFonts w:hint="eastAsia"/>
                <w:b/>
              </w:rPr>
              <w:t>合同当事人及权利义务</w:t>
            </w:r>
          </w:p>
        </w:tc>
        <w:tc>
          <w:tcPr>
            <w:tcW w:w="3909" w:type="dxa"/>
          </w:tcPr>
          <w:p w:rsidR="00550EF5" w:rsidRPr="0022026C" w:rsidRDefault="00550EF5" w:rsidP="00925AA2">
            <w:pPr>
              <w:ind w:firstLineChars="200" w:firstLine="420"/>
            </w:pPr>
            <w:r w:rsidRPr="0022026C">
              <w:rPr>
                <w:rFonts w:hint="eastAsia"/>
              </w:rPr>
              <w:t>一、基金管理人</w:t>
            </w:r>
          </w:p>
          <w:p w:rsidR="00550EF5" w:rsidRPr="0022026C" w:rsidRDefault="00550EF5" w:rsidP="00925AA2">
            <w:pPr>
              <w:ind w:firstLineChars="200" w:firstLine="420"/>
            </w:pPr>
            <w:r w:rsidRPr="0022026C">
              <w:rPr>
                <w:rFonts w:hint="eastAsia"/>
              </w:rPr>
              <w:t>（一）基金管理人简况</w:t>
            </w:r>
          </w:p>
          <w:p w:rsidR="00550EF5" w:rsidRPr="0022026C" w:rsidRDefault="00550EF5" w:rsidP="00925AA2">
            <w:pPr>
              <w:ind w:firstLineChars="200" w:firstLine="420"/>
            </w:pPr>
            <w:r w:rsidRPr="0022026C">
              <w:rPr>
                <w:rFonts w:hint="eastAsia"/>
              </w:rPr>
              <w:t>名称：嘉实基金管理有限公司</w:t>
            </w:r>
          </w:p>
          <w:p w:rsidR="00550EF5" w:rsidRPr="0022026C" w:rsidRDefault="00550EF5" w:rsidP="00925AA2">
            <w:pPr>
              <w:ind w:firstLineChars="200" w:firstLine="420"/>
            </w:pPr>
            <w:r w:rsidRPr="0022026C">
              <w:rPr>
                <w:rFonts w:hint="eastAsia"/>
              </w:rPr>
              <w:t>住所：中国（上海）自由贸易试验区陆家嘴环路</w:t>
            </w:r>
            <w:r w:rsidRPr="0022026C">
              <w:rPr>
                <w:rFonts w:hint="eastAsia"/>
              </w:rPr>
              <w:t>1318</w:t>
            </w:r>
            <w:r w:rsidRPr="0022026C">
              <w:rPr>
                <w:rFonts w:hint="eastAsia"/>
              </w:rPr>
              <w:t>号</w:t>
            </w:r>
            <w:r w:rsidRPr="0022026C">
              <w:rPr>
                <w:rFonts w:hint="eastAsia"/>
              </w:rPr>
              <w:t>1806A</w:t>
            </w:r>
            <w:r w:rsidRPr="0022026C">
              <w:rPr>
                <w:rFonts w:hint="eastAsia"/>
              </w:rPr>
              <w:t>单元</w:t>
            </w:r>
          </w:p>
          <w:p w:rsidR="00550EF5" w:rsidRPr="0022026C" w:rsidRDefault="00550EF5" w:rsidP="00925AA2">
            <w:pPr>
              <w:ind w:firstLineChars="200" w:firstLine="420"/>
            </w:pPr>
            <w:r w:rsidRPr="0022026C">
              <w:rPr>
                <w:rFonts w:hint="eastAsia"/>
              </w:rPr>
              <w:t>法定代表人：经雷</w:t>
            </w:r>
          </w:p>
          <w:p w:rsidR="00550EF5" w:rsidRPr="0022026C" w:rsidRDefault="00550EF5" w:rsidP="00925AA2">
            <w:pPr>
              <w:ind w:firstLineChars="200" w:firstLine="420"/>
            </w:pPr>
            <w:r w:rsidRPr="0022026C">
              <w:rPr>
                <w:rFonts w:hint="eastAsia"/>
              </w:rPr>
              <w:t>设立日期：</w:t>
            </w:r>
            <w:r w:rsidRPr="0022026C">
              <w:rPr>
                <w:rFonts w:hint="eastAsia"/>
              </w:rPr>
              <w:t>1999</w:t>
            </w:r>
            <w:r w:rsidRPr="0022026C">
              <w:rPr>
                <w:rFonts w:hint="eastAsia"/>
              </w:rPr>
              <w:t>年</w:t>
            </w:r>
            <w:r w:rsidRPr="0022026C">
              <w:rPr>
                <w:rFonts w:hint="eastAsia"/>
              </w:rPr>
              <w:t>3</w:t>
            </w:r>
            <w:r w:rsidRPr="0022026C">
              <w:rPr>
                <w:rFonts w:hint="eastAsia"/>
              </w:rPr>
              <w:t>月</w:t>
            </w:r>
            <w:r w:rsidRPr="0022026C">
              <w:rPr>
                <w:rFonts w:hint="eastAsia"/>
              </w:rPr>
              <w:t>25</w:t>
            </w:r>
            <w:r w:rsidRPr="0022026C">
              <w:rPr>
                <w:rFonts w:hint="eastAsia"/>
              </w:rPr>
              <w:t>日</w:t>
            </w:r>
          </w:p>
          <w:p w:rsidR="00550EF5" w:rsidRPr="0022026C" w:rsidRDefault="00550EF5" w:rsidP="00925AA2">
            <w:pPr>
              <w:ind w:firstLineChars="200" w:firstLine="420"/>
            </w:pPr>
            <w:r w:rsidRPr="0022026C">
              <w:rPr>
                <w:rFonts w:hint="eastAsia"/>
              </w:rPr>
              <w:t>批准设立机关及批准设立文号：中国证监会证监基字【</w:t>
            </w:r>
            <w:r w:rsidRPr="0022026C">
              <w:rPr>
                <w:rFonts w:hint="eastAsia"/>
              </w:rPr>
              <w:t>1999</w:t>
            </w:r>
            <w:r w:rsidRPr="0022026C">
              <w:rPr>
                <w:rFonts w:hint="eastAsia"/>
              </w:rPr>
              <w:t>】</w:t>
            </w:r>
            <w:r w:rsidRPr="0022026C">
              <w:rPr>
                <w:rFonts w:hint="eastAsia"/>
              </w:rPr>
              <w:t>5</w:t>
            </w:r>
            <w:r w:rsidRPr="0022026C">
              <w:rPr>
                <w:rFonts w:hint="eastAsia"/>
              </w:rPr>
              <w:t>号</w:t>
            </w:r>
          </w:p>
          <w:p w:rsidR="00550EF5" w:rsidRPr="0022026C" w:rsidRDefault="00550EF5" w:rsidP="00925AA2">
            <w:pPr>
              <w:ind w:firstLineChars="200" w:firstLine="420"/>
              <w:rPr>
                <w:b/>
                <w:strike/>
              </w:rPr>
            </w:pPr>
            <w:r w:rsidRPr="0022026C">
              <w:rPr>
                <w:rFonts w:hint="eastAsia"/>
              </w:rPr>
              <w:t>组织形式：有限责任公司（</w:t>
            </w:r>
            <w:r w:rsidRPr="0022026C">
              <w:rPr>
                <w:rFonts w:hint="eastAsia"/>
                <w:b/>
                <w:strike/>
              </w:rPr>
              <w:t>中外合资</w:t>
            </w:r>
            <w:r w:rsidRPr="0022026C">
              <w:rPr>
                <w:rFonts w:hint="eastAsia"/>
              </w:rPr>
              <w:t>）</w:t>
            </w:r>
          </w:p>
        </w:tc>
        <w:tc>
          <w:tcPr>
            <w:tcW w:w="3909" w:type="dxa"/>
          </w:tcPr>
          <w:p w:rsidR="00550EF5" w:rsidRPr="0022026C" w:rsidRDefault="00550EF5" w:rsidP="00925AA2">
            <w:pPr>
              <w:ind w:firstLineChars="200" w:firstLine="420"/>
            </w:pPr>
            <w:r w:rsidRPr="0022026C">
              <w:rPr>
                <w:rFonts w:hint="eastAsia"/>
              </w:rPr>
              <w:t>一、基金管理人</w:t>
            </w:r>
          </w:p>
          <w:p w:rsidR="00550EF5" w:rsidRPr="0022026C" w:rsidRDefault="00550EF5" w:rsidP="00925AA2">
            <w:pPr>
              <w:ind w:firstLineChars="200" w:firstLine="420"/>
            </w:pPr>
            <w:r w:rsidRPr="0022026C">
              <w:rPr>
                <w:rFonts w:hint="eastAsia"/>
              </w:rPr>
              <w:t>（一）基金管理人简况</w:t>
            </w:r>
          </w:p>
          <w:p w:rsidR="00550EF5" w:rsidRPr="0022026C" w:rsidRDefault="00550EF5" w:rsidP="00925AA2">
            <w:pPr>
              <w:ind w:firstLineChars="200" w:firstLine="420"/>
            </w:pPr>
            <w:r w:rsidRPr="0022026C">
              <w:rPr>
                <w:rFonts w:hint="eastAsia"/>
              </w:rPr>
              <w:t>名称：嘉实基金管理有限公司</w:t>
            </w:r>
          </w:p>
          <w:p w:rsidR="00550EF5" w:rsidRPr="0022026C" w:rsidRDefault="00550EF5" w:rsidP="00925AA2">
            <w:pPr>
              <w:ind w:firstLineChars="200" w:firstLine="420"/>
            </w:pPr>
            <w:r w:rsidRPr="0022026C">
              <w:rPr>
                <w:rFonts w:hint="eastAsia"/>
              </w:rPr>
              <w:t>住所：中国（上海）自由贸易试验区陆家嘴环路</w:t>
            </w:r>
            <w:r w:rsidRPr="0022026C">
              <w:rPr>
                <w:rFonts w:hint="eastAsia"/>
              </w:rPr>
              <w:t>1318</w:t>
            </w:r>
            <w:r w:rsidRPr="0022026C">
              <w:rPr>
                <w:rFonts w:hint="eastAsia"/>
              </w:rPr>
              <w:t>号</w:t>
            </w:r>
            <w:r w:rsidRPr="0022026C">
              <w:rPr>
                <w:rFonts w:hint="eastAsia"/>
              </w:rPr>
              <w:t>1806A</w:t>
            </w:r>
            <w:r w:rsidRPr="0022026C">
              <w:rPr>
                <w:rFonts w:hint="eastAsia"/>
              </w:rPr>
              <w:t>单元</w:t>
            </w:r>
          </w:p>
          <w:p w:rsidR="00550EF5" w:rsidRPr="0022026C" w:rsidRDefault="00550EF5" w:rsidP="00925AA2">
            <w:pPr>
              <w:ind w:firstLineChars="200" w:firstLine="420"/>
            </w:pPr>
            <w:r w:rsidRPr="0022026C">
              <w:rPr>
                <w:rFonts w:hint="eastAsia"/>
              </w:rPr>
              <w:t>法定代表人：经雷</w:t>
            </w:r>
          </w:p>
          <w:p w:rsidR="00550EF5" w:rsidRPr="0022026C" w:rsidRDefault="00550EF5" w:rsidP="00925AA2">
            <w:pPr>
              <w:ind w:firstLineChars="200" w:firstLine="420"/>
            </w:pPr>
            <w:r w:rsidRPr="0022026C">
              <w:rPr>
                <w:rFonts w:hint="eastAsia"/>
              </w:rPr>
              <w:t>设立日期：</w:t>
            </w:r>
            <w:r w:rsidRPr="0022026C">
              <w:rPr>
                <w:rFonts w:hint="eastAsia"/>
              </w:rPr>
              <w:t>1999</w:t>
            </w:r>
            <w:r w:rsidRPr="0022026C">
              <w:rPr>
                <w:rFonts w:hint="eastAsia"/>
              </w:rPr>
              <w:t>年</w:t>
            </w:r>
            <w:r w:rsidRPr="0022026C">
              <w:rPr>
                <w:rFonts w:hint="eastAsia"/>
              </w:rPr>
              <w:t>3</w:t>
            </w:r>
            <w:r w:rsidRPr="0022026C">
              <w:rPr>
                <w:rFonts w:hint="eastAsia"/>
              </w:rPr>
              <w:t>月</w:t>
            </w:r>
            <w:r w:rsidRPr="0022026C">
              <w:rPr>
                <w:rFonts w:hint="eastAsia"/>
              </w:rPr>
              <w:t>25</w:t>
            </w:r>
            <w:r w:rsidRPr="0022026C">
              <w:rPr>
                <w:rFonts w:hint="eastAsia"/>
              </w:rPr>
              <w:t>日</w:t>
            </w:r>
          </w:p>
          <w:p w:rsidR="00550EF5" w:rsidRPr="0022026C" w:rsidRDefault="00550EF5" w:rsidP="00925AA2">
            <w:pPr>
              <w:ind w:firstLineChars="200" w:firstLine="420"/>
            </w:pPr>
            <w:r w:rsidRPr="0022026C">
              <w:rPr>
                <w:rFonts w:hint="eastAsia"/>
              </w:rPr>
              <w:t>批准设立机关及批准设立文号：中国证监会证监基字【</w:t>
            </w:r>
            <w:r w:rsidRPr="0022026C">
              <w:rPr>
                <w:rFonts w:hint="eastAsia"/>
              </w:rPr>
              <w:t>1999</w:t>
            </w:r>
            <w:r w:rsidRPr="0022026C">
              <w:rPr>
                <w:rFonts w:hint="eastAsia"/>
              </w:rPr>
              <w:t>】</w:t>
            </w:r>
            <w:r w:rsidRPr="0022026C">
              <w:rPr>
                <w:rFonts w:hint="eastAsia"/>
              </w:rPr>
              <w:t>5</w:t>
            </w:r>
            <w:r w:rsidRPr="0022026C">
              <w:rPr>
                <w:rFonts w:hint="eastAsia"/>
              </w:rPr>
              <w:t>号</w:t>
            </w:r>
          </w:p>
          <w:p w:rsidR="00550EF5" w:rsidRDefault="00550EF5" w:rsidP="00925AA2">
            <w:pPr>
              <w:ind w:firstLineChars="200" w:firstLine="420"/>
            </w:pPr>
            <w:r w:rsidRPr="0022026C">
              <w:rPr>
                <w:rFonts w:hint="eastAsia"/>
              </w:rPr>
              <w:t>组织形式：有限责任公司（</w:t>
            </w:r>
            <w:r w:rsidRPr="0022026C">
              <w:rPr>
                <w:rFonts w:hint="eastAsia"/>
                <w:b/>
                <w:u w:val="single"/>
              </w:rPr>
              <w:t>中外合资外商投资、非独资</w:t>
            </w:r>
            <w:r w:rsidRPr="0022026C">
              <w:rPr>
                <w:rFonts w:hint="eastAsia"/>
              </w:rPr>
              <w:t>）</w:t>
            </w:r>
          </w:p>
        </w:tc>
      </w:tr>
    </w:tbl>
    <w:p w:rsidR="00550EF5" w:rsidRPr="00550EF5" w:rsidRDefault="00550EF5" w:rsidP="0074364E">
      <w:pPr>
        <w:snapToGrid w:val="0"/>
        <w:spacing w:line="360" w:lineRule="auto"/>
        <w:rPr>
          <w:rFonts w:ascii="宋体" w:hAnsi="宋体"/>
          <w:szCs w:val="21"/>
        </w:rPr>
      </w:pPr>
    </w:p>
    <w:p w:rsidR="00885C1B" w:rsidRDefault="00885C1B">
      <w:pPr>
        <w:widowControl/>
        <w:jc w:val="left"/>
        <w:rPr>
          <w:rFonts w:ascii="宋体" w:hAnsi="宋体"/>
          <w:szCs w:val="21"/>
        </w:rPr>
      </w:pPr>
      <w:r>
        <w:rPr>
          <w:rFonts w:ascii="宋体" w:hAnsi="宋体"/>
          <w:szCs w:val="21"/>
        </w:rPr>
        <w:br w:type="page"/>
      </w:r>
    </w:p>
    <w:p w:rsidR="0074364E" w:rsidRDefault="0074364E" w:rsidP="0074364E">
      <w:pPr>
        <w:snapToGrid w:val="0"/>
        <w:spacing w:line="360" w:lineRule="auto"/>
        <w:rPr>
          <w:rFonts w:ascii="宋体" w:hAnsi="宋体"/>
          <w:szCs w:val="21"/>
        </w:rPr>
      </w:pPr>
      <w:r>
        <w:rPr>
          <w:rFonts w:ascii="宋体" w:hAnsi="宋体" w:hint="eastAsia"/>
          <w:szCs w:val="21"/>
        </w:rPr>
        <w:t>附4：</w:t>
      </w:r>
      <w:r w:rsidR="00AB72EA" w:rsidRPr="00AB72EA">
        <w:rPr>
          <w:rFonts w:asciiTheme="minorEastAsia" w:eastAsiaTheme="minorEastAsia" w:hAnsiTheme="minorEastAsia" w:cs="Arial" w:hint="eastAsia"/>
          <w:szCs w:val="21"/>
        </w:rPr>
        <w:t>嘉实中证半导体产业指数增强型发起式证券投资基金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p>
    <w:tbl>
      <w:tblPr>
        <w:tblpPr w:leftFromText="180" w:rightFromText="180" w:vertAnchor="text" w:horzAnchor="page" w:tblpXSpec="center" w:tblpY="29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885C1B" w:rsidTr="00B12DD0">
        <w:tc>
          <w:tcPr>
            <w:tcW w:w="394" w:type="pct"/>
            <w:vAlign w:val="center"/>
          </w:tcPr>
          <w:p w:rsidR="00885C1B" w:rsidRDefault="00885C1B" w:rsidP="00B12DD0">
            <w:pPr>
              <w:snapToGrid w:val="0"/>
              <w:jc w:val="center"/>
              <w:rPr>
                <w:rFonts w:cs="宋体"/>
                <w:b/>
                <w:szCs w:val="21"/>
              </w:rPr>
            </w:pPr>
            <w:r>
              <w:rPr>
                <w:rFonts w:cs="宋体" w:hint="eastAsia"/>
                <w:b/>
                <w:szCs w:val="21"/>
              </w:rPr>
              <w:t>章节</w:t>
            </w:r>
          </w:p>
        </w:tc>
        <w:tc>
          <w:tcPr>
            <w:tcW w:w="2303" w:type="pct"/>
          </w:tcPr>
          <w:p w:rsidR="00885C1B" w:rsidRDefault="00885C1B" w:rsidP="00B12DD0">
            <w:pPr>
              <w:snapToGrid w:val="0"/>
              <w:jc w:val="center"/>
              <w:rPr>
                <w:rFonts w:cs="宋体"/>
                <w:b/>
                <w:szCs w:val="21"/>
              </w:rPr>
            </w:pPr>
            <w:r>
              <w:rPr>
                <w:rFonts w:cs="宋体" w:hint="eastAsia"/>
                <w:b/>
                <w:szCs w:val="21"/>
              </w:rPr>
              <w:t>修改前</w:t>
            </w:r>
          </w:p>
        </w:tc>
        <w:tc>
          <w:tcPr>
            <w:tcW w:w="2303" w:type="pct"/>
          </w:tcPr>
          <w:p w:rsidR="00885C1B" w:rsidRDefault="00885C1B" w:rsidP="00B12DD0">
            <w:pPr>
              <w:snapToGrid w:val="0"/>
              <w:jc w:val="center"/>
              <w:rPr>
                <w:rFonts w:cs="宋体"/>
                <w:b/>
                <w:szCs w:val="21"/>
              </w:rPr>
            </w:pPr>
            <w:r>
              <w:rPr>
                <w:rFonts w:cs="宋体" w:hint="eastAsia"/>
                <w:b/>
                <w:szCs w:val="21"/>
              </w:rPr>
              <w:t>修改后</w:t>
            </w:r>
          </w:p>
        </w:tc>
      </w:tr>
      <w:tr w:rsidR="00885C1B" w:rsidTr="00B12DD0">
        <w:tc>
          <w:tcPr>
            <w:tcW w:w="394" w:type="pct"/>
            <w:vMerge w:val="restart"/>
            <w:vAlign w:val="center"/>
          </w:tcPr>
          <w:p w:rsidR="00885C1B" w:rsidRDefault="00885C1B" w:rsidP="00B12DD0">
            <w:pPr>
              <w:snapToGrid w:val="0"/>
              <w:jc w:val="center"/>
              <w:rPr>
                <w:rFonts w:cs="宋体"/>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885C1B" w:rsidRPr="005040B5" w:rsidRDefault="00885C1B" w:rsidP="00B12DD0">
            <w:pPr>
              <w:snapToGrid w:val="0"/>
              <w:rPr>
                <w:rFonts w:cs="宋体"/>
                <w:szCs w:val="21"/>
              </w:rPr>
            </w:pPr>
            <w:r w:rsidRPr="004C11CA">
              <w:rPr>
                <w:rFonts w:cs="宋体"/>
                <w:szCs w:val="21"/>
              </w:rPr>
              <w:t>1</w:t>
            </w:r>
            <w:r>
              <w:rPr>
                <w:rFonts w:cs="宋体"/>
                <w:szCs w:val="21"/>
              </w:rPr>
              <w:t>5</w:t>
            </w:r>
            <w:r w:rsidRPr="004C11CA">
              <w:rPr>
                <w:rFonts w:cs="宋体"/>
                <w:szCs w:val="21"/>
              </w:rPr>
              <w:t>、银行业监督管理机构：指中国人民银行和</w:t>
            </w:r>
            <w:r w:rsidRPr="004C11CA">
              <w:rPr>
                <w:rFonts w:cs="宋体"/>
                <w:szCs w:val="21"/>
              </w:rPr>
              <w:t>/</w:t>
            </w:r>
            <w:r w:rsidRPr="004C11CA">
              <w:rPr>
                <w:rFonts w:cs="宋体"/>
                <w:szCs w:val="21"/>
              </w:rPr>
              <w:t>或</w:t>
            </w:r>
            <w:r w:rsidRPr="00504BCE">
              <w:rPr>
                <w:rFonts w:cs="宋体" w:hint="eastAsia"/>
                <w:b/>
                <w:strike/>
                <w:szCs w:val="21"/>
              </w:rPr>
              <w:t>中国银行保险监督管理委员会</w:t>
            </w:r>
          </w:p>
        </w:tc>
        <w:tc>
          <w:tcPr>
            <w:tcW w:w="2303" w:type="pct"/>
          </w:tcPr>
          <w:p w:rsidR="00885C1B" w:rsidRPr="00504BCE" w:rsidRDefault="00885C1B" w:rsidP="00B12DD0">
            <w:pPr>
              <w:snapToGrid w:val="0"/>
              <w:rPr>
                <w:rFonts w:cs="宋体"/>
                <w:szCs w:val="21"/>
              </w:rPr>
            </w:pPr>
            <w:r w:rsidRPr="00504BCE">
              <w:rPr>
                <w:rFonts w:cs="宋体"/>
                <w:szCs w:val="21"/>
              </w:rPr>
              <w:t>1</w:t>
            </w:r>
            <w:r>
              <w:rPr>
                <w:rFonts w:cs="宋体"/>
                <w:szCs w:val="21"/>
              </w:rPr>
              <w:t>5</w:t>
            </w:r>
            <w:r w:rsidRPr="00504BCE">
              <w:rPr>
                <w:rFonts w:cs="宋体" w:hint="eastAsia"/>
                <w:szCs w:val="21"/>
              </w:rPr>
              <w:t>、银行业监督管理机构：指中国人民银行和</w:t>
            </w:r>
            <w:r w:rsidRPr="00504BCE">
              <w:rPr>
                <w:rFonts w:cs="宋体"/>
                <w:szCs w:val="21"/>
              </w:rPr>
              <w:t>/</w:t>
            </w:r>
            <w:r w:rsidRPr="00504BCE">
              <w:rPr>
                <w:rFonts w:cs="宋体" w:hint="eastAsia"/>
                <w:szCs w:val="21"/>
              </w:rPr>
              <w:t>或</w:t>
            </w:r>
            <w:r w:rsidRPr="004C11CA">
              <w:rPr>
                <w:rFonts w:cs="宋体" w:hint="eastAsia"/>
                <w:b/>
                <w:szCs w:val="21"/>
                <w:u w:val="single"/>
              </w:rPr>
              <w:t>国家金融监督管理总局等对银行业金融机构进行监督和管理的机构</w:t>
            </w:r>
          </w:p>
        </w:tc>
      </w:tr>
      <w:tr w:rsidR="00885C1B" w:rsidTr="00B12DD0">
        <w:tc>
          <w:tcPr>
            <w:tcW w:w="394" w:type="pct"/>
            <w:vMerge/>
            <w:vAlign w:val="center"/>
          </w:tcPr>
          <w:p w:rsidR="00885C1B" w:rsidRPr="005040B5" w:rsidRDefault="00885C1B" w:rsidP="00B12DD0">
            <w:pPr>
              <w:snapToGrid w:val="0"/>
              <w:jc w:val="center"/>
              <w:rPr>
                <w:rFonts w:cs="宋体"/>
                <w:b/>
                <w:szCs w:val="21"/>
              </w:rPr>
            </w:pPr>
          </w:p>
        </w:tc>
        <w:tc>
          <w:tcPr>
            <w:tcW w:w="2303" w:type="pct"/>
          </w:tcPr>
          <w:p w:rsidR="00885C1B" w:rsidRDefault="00885C1B" w:rsidP="00B12DD0">
            <w:pPr>
              <w:snapToGrid w:val="0"/>
              <w:rPr>
                <w:rFonts w:cs="宋体"/>
                <w:szCs w:val="21"/>
              </w:rPr>
            </w:pPr>
            <w:r w:rsidRPr="00ED11F5">
              <w:rPr>
                <w:rFonts w:cs="宋体"/>
                <w:szCs w:val="21"/>
              </w:rPr>
              <w:t>4</w:t>
            </w:r>
            <w:r>
              <w:rPr>
                <w:rFonts w:cs="宋体"/>
                <w:szCs w:val="21"/>
              </w:rPr>
              <w:t>2</w:t>
            </w:r>
            <w:r w:rsidRPr="00ED11F5">
              <w:rPr>
                <w:rFonts w:cs="宋体"/>
                <w:szCs w:val="21"/>
              </w:rPr>
              <w:t>、基金转换：</w:t>
            </w:r>
            <w:r w:rsidRPr="00FD4A18">
              <w:rPr>
                <w:rFonts w:cs="宋体" w:hint="eastAsia"/>
                <w:szCs w:val="21"/>
              </w:rPr>
              <w:t>指基金份额持有人按照本基金合同和基金管理人届时有效公告规定的条件，申请将其持有基金管理人管理的某一基金的基金份额转换为</w:t>
            </w:r>
            <w:r w:rsidRPr="00FD4A18">
              <w:rPr>
                <w:rFonts w:cs="宋体"/>
                <w:b/>
                <w:strike/>
                <w:szCs w:val="21"/>
              </w:rPr>
              <w:t>基金管理人管理的其他基金基金份额的行为</w:t>
            </w:r>
          </w:p>
        </w:tc>
        <w:tc>
          <w:tcPr>
            <w:tcW w:w="2303" w:type="pct"/>
          </w:tcPr>
          <w:p w:rsidR="00885C1B" w:rsidRPr="005040B5" w:rsidRDefault="00885C1B" w:rsidP="00B12DD0">
            <w:pPr>
              <w:snapToGrid w:val="0"/>
              <w:rPr>
                <w:rFonts w:cs="宋体"/>
                <w:b/>
                <w:szCs w:val="21"/>
                <w:u w:val="single"/>
              </w:rPr>
            </w:pPr>
            <w:r w:rsidRPr="00ED11F5">
              <w:rPr>
                <w:rFonts w:cs="宋体"/>
                <w:szCs w:val="21"/>
              </w:rPr>
              <w:t>4</w:t>
            </w:r>
            <w:r>
              <w:rPr>
                <w:rFonts w:cs="宋体"/>
                <w:szCs w:val="21"/>
              </w:rPr>
              <w:t>2</w:t>
            </w:r>
            <w:r w:rsidRPr="00ED11F5">
              <w:rPr>
                <w:rFonts w:cs="宋体"/>
                <w:szCs w:val="21"/>
              </w:rPr>
              <w:t>、基金转换：</w:t>
            </w:r>
            <w:r w:rsidRPr="00FD4A18">
              <w:rPr>
                <w:rFonts w:cs="宋体" w:hint="eastAsia"/>
                <w:szCs w:val="21"/>
              </w:rPr>
              <w:t>指基金份额持有人按照本基金合同和基金管理人届时有效公告规定的条件，申请将其持有基金管理人管理的某一基金的基金份额转换为</w:t>
            </w:r>
            <w:r w:rsidRPr="00FD4A18">
              <w:rPr>
                <w:rFonts w:cs="宋体" w:hint="eastAsia"/>
                <w:b/>
                <w:szCs w:val="21"/>
                <w:u w:val="single"/>
              </w:rPr>
              <w:t>该基金其他份额（如有）或基金管理人管理的其他基金基金份额的行为</w:t>
            </w:r>
          </w:p>
        </w:tc>
      </w:tr>
      <w:tr w:rsidR="00885C1B" w:rsidTr="00B12DD0">
        <w:tc>
          <w:tcPr>
            <w:tcW w:w="394" w:type="pct"/>
            <w:vAlign w:val="center"/>
          </w:tcPr>
          <w:p w:rsidR="00885C1B" w:rsidRPr="005040B5" w:rsidRDefault="00885C1B" w:rsidP="00B12DD0">
            <w:pPr>
              <w:snapToGrid w:val="0"/>
              <w:jc w:val="center"/>
              <w:rPr>
                <w:rFonts w:cs="宋体"/>
                <w:b/>
                <w:szCs w:val="21"/>
              </w:rPr>
            </w:pPr>
            <w:r w:rsidRPr="005040B5">
              <w:rPr>
                <w:rFonts w:cs="宋体" w:hint="eastAsia"/>
                <w:b/>
                <w:szCs w:val="21"/>
              </w:rPr>
              <w:t>第三部分</w:t>
            </w:r>
            <w:r w:rsidRPr="005040B5">
              <w:rPr>
                <w:rFonts w:cs="宋体"/>
                <w:b/>
                <w:szCs w:val="21"/>
              </w:rPr>
              <w:t xml:space="preserve">  </w:t>
            </w:r>
            <w:r w:rsidRPr="005040B5">
              <w:rPr>
                <w:rFonts w:cs="宋体"/>
                <w:b/>
                <w:szCs w:val="21"/>
              </w:rPr>
              <w:t>基金的基本情况</w:t>
            </w:r>
          </w:p>
        </w:tc>
        <w:tc>
          <w:tcPr>
            <w:tcW w:w="2303" w:type="pct"/>
          </w:tcPr>
          <w:p w:rsidR="00885C1B" w:rsidRDefault="00885C1B" w:rsidP="00B12DD0">
            <w:pPr>
              <w:snapToGrid w:val="0"/>
              <w:rPr>
                <w:rFonts w:cs="宋体"/>
                <w:szCs w:val="21"/>
              </w:rPr>
            </w:pPr>
            <w:r>
              <w:rPr>
                <w:rFonts w:cs="宋体" w:hint="eastAsia"/>
                <w:szCs w:val="21"/>
              </w:rPr>
              <w:t>九</w:t>
            </w:r>
            <w:r w:rsidRPr="005040B5">
              <w:rPr>
                <w:rFonts w:cs="宋体" w:hint="eastAsia"/>
                <w:szCs w:val="21"/>
              </w:rPr>
              <w:t>、基金份额类别</w:t>
            </w:r>
          </w:p>
          <w:p w:rsidR="00885C1B" w:rsidRDefault="00885C1B" w:rsidP="00B12DD0">
            <w:pPr>
              <w:snapToGrid w:val="0"/>
              <w:rPr>
                <w:rFonts w:cs="宋体"/>
                <w:szCs w:val="21"/>
              </w:rPr>
            </w:pPr>
            <w:r>
              <w:rPr>
                <w:rFonts w:cs="宋体" w:hint="eastAsia"/>
                <w:szCs w:val="21"/>
              </w:rPr>
              <w:t>……</w:t>
            </w:r>
          </w:p>
          <w:p w:rsidR="00885C1B" w:rsidRDefault="00885C1B" w:rsidP="00B12DD0">
            <w:pPr>
              <w:snapToGrid w:val="0"/>
              <w:rPr>
                <w:rFonts w:cs="宋体"/>
                <w:szCs w:val="21"/>
              </w:rPr>
            </w:pPr>
            <w:r w:rsidRPr="00FD4A18">
              <w:rPr>
                <w:rFonts w:cs="宋体" w:hint="eastAsia"/>
                <w:szCs w:val="21"/>
              </w:rPr>
              <w:t>投资人在认购</w:t>
            </w:r>
            <w:r w:rsidRPr="00FD4A18">
              <w:rPr>
                <w:rFonts w:cs="宋体" w:hint="eastAsia"/>
                <w:szCs w:val="21"/>
              </w:rPr>
              <w:t>/</w:t>
            </w:r>
            <w:r w:rsidRPr="00FD4A18">
              <w:rPr>
                <w:rFonts w:cs="宋体" w:hint="eastAsia"/>
                <w:szCs w:val="21"/>
              </w:rPr>
              <w:t>申购基金份额时可自行选择认购</w:t>
            </w:r>
            <w:r w:rsidRPr="00FD4A18">
              <w:rPr>
                <w:rFonts w:cs="宋体" w:hint="eastAsia"/>
                <w:szCs w:val="21"/>
              </w:rPr>
              <w:t>/</w:t>
            </w:r>
            <w:r w:rsidRPr="00FD4A18">
              <w:rPr>
                <w:rFonts w:cs="宋体" w:hint="eastAsia"/>
                <w:szCs w:val="21"/>
              </w:rPr>
              <w:t>申购的基金份额类别</w:t>
            </w:r>
            <w:r w:rsidRPr="00ED11F5">
              <w:rPr>
                <w:rFonts w:cs="宋体"/>
                <w:szCs w:val="21"/>
              </w:rPr>
              <w:t>。</w:t>
            </w:r>
            <w:r w:rsidRPr="00504BCE">
              <w:rPr>
                <w:rFonts w:cs="宋体" w:hint="eastAsia"/>
                <w:b/>
                <w:strike/>
                <w:szCs w:val="21"/>
              </w:rPr>
              <w:t>本基金不同基金份额类别之间不得相互转换。</w:t>
            </w:r>
          </w:p>
        </w:tc>
        <w:tc>
          <w:tcPr>
            <w:tcW w:w="2303" w:type="pct"/>
          </w:tcPr>
          <w:p w:rsidR="00885C1B" w:rsidRPr="00ED11F5" w:rsidRDefault="00885C1B" w:rsidP="00B12DD0">
            <w:pPr>
              <w:snapToGrid w:val="0"/>
              <w:rPr>
                <w:rFonts w:cs="宋体"/>
                <w:szCs w:val="21"/>
              </w:rPr>
            </w:pPr>
            <w:r>
              <w:rPr>
                <w:rFonts w:cs="宋体" w:hint="eastAsia"/>
                <w:szCs w:val="21"/>
              </w:rPr>
              <w:t>九</w:t>
            </w:r>
            <w:r w:rsidRPr="00ED11F5">
              <w:rPr>
                <w:rFonts w:cs="宋体" w:hint="eastAsia"/>
                <w:szCs w:val="21"/>
              </w:rPr>
              <w:t>、基金份额类别</w:t>
            </w:r>
          </w:p>
          <w:p w:rsidR="00885C1B" w:rsidRPr="00ED11F5" w:rsidRDefault="00885C1B" w:rsidP="00B12DD0">
            <w:pPr>
              <w:snapToGrid w:val="0"/>
              <w:rPr>
                <w:rFonts w:cs="宋体"/>
                <w:szCs w:val="21"/>
              </w:rPr>
            </w:pPr>
            <w:r w:rsidRPr="00ED11F5">
              <w:rPr>
                <w:rFonts w:cs="宋体" w:hint="eastAsia"/>
                <w:szCs w:val="21"/>
              </w:rPr>
              <w:t>……</w:t>
            </w:r>
          </w:p>
          <w:p w:rsidR="00885C1B" w:rsidRPr="005040B5" w:rsidRDefault="00885C1B" w:rsidP="00B12DD0">
            <w:pPr>
              <w:snapToGrid w:val="0"/>
              <w:rPr>
                <w:rFonts w:cs="宋体"/>
                <w:b/>
                <w:szCs w:val="21"/>
                <w:u w:val="single"/>
              </w:rPr>
            </w:pPr>
            <w:r w:rsidRPr="00FD4A18">
              <w:rPr>
                <w:rFonts w:cs="宋体" w:hint="eastAsia"/>
                <w:szCs w:val="21"/>
              </w:rPr>
              <w:t>投资人在认购</w:t>
            </w:r>
            <w:r w:rsidRPr="00FD4A18">
              <w:rPr>
                <w:rFonts w:cs="宋体" w:hint="eastAsia"/>
                <w:szCs w:val="21"/>
              </w:rPr>
              <w:t>/</w:t>
            </w:r>
            <w:r w:rsidRPr="00FD4A18">
              <w:rPr>
                <w:rFonts w:cs="宋体" w:hint="eastAsia"/>
                <w:szCs w:val="21"/>
              </w:rPr>
              <w:t>申购基金份额时可自行选择认购</w:t>
            </w:r>
            <w:r w:rsidRPr="00FD4A18">
              <w:rPr>
                <w:rFonts w:cs="宋体" w:hint="eastAsia"/>
                <w:szCs w:val="21"/>
              </w:rPr>
              <w:t>/</w:t>
            </w:r>
            <w:r w:rsidRPr="00FD4A18">
              <w:rPr>
                <w:rFonts w:cs="宋体" w:hint="eastAsia"/>
                <w:szCs w:val="21"/>
              </w:rPr>
              <w:t>申购的基金份额类别</w:t>
            </w:r>
            <w:r w:rsidRPr="00ED11F5">
              <w:rPr>
                <w:rFonts w:cs="宋体"/>
                <w:szCs w:val="21"/>
              </w:rPr>
              <w:t>。</w:t>
            </w:r>
          </w:p>
        </w:tc>
      </w:tr>
      <w:tr w:rsidR="00885C1B" w:rsidTr="00B12DD0">
        <w:tc>
          <w:tcPr>
            <w:tcW w:w="394" w:type="pct"/>
            <w:vAlign w:val="center"/>
          </w:tcPr>
          <w:p w:rsidR="00885C1B" w:rsidRPr="005040B5" w:rsidRDefault="00885C1B" w:rsidP="00B12DD0">
            <w:pPr>
              <w:snapToGrid w:val="0"/>
              <w:jc w:val="center"/>
              <w:rPr>
                <w:rFonts w:cs="宋体"/>
                <w:b/>
                <w:szCs w:val="21"/>
              </w:rPr>
            </w:pPr>
            <w:r w:rsidRPr="005040B5">
              <w:rPr>
                <w:rFonts w:cs="宋体" w:hint="eastAsia"/>
                <w:b/>
                <w:szCs w:val="21"/>
              </w:rPr>
              <w:t>第六部分</w:t>
            </w:r>
            <w:r w:rsidRPr="005040B5">
              <w:rPr>
                <w:rFonts w:cs="宋体"/>
                <w:b/>
                <w:szCs w:val="21"/>
              </w:rPr>
              <w:t xml:space="preserve">  </w:t>
            </w:r>
            <w:r w:rsidRPr="005040B5">
              <w:rPr>
                <w:rFonts w:cs="宋体"/>
                <w:b/>
                <w:szCs w:val="21"/>
              </w:rPr>
              <w:t>基金份额的申购与赎回</w:t>
            </w:r>
          </w:p>
        </w:tc>
        <w:tc>
          <w:tcPr>
            <w:tcW w:w="2303" w:type="pct"/>
          </w:tcPr>
          <w:p w:rsidR="00885C1B" w:rsidRPr="00CB2EE1" w:rsidRDefault="00885C1B" w:rsidP="00B12DD0">
            <w:pPr>
              <w:snapToGrid w:val="0"/>
              <w:rPr>
                <w:rFonts w:cs="宋体"/>
                <w:szCs w:val="21"/>
              </w:rPr>
            </w:pPr>
            <w:r w:rsidRPr="00CB2EE1">
              <w:rPr>
                <w:rFonts w:cs="宋体" w:hint="eastAsia"/>
                <w:szCs w:val="21"/>
              </w:rPr>
              <w:t>十一、基金转换</w:t>
            </w:r>
          </w:p>
          <w:p w:rsidR="00885C1B" w:rsidRDefault="00885C1B" w:rsidP="00B12DD0">
            <w:pPr>
              <w:snapToGrid w:val="0"/>
              <w:rPr>
                <w:rFonts w:cs="宋体"/>
                <w:szCs w:val="21"/>
              </w:rPr>
            </w:pPr>
            <w:r w:rsidRPr="00CB2EE1">
              <w:rPr>
                <w:rFonts w:cs="宋体" w:hint="eastAsia"/>
                <w:szCs w:val="21"/>
              </w:rPr>
              <w:t>基金管理人可以根据相关法律法规以及本基金合同的规定决定开办本基金</w:t>
            </w:r>
            <w:r w:rsidRPr="00504BCE">
              <w:rPr>
                <w:rFonts w:cs="宋体" w:hint="eastAsia"/>
                <w:b/>
                <w:strike/>
                <w:szCs w:val="21"/>
              </w:rPr>
              <w:t>与基金管理人管理的其他基金之间</w:t>
            </w:r>
            <w:r w:rsidRPr="00CB2EE1">
              <w:rPr>
                <w:rFonts w:cs="宋体" w:hint="eastAsia"/>
                <w:szCs w:val="21"/>
              </w:rPr>
              <w:t>的转换业务，</w:t>
            </w:r>
            <w:r w:rsidRPr="00FD4A18">
              <w:rPr>
                <w:rFonts w:cs="宋体" w:hint="eastAsia"/>
                <w:szCs w:val="21"/>
              </w:rPr>
              <w:t>基金转换可以收取一定的转换费，相关规则由基金管理人届时根据相关法律法规及本基金合同的规定制定并公告，并提前告知基金托管人与相关机构</w:t>
            </w:r>
            <w:r w:rsidRPr="00CB2EE1">
              <w:rPr>
                <w:rFonts w:cs="宋体" w:hint="eastAsia"/>
                <w:szCs w:val="21"/>
              </w:rPr>
              <w:t>。</w:t>
            </w:r>
          </w:p>
        </w:tc>
        <w:tc>
          <w:tcPr>
            <w:tcW w:w="2303" w:type="pct"/>
          </w:tcPr>
          <w:p w:rsidR="00885C1B" w:rsidRPr="00CB2EE1" w:rsidRDefault="00885C1B" w:rsidP="00B12DD0">
            <w:pPr>
              <w:snapToGrid w:val="0"/>
              <w:rPr>
                <w:rFonts w:cs="宋体"/>
                <w:szCs w:val="21"/>
              </w:rPr>
            </w:pPr>
            <w:r w:rsidRPr="00CB2EE1">
              <w:rPr>
                <w:rFonts w:cs="宋体" w:hint="eastAsia"/>
                <w:szCs w:val="21"/>
              </w:rPr>
              <w:t>十一、基金转换</w:t>
            </w:r>
          </w:p>
          <w:p w:rsidR="00885C1B" w:rsidRPr="005040B5" w:rsidRDefault="00885C1B" w:rsidP="00B12DD0">
            <w:pPr>
              <w:snapToGrid w:val="0"/>
              <w:rPr>
                <w:rFonts w:cs="宋体"/>
                <w:b/>
                <w:szCs w:val="21"/>
                <w:u w:val="single"/>
              </w:rPr>
            </w:pPr>
            <w:r w:rsidRPr="00CB2EE1">
              <w:rPr>
                <w:rFonts w:cs="宋体" w:hint="eastAsia"/>
                <w:szCs w:val="21"/>
              </w:rPr>
              <w:t>基金管理人可以根据相关法律法规以及本基金合同的规定决定开办本基金的</w:t>
            </w:r>
            <w:r w:rsidRPr="00504BCE">
              <w:rPr>
                <w:rFonts w:cs="宋体" w:hint="eastAsia"/>
                <w:b/>
                <w:szCs w:val="21"/>
                <w:u w:val="single"/>
              </w:rPr>
              <w:t>基金</w:t>
            </w:r>
            <w:r w:rsidRPr="00CB2EE1">
              <w:rPr>
                <w:rFonts w:cs="宋体" w:hint="eastAsia"/>
                <w:szCs w:val="21"/>
              </w:rPr>
              <w:t>转换业务，</w:t>
            </w:r>
            <w:r w:rsidRPr="00FD4A18">
              <w:rPr>
                <w:rFonts w:cs="宋体" w:hint="eastAsia"/>
                <w:szCs w:val="21"/>
              </w:rPr>
              <w:t>基金转换可以收取一定的转换费，相关规则由基金管理人届时根据相关法律法规及本基金合同的规定制定并公告，并提前告知基金托管人与相关机构</w:t>
            </w:r>
            <w:r w:rsidRPr="00CB2EE1">
              <w:rPr>
                <w:rFonts w:cs="宋体" w:hint="eastAsia"/>
                <w:szCs w:val="21"/>
              </w:rPr>
              <w:t>。</w:t>
            </w:r>
          </w:p>
        </w:tc>
      </w:tr>
      <w:tr w:rsidR="00885C1B" w:rsidTr="00B12DD0">
        <w:tc>
          <w:tcPr>
            <w:tcW w:w="394" w:type="pct"/>
            <w:vMerge w:val="restart"/>
            <w:vAlign w:val="center"/>
          </w:tcPr>
          <w:p w:rsidR="00885C1B" w:rsidRPr="005040B5" w:rsidRDefault="00885C1B" w:rsidP="00B12DD0">
            <w:pPr>
              <w:snapToGrid w:val="0"/>
              <w:jc w:val="center"/>
              <w:rPr>
                <w:rFonts w:cs="宋体"/>
                <w:b/>
                <w:szCs w:val="21"/>
              </w:rPr>
            </w:pPr>
            <w:r w:rsidRPr="005040B5">
              <w:rPr>
                <w:rFonts w:cs="宋体" w:hint="eastAsia"/>
                <w:b/>
                <w:szCs w:val="21"/>
              </w:rPr>
              <w:t>第</w:t>
            </w:r>
            <w:r>
              <w:rPr>
                <w:rFonts w:cs="宋体" w:hint="eastAsia"/>
                <w:b/>
                <w:szCs w:val="21"/>
              </w:rPr>
              <w:t>七</w:t>
            </w:r>
            <w:r w:rsidRPr="005040B5">
              <w:rPr>
                <w:rFonts w:cs="宋体" w:hint="eastAsia"/>
                <w:b/>
                <w:szCs w:val="21"/>
              </w:rPr>
              <w:t>部分</w:t>
            </w:r>
            <w:r w:rsidRPr="005040B5">
              <w:rPr>
                <w:rFonts w:cs="宋体"/>
                <w:b/>
                <w:szCs w:val="21"/>
              </w:rPr>
              <w:t xml:space="preserve">  </w:t>
            </w:r>
            <w:r w:rsidRPr="005040B5">
              <w:rPr>
                <w:rFonts w:cs="宋体"/>
                <w:b/>
                <w:szCs w:val="21"/>
              </w:rPr>
              <w:t>基金</w:t>
            </w:r>
            <w:r>
              <w:rPr>
                <w:rFonts w:cs="宋体" w:hint="eastAsia"/>
                <w:b/>
                <w:szCs w:val="21"/>
              </w:rPr>
              <w:t>合同当事人及权利义务</w:t>
            </w:r>
          </w:p>
        </w:tc>
        <w:tc>
          <w:tcPr>
            <w:tcW w:w="2303" w:type="pct"/>
          </w:tcPr>
          <w:p w:rsidR="00885C1B" w:rsidRDefault="00885C1B" w:rsidP="00B12DD0">
            <w:pPr>
              <w:snapToGrid w:val="0"/>
              <w:rPr>
                <w:rFonts w:cs="宋体"/>
                <w:szCs w:val="21"/>
              </w:rPr>
            </w:pPr>
            <w:r w:rsidRPr="00130039">
              <w:rPr>
                <w:rFonts w:cs="宋体" w:hint="eastAsia"/>
                <w:szCs w:val="21"/>
              </w:rPr>
              <w:t>一、基金管理人</w:t>
            </w:r>
          </w:p>
          <w:p w:rsidR="00885C1B" w:rsidRPr="00CE1E85" w:rsidRDefault="00885C1B" w:rsidP="00B12DD0">
            <w:pPr>
              <w:snapToGrid w:val="0"/>
              <w:rPr>
                <w:rFonts w:cs="宋体"/>
                <w:szCs w:val="21"/>
              </w:rPr>
            </w:pPr>
            <w:r w:rsidRPr="00CE1E85">
              <w:rPr>
                <w:rFonts w:cs="宋体" w:hint="eastAsia"/>
                <w:szCs w:val="21"/>
              </w:rPr>
              <w:t>（一）</w:t>
            </w:r>
            <w:r>
              <w:rPr>
                <w:rFonts w:cs="宋体" w:hint="eastAsia"/>
                <w:szCs w:val="21"/>
              </w:rPr>
              <w:t>基</w:t>
            </w:r>
            <w:r w:rsidRPr="00CE1E85">
              <w:rPr>
                <w:rFonts w:cs="宋体" w:hint="eastAsia"/>
                <w:szCs w:val="21"/>
              </w:rPr>
              <w:t>金管理人简况</w:t>
            </w:r>
          </w:p>
          <w:p w:rsidR="00885C1B" w:rsidRDefault="00885C1B" w:rsidP="00B12DD0">
            <w:pPr>
              <w:snapToGrid w:val="0"/>
              <w:rPr>
                <w:rFonts w:cs="宋体"/>
                <w:szCs w:val="21"/>
              </w:rPr>
            </w:pPr>
            <w:r w:rsidRPr="00CE1E85">
              <w:rPr>
                <w:rFonts w:cs="宋体" w:hint="eastAsia"/>
                <w:szCs w:val="21"/>
              </w:rPr>
              <w:t>名称：嘉实基金管理有限公司</w:t>
            </w:r>
          </w:p>
          <w:p w:rsidR="00885C1B" w:rsidRPr="00CE1E85" w:rsidRDefault="00885C1B" w:rsidP="00B12DD0">
            <w:pPr>
              <w:snapToGrid w:val="0"/>
              <w:rPr>
                <w:rFonts w:cs="宋体"/>
                <w:b/>
                <w:strike/>
                <w:szCs w:val="21"/>
              </w:rPr>
            </w:pPr>
            <w:r w:rsidRPr="00CE1E85">
              <w:rPr>
                <w:rFonts w:cs="宋体" w:hint="eastAsia"/>
                <w:szCs w:val="21"/>
              </w:rPr>
              <w:t>住所：</w:t>
            </w:r>
            <w:r w:rsidRPr="00CE1E85">
              <w:rPr>
                <w:rFonts w:cs="宋体" w:hint="eastAsia"/>
                <w:b/>
                <w:strike/>
                <w:szCs w:val="21"/>
              </w:rPr>
              <w:t>中国（上海）自由贸易试验区世纪大道</w:t>
            </w:r>
            <w:r w:rsidRPr="00CE1E85">
              <w:rPr>
                <w:rFonts w:cs="宋体" w:hint="eastAsia"/>
                <w:b/>
                <w:strike/>
                <w:szCs w:val="21"/>
              </w:rPr>
              <w:t>8</w:t>
            </w:r>
            <w:r w:rsidRPr="00CE1E85">
              <w:rPr>
                <w:rFonts w:cs="宋体" w:hint="eastAsia"/>
                <w:b/>
                <w:strike/>
                <w:szCs w:val="21"/>
              </w:rPr>
              <w:t>号上海国金中心二期</w:t>
            </w:r>
            <w:r w:rsidRPr="00CE1E85">
              <w:rPr>
                <w:rFonts w:cs="宋体" w:hint="eastAsia"/>
                <w:b/>
                <w:strike/>
                <w:szCs w:val="21"/>
              </w:rPr>
              <w:t>27</w:t>
            </w:r>
            <w:r w:rsidRPr="00CE1E85">
              <w:rPr>
                <w:rFonts w:cs="宋体" w:hint="eastAsia"/>
                <w:b/>
                <w:strike/>
                <w:szCs w:val="21"/>
              </w:rPr>
              <w:t>楼</w:t>
            </w:r>
            <w:r w:rsidRPr="00CE1E85">
              <w:rPr>
                <w:rFonts w:cs="宋体" w:hint="eastAsia"/>
                <w:b/>
                <w:strike/>
                <w:szCs w:val="21"/>
              </w:rPr>
              <w:t>09-14</w:t>
            </w:r>
            <w:r w:rsidRPr="00CE1E85">
              <w:rPr>
                <w:rFonts w:cs="宋体" w:hint="eastAsia"/>
                <w:b/>
                <w:strike/>
                <w:szCs w:val="21"/>
              </w:rPr>
              <w:t>单元</w:t>
            </w:r>
          </w:p>
          <w:p w:rsidR="00885C1B" w:rsidRPr="005040B5" w:rsidRDefault="00885C1B" w:rsidP="00B12DD0">
            <w:pPr>
              <w:snapToGrid w:val="0"/>
              <w:rPr>
                <w:rFonts w:cs="宋体"/>
                <w:szCs w:val="21"/>
              </w:rPr>
            </w:pPr>
            <w:r w:rsidRPr="00130039">
              <w:rPr>
                <w:rFonts w:cs="宋体" w:hint="eastAsia"/>
                <w:szCs w:val="21"/>
              </w:rPr>
              <w:t>组织形式：有限责任公司（</w:t>
            </w:r>
            <w:r w:rsidRPr="00504BCE">
              <w:rPr>
                <w:rFonts w:cs="宋体" w:hint="eastAsia"/>
                <w:b/>
                <w:strike/>
                <w:szCs w:val="21"/>
              </w:rPr>
              <w:t>中外合资</w:t>
            </w:r>
            <w:r w:rsidRPr="00130039">
              <w:rPr>
                <w:rFonts w:cs="宋体" w:hint="eastAsia"/>
                <w:szCs w:val="21"/>
              </w:rPr>
              <w:t>）</w:t>
            </w:r>
          </w:p>
        </w:tc>
        <w:tc>
          <w:tcPr>
            <w:tcW w:w="2303" w:type="pct"/>
          </w:tcPr>
          <w:p w:rsidR="00885C1B" w:rsidRDefault="00885C1B" w:rsidP="00B12DD0">
            <w:pPr>
              <w:snapToGrid w:val="0"/>
              <w:rPr>
                <w:rFonts w:cs="宋体"/>
                <w:szCs w:val="21"/>
              </w:rPr>
            </w:pPr>
            <w:r w:rsidRPr="00130039">
              <w:rPr>
                <w:rFonts w:cs="宋体" w:hint="eastAsia"/>
                <w:szCs w:val="21"/>
              </w:rPr>
              <w:t>一、基金管理人</w:t>
            </w:r>
          </w:p>
          <w:p w:rsidR="00885C1B" w:rsidRPr="00CE1E85" w:rsidRDefault="00885C1B" w:rsidP="00B12DD0">
            <w:pPr>
              <w:snapToGrid w:val="0"/>
              <w:rPr>
                <w:rFonts w:cs="宋体"/>
                <w:szCs w:val="21"/>
              </w:rPr>
            </w:pPr>
            <w:r w:rsidRPr="00CE1E85">
              <w:rPr>
                <w:rFonts w:cs="宋体" w:hint="eastAsia"/>
                <w:szCs w:val="21"/>
              </w:rPr>
              <w:t>（一）基金管理人简况</w:t>
            </w:r>
          </w:p>
          <w:p w:rsidR="00885C1B" w:rsidRDefault="00885C1B" w:rsidP="00B12DD0">
            <w:pPr>
              <w:snapToGrid w:val="0"/>
              <w:rPr>
                <w:rFonts w:cs="宋体"/>
                <w:szCs w:val="21"/>
              </w:rPr>
            </w:pPr>
            <w:r w:rsidRPr="00CE1E85">
              <w:rPr>
                <w:rFonts w:cs="宋体" w:hint="eastAsia"/>
                <w:szCs w:val="21"/>
              </w:rPr>
              <w:t>名称：嘉实基金管理有限公司</w:t>
            </w:r>
          </w:p>
          <w:p w:rsidR="00885C1B" w:rsidRPr="00CE1E85" w:rsidRDefault="00885C1B" w:rsidP="00B12DD0">
            <w:pPr>
              <w:snapToGrid w:val="0"/>
              <w:rPr>
                <w:rFonts w:cs="宋体"/>
                <w:b/>
                <w:szCs w:val="21"/>
                <w:u w:val="single"/>
              </w:rPr>
            </w:pPr>
            <w:r w:rsidRPr="00CE1E85">
              <w:rPr>
                <w:rFonts w:cs="宋体" w:hint="eastAsia"/>
                <w:szCs w:val="21"/>
              </w:rPr>
              <w:t>住所</w:t>
            </w:r>
            <w:r>
              <w:rPr>
                <w:rFonts w:cs="宋体" w:hint="eastAsia"/>
                <w:szCs w:val="21"/>
              </w:rPr>
              <w:t>：</w:t>
            </w:r>
            <w:r w:rsidRPr="00CE1E85">
              <w:rPr>
                <w:rFonts w:cs="宋体" w:hint="eastAsia"/>
                <w:b/>
                <w:szCs w:val="21"/>
                <w:u w:val="single"/>
              </w:rPr>
              <w:t>中国（上海）自由贸易试验区陆家嘴环路</w:t>
            </w:r>
            <w:r w:rsidRPr="00CE1E85">
              <w:rPr>
                <w:rFonts w:cs="宋体" w:hint="eastAsia"/>
                <w:b/>
                <w:szCs w:val="21"/>
                <w:u w:val="single"/>
              </w:rPr>
              <w:t>1318</w:t>
            </w:r>
            <w:r w:rsidRPr="00CE1E85">
              <w:rPr>
                <w:rFonts w:cs="宋体" w:hint="eastAsia"/>
                <w:b/>
                <w:szCs w:val="21"/>
                <w:u w:val="single"/>
              </w:rPr>
              <w:t>号</w:t>
            </w:r>
            <w:r w:rsidRPr="00CE1E85">
              <w:rPr>
                <w:rFonts w:cs="宋体" w:hint="eastAsia"/>
                <w:b/>
                <w:szCs w:val="21"/>
                <w:u w:val="single"/>
              </w:rPr>
              <w:t>1806A</w:t>
            </w:r>
            <w:r w:rsidRPr="00CE1E85">
              <w:rPr>
                <w:rFonts w:cs="宋体" w:hint="eastAsia"/>
                <w:b/>
                <w:szCs w:val="21"/>
                <w:u w:val="single"/>
              </w:rPr>
              <w:t>单元</w:t>
            </w:r>
          </w:p>
          <w:p w:rsidR="00885C1B" w:rsidRPr="005040B5" w:rsidRDefault="00885C1B" w:rsidP="00B12DD0">
            <w:pPr>
              <w:snapToGrid w:val="0"/>
              <w:rPr>
                <w:rFonts w:cs="宋体"/>
                <w:szCs w:val="21"/>
              </w:rPr>
            </w:pPr>
            <w:r w:rsidRPr="00130039">
              <w:rPr>
                <w:rFonts w:cs="宋体" w:hint="eastAsia"/>
                <w:szCs w:val="21"/>
              </w:rPr>
              <w:t>组织形式：有限责任公司（</w:t>
            </w:r>
            <w:r w:rsidRPr="00504BCE">
              <w:rPr>
                <w:rFonts w:cs="宋体" w:hint="eastAsia"/>
                <w:b/>
                <w:szCs w:val="21"/>
                <w:u w:val="single"/>
              </w:rPr>
              <w:t>外商投资、非独资</w:t>
            </w:r>
            <w:r w:rsidRPr="00130039">
              <w:rPr>
                <w:rFonts w:cs="宋体" w:hint="eastAsia"/>
                <w:szCs w:val="21"/>
              </w:rPr>
              <w:t>）</w:t>
            </w:r>
          </w:p>
        </w:tc>
      </w:tr>
      <w:tr w:rsidR="00885C1B" w:rsidTr="00B12DD0">
        <w:tc>
          <w:tcPr>
            <w:tcW w:w="394" w:type="pct"/>
            <w:vMerge/>
            <w:vAlign w:val="center"/>
          </w:tcPr>
          <w:p w:rsidR="00885C1B" w:rsidRPr="005040B5" w:rsidRDefault="00885C1B" w:rsidP="00B12DD0">
            <w:pPr>
              <w:snapToGrid w:val="0"/>
              <w:jc w:val="center"/>
              <w:rPr>
                <w:rFonts w:cs="宋体"/>
                <w:b/>
                <w:szCs w:val="21"/>
              </w:rPr>
            </w:pPr>
          </w:p>
        </w:tc>
        <w:tc>
          <w:tcPr>
            <w:tcW w:w="2303" w:type="pct"/>
          </w:tcPr>
          <w:p w:rsidR="00885C1B" w:rsidRDefault="00885C1B" w:rsidP="00B12DD0">
            <w:pPr>
              <w:snapToGrid w:val="0"/>
              <w:rPr>
                <w:rFonts w:cs="宋体"/>
                <w:szCs w:val="21"/>
              </w:rPr>
            </w:pPr>
            <w:r>
              <w:rPr>
                <w:rFonts w:cs="宋体" w:hint="eastAsia"/>
                <w:szCs w:val="21"/>
              </w:rPr>
              <w:t>二、基金托管人</w:t>
            </w:r>
          </w:p>
          <w:p w:rsidR="00885C1B" w:rsidRPr="00CE1E85" w:rsidRDefault="00885C1B" w:rsidP="00B12DD0">
            <w:pPr>
              <w:snapToGrid w:val="0"/>
              <w:rPr>
                <w:rFonts w:cs="宋体"/>
                <w:szCs w:val="21"/>
              </w:rPr>
            </w:pPr>
            <w:r w:rsidRPr="00CE1E85">
              <w:rPr>
                <w:rFonts w:cs="宋体" w:hint="eastAsia"/>
                <w:szCs w:val="21"/>
              </w:rPr>
              <w:t>（一）基金托管人简况</w:t>
            </w:r>
          </w:p>
          <w:p w:rsidR="00885C1B" w:rsidRDefault="00885C1B" w:rsidP="00B12DD0">
            <w:pPr>
              <w:snapToGrid w:val="0"/>
              <w:rPr>
                <w:rFonts w:cs="宋体"/>
                <w:szCs w:val="21"/>
              </w:rPr>
            </w:pPr>
            <w:r w:rsidRPr="00CE1E85">
              <w:rPr>
                <w:rFonts w:cs="宋体" w:hint="eastAsia"/>
                <w:szCs w:val="21"/>
              </w:rPr>
              <w:t>名称：中国银行股份有限公司</w:t>
            </w:r>
          </w:p>
          <w:p w:rsidR="00885C1B" w:rsidRPr="00130039" w:rsidRDefault="00885C1B" w:rsidP="00B12DD0">
            <w:pPr>
              <w:snapToGrid w:val="0"/>
              <w:rPr>
                <w:rFonts w:cs="宋体"/>
                <w:szCs w:val="21"/>
              </w:rPr>
            </w:pPr>
            <w:r>
              <w:rPr>
                <w:rFonts w:cs="宋体" w:hint="eastAsia"/>
                <w:szCs w:val="21"/>
              </w:rPr>
              <w:t>法定代表人：</w:t>
            </w:r>
            <w:r w:rsidRPr="00CE1E85">
              <w:rPr>
                <w:rFonts w:cs="宋体" w:hint="eastAsia"/>
                <w:b/>
                <w:strike/>
                <w:szCs w:val="21"/>
              </w:rPr>
              <w:t>刘连舸</w:t>
            </w:r>
          </w:p>
        </w:tc>
        <w:tc>
          <w:tcPr>
            <w:tcW w:w="2303" w:type="pct"/>
          </w:tcPr>
          <w:p w:rsidR="00885C1B" w:rsidRDefault="00885C1B" w:rsidP="00B12DD0">
            <w:pPr>
              <w:snapToGrid w:val="0"/>
              <w:rPr>
                <w:rFonts w:cs="宋体"/>
                <w:szCs w:val="21"/>
              </w:rPr>
            </w:pPr>
            <w:r>
              <w:rPr>
                <w:rFonts w:cs="宋体" w:hint="eastAsia"/>
                <w:szCs w:val="21"/>
              </w:rPr>
              <w:t>二、基金托管人</w:t>
            </w:r>
          </w:p>
          <w:p w:rsidR="00885C1B" w:rsidRPr="00CE1E85" w:rsidRDefault="00885C1B" w:rsidP="00B12DD0">
            <w:pPr>
              <w:snapToGrid w:val="0"/>
              <w:rPr>
                <w:rFonts w:cs="宋体"/>
                <w:szCs w:val="21"/>
              </w:rPr>
            </w:pPr>
            <w:r w:rsidRPr="00CE1E85">
              <w:rPr>
                <w:rFonts w:cs="宋体" w:hint="eastAsia"/>
                <w:szCs w:val="21"/>
              </w:rPr>
              <w:t>（一）基金托管人简况</w:t>
            </w:r>
          </w:p>
          <w:p w:rsidR="00885C1B" w:rsidRDefault="00885C1B" w:rsidP="00B12DD0">
            <w:pPr>
              <w:snapToGrid w:val="0"/>
              <w:rPr>
                <w:rFonts w:cs="宋体"/>
                <w:szCs w:val="21"/>
              </w:rPr>
            </w:pPr>
            <w:r w:rsidRPr="00CE1E85">
              <w:rPr>
                <w:rFonts w:cs="宋体" w:hint="eastAsia"/>
                <w:szCs w:val="21"/>
              </w:rPr>
              <w:t>名称：中国银行股份有限公司</w:t>
            </w:r>
          </w:p>
          <w:p w:rsidR="00885C1B" w:rsidRPr="00130039" w:rsidRDefault="00885C1B" w:rsidP="00B12DD0">
            <w:pPr>
              <w:snapToGrid w:val="0"/>
              <w:rPr>
                <w:rFonts w:cs="宋体"/>
                <w:szCs w:val="21"/>
              </w:rPr>
            </w:pPr>
            <w:r>
              <w:rPr>
                <w:rFonts w:cs="宋体" w:hint="eastAsia"/>
                <w:szCs w:val="21"/>
              </w:rPr>
              <w:t>法定代表人：</w:t>
            </w:r>
            <w:r w:rsidRPr="00CE1E85">
              <w:rPr>
                <w:rFonts w:cs="宋体" w:hint="eastAsia"/>
                <w:b/>
                <w:szCs w:val="21"/>
                <w:u w:val="single"/>
              </w:rPr>
              <w:t>葛海蛟</w:t>
            </w:r>
          </w:p>
        </w:tc>
      </w:tr>
    </w:tbl>
    <w:p w:rsidR="00885C1B" w:rsidRDefault="00885C1B" w:rsidP="0074364E">
      <w:pPr>
        <w:snapToGrid w:val="0"/>
        <w:spacing w:line="360" w:lineRule="auto"/>
        <w:rPr>
          <w:rFonts w:ascii="宋体" w:hAnsi="宋体"/>
          <w:szCs w:val="21"/>
        </w:rPr>
      </w:pPr>
    </w:p>
    <w:p w:rsidR="00885C1B" w:rsidRDefault="00885C1B">
      <w:pPr>
        <w:widowControl/>
        <w:jc w:val="left"/>
        <w:rPr>
          <w:rFonts w:ascii="宋体" w:hAnsi="宋体"/>
          <w:szCs w:val="21"/>
        </w:rPr>
      </w:pPr>
      <w:r>
        <w:rPr>
          <w:rFonts w:ascii="宋体" w:hAnsi="宋体"/>
          <w:szCs w:val="21"/>
        </w:rPr>
        <w:br w:type="page"/>
      </w:r>
    </w:p>
    <w:p w:rsidR="0074364E" w:rsidRDefault="0074364E" w:rsidP="0074364E">
      <w:pPr>
        <w:snapToGrid w:val="0"/>
        <w:spacing w:line="360" w:lineRule="auto"/>
        <w:rPr>
          <w:rFonts w:ascii="宋体" w:hAnsi="宋体"/>
          <w:szCs w:val="21"/>
        </w:rPr>
      </w:pPr>
      <w:r>
        <w:rPr>
          <w:rFonts w:ascii="宋体" w:hAnsi="宋体" w:hint="eastAsia"/>
          <w:szCs w:val="21"/>
        </w:rPr>
        <w:t>附5：</w:t>
      </w:r>
      <w:r w:rsidR="00AB72EA" w:rsidRPr="00AB72EA">
        <w:rPr>
          <w:rFonts w:asciiTheme="minorEastAsia" w:eastAsiaTheme="minorEastAsia" w:hAnsiTheme="minorEastAsia" w:cs="Arial" w:hint="eastAsia"/>
          <w:szCs w:val="21"/>
        </w:rPr>
        <w:t>嘉实创新先锋混合型证券投资基金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p>
    <w:tbl>
      <w:tblPr>
        <w:tblpPr w:leftFromText="180" w:rightFromText="180" w:vertAnchor="text" w:horzAnchor="page" w:tblpXSpec="center" w:tblpY="29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885C1B" w:rsidTr="00B12DD0">
        <w:tc>
          <w:tcPr>
            <w:tcW w:w="394" w:type="pct"/>
            <w:vAlign w:val="center"/>
          </w:tcPr>
          <w:p w:rsidR="00885C1B" w:rsidRDefault="00885C1B" w:rsidP="00B12DD0">
            <w:pPr>
              <w:snapToGrid w:val="0"/>
              <w:jc w:val="center"/>
              <w:rPr>
                <w:rFonts w:cs="宋体"/>
                <w:b/>
                <w:szCs w:val="21"/>
              </w:rPr>
            </w:pPr>
            <w:r>
              <w:rPr>
                <w:rFonts w:cs="宋体" w:hint="eastAsia"/>
                <w:b/>
                <w:szCs w:val="21"/>
              </w:rPr>
              <w:t>章节</w:t>
            </w:r>
          </w:p>
        </w:tc>
        <w:tc>
          <w:tcPr>
            <w:tcW w:w="2303" w:type="pct"/>
          </w:tcPr>
          <w:p w:rsidR="00885C1B" w:rsidRDefault="00885C1B" w:rsidP="00B12DD0">
            <w:pPr>
              <w:snapToGrid w:val="0"/>
              <w:jc w:val="center"/>
              <w:rPr>
                <w:rFonts w:cs="宋体"/>
                <w:b/>
                <w:szCs w:val="21"/>
              </w:rPr>
            </w:pPr>
            <w:r>
              <w:rPr>
                <w:rFonts w:cs="宋体" w:hint="eastAsia"/>
                <w:b/>
                <w:szCs w:val="21"/>
              </w:rPr>
              <w:t>修改前</w:t>
            </w:r>
          </w:p>
        </w:tc>
        <w:tc>
          <w:tcPr>
            <w:tcW w:w="2303" w:type="pct"/>
          </w:tcPr>
          <w:p w:rsidR="00885C1B" w:rsidRDefault="00885C1B" w:rsidP="00B12DD0">
            <w:pPr>
              <w:snapToGrid w:val="0"/>
              <w:jc w:val="center"/>
              <w:rPr>
                <w:rFonts w:cs="宋体"/>
                <w:b/>
                <w:szCs w:val="21"/>
              </w:rPr>
            </w:pPr>
            <w:r>
              <w:rPr>
                <w:rFonts w:cs="宋体" w:hint="eastAsia"/>
                <w:b/>
                <w:szCs w:val="21"/>
              </w:rPr>
              <w:t>修改后</w:t>
            </w:r>
          </w:p>
        </w:tc>
      </w:tr>
      <w:tr w:rsidR="00885C1B" w:rsidTr="00B12DD0">
        <w:tc>
          <w:tcPr>
            <w:tcW w:w="394" w:type="pct"/>
            <w:vMerge w:val="restart"/>
            <w:vAlign w:val="center"/>
          </w:tcPr>
          <w:p w:rsidR="00885C1B" w:rsidRDefault="00885C1B" w:rsidP="00B12DD0">
            <w:pPr>
              <w:snapToGrid w:val="0"/>
              <w:jc w:val="center"/>
              <w:rPr>
                <w:rFonts w:cs="宋体"/>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885C1B" w:rsidRPr="005040B5" w:rsidRDefault="00885C1B" w:rsidP="00B12DD0">
            <w:pPr>
              <w:snapToGrid w:val="0"/>
              <w:rPr>
                <w:rFonts w:cs="宋体"/>
                <w:szCs w:val="21"/>
              </w:rPr>
            </w:pPr>
            <w:r w:rsidRPr="004C11CA">
              <w:rPr>
                <w:rFonts w:cs="宋体"/>
                <w:szCs w:val="21"/>
              </w:rPr>
              <w:t>16</w:t>
            </w:r>
            <w:r w:rsidRPr="004C11CA">
              <w:rPr>
                <w:rFonts w:cs="宋体"/>
                <w:szCs w:val="21"/>
              </w:rPr>
              <w:t>、银行业监督管理机构：指中国人民银行和</w:t>
            </w:r>
            <w:r w:rsidRPr="004C11CA">
              <w:rPr>
                <w:rFonts w:cs="宋体"/>
                <w:szCs w:val="21"/>
              </w:rPr>
              <w:t>/</w:t>
            </w:r>
            <w:r w:rsidRPr="004C11CA">
              <w:rPr>
                <w:rFonts w:cs="宋体"/>
                <w:szCs w:val="21"/>
              </w:rPr>
              <w:t>或</w:t>
            </w:r>
            <w:r w:rsidRPr="00B12DD0">
              <w:rPr>
                <w:rFonts w:cs="宋体" w:hint="eastAsia"/>
                <w:b/>
                <w:strike/>
                <w:szCs w:val="21"/>
              </w:rPr>
              <w:t>中国银行保险监督管理委员会</w:t>
            </w:r>
          </w:p>
        </w:tc>
        <w:tc>
          <w:tcPr>
            <w:tcW w:w="2303" w:type="pct"/>
          </w:tcPr>
          <w:p w:rsidR="00885C1B" w:rsidRPr="00B12DD0" w:rsidRDefault="00885C1B" w:rsidP="00B12DD0">
            <w:pPr>
              <w:snapToGrid w:val="0"/>
              <w:rPr>
                <w:rFonts w:cs="宋体"/>
                <w:szCs w:val="21"/>
              </w:rPr>
            </w:pPr>
            <w:r w:rsidRPr="00B12DD0">
              <w:rPr>
                <w:rFonts w:cs="宋体"/>
                <w:szCs w:val="21"/>
              </w:rPr>
              <w:t>16</w:t>
            </w:r>
            <w:r w:rsidRPr="00B12DD0">
              <w:rPr>
                <w:rFonts w:cs="宋体" w:hint="eastAsia"/>
                <w:szCs w:val="21"/>
              </w:rPr>
              <w:t>、银行业监督管理机构：指中国人民银行和</w:t>
            </w:r>
            <w:r w:rsidRPr="00B12DD0">
              <w:rPr>
                <w:rFonts w:cs="宋体"/>
                <w:szCs w:val="21"/>
              </w:rPr>
              <w:t>/</w:t>
            </w:r>
            <w:r w:rsidRPr="00B12DD0">
              <w:rPr>
                <w:rFonts w:cs="宋体" w:hint="eastAsia"/>
                <w:szCs w:val="21"/>
              </w:rPr>
              <w:t>或</w:t>
            </w:r>
            <w:r w:rsidRPr="004C11CA">
              <w:rPr>
                <w:rFonts w:cs="宋体" w:hint="eastAsia"/>
                <w:b/>
                <w:szCs w:val="21"/>
                <w:u w:val="single"/>
              </w:rPr>
              <w:t>国家金融监督管理总局等对银行业金融机构进行监督和管理的机构</w:t>
            </w:r>
          </w:p>
        </w:tc>
      </w:tr>
      <w:tr w:rsidR="00885C1B" w:rsidTr="00B12DD0">
        <w:tc>
          <w:tcPr>
            <w:tcW w:w="394" w:type="pct"/>
            <w:vMerge/>
            <w:vAlign w:val="center"/>
          </w:tcPr>
          <w:p w:rsidR="00885C1B" w:rsidRPr="005040B5" w:rsidRDefault="00885C1B" w:rsidP="00B12DD0">
            <w:pPr>
              <w:snapToGrid w:val="0"/>
              <w:jc w:val="center"/>
              <w:rPr>
                <w:rFonts w:cs="宋体"/>
                <w:b/>
                <w:szCs w:val="21"/>
              </w:rPr>
            </w:pPr>
          </w:p>
        </w:tc>
        <w:tc>
          <w:tcPr>
            <w:tcW w:w="2303" w:type="pct"/>
          </w:tcPr>
          <w:p w:rsidR="00885C1B" w:rsidRDefault="00885C1B" w:rsidP="00B12DD0">
            <w:pPr>
              <w:snapToGrid w:val="0"/>
              <w:rPr>
                <w:rFonts w:cs="宋体"/>
                <w:szCs w:val="21"/>
              </w:rPr>
            </w:pPr>
            <w:r w:rsidRPr="00ED11F5">
              <w:rPr>
                <w:rFonts w:cs="宋体"/>
                <w:szCs w:val="21"/>
              </w:rPr>
              <w:t>44</w:t>
            </w:r>
            <w:r w:rsidRPr="00ED11F5">
              <w:rPr>
                <w:rFonts w:cs="宋体"/>
                <w:szCs w:val="21"/>
              </w:rPr>
              <w:t>、基金转换：指基金份额持有人按照本基金合同和基金管理人届时有效公告规定的条件，申请将其持有基金管理人管理的某一基金的基金份额转换为基金管理人管理的其他基金基金份额的行为</w:t>
            </w:r>
          </w:p>
        </w:tc>
        <w:tc>
          <w:tcPr>
            <w:tcW w:w="2303" w:type="pct"/>
          </w:tcPr>
          <w:p w:rsidR="00885C1B" w:rsidRPr="005040B5" w:rsidRDefault="00885C1B" w:rsidP="00B12DD0">
            <w:pPr>
              <w:snapToGrid w:val="0"/>
              <w:rPr>
                <w:rFonts w:cs="宋体"/>
                <w:b/>
                <w:szCs w:val="21"/>
                <w:u w:val="single"/>
              </w:rPr>
            </w:pPr>
            <w:r w:rsidRPr="00ED11F5">
              <w:rPr>
                <w:rFonts w:cs="宋体"/>
                <w:szCs w:val="21"/>
              </w:rPr>
              <w:t>44</w:t>
            </w:r>
            <w:r w:rsidRPr="00ED11F5">
              <w:rPr>
                <w:rFonts w:cs="宋体"/>
                <w:szCs w:val="21"/>
              </w:rPr>
              <w:t>、基金转换：指基金份额持有人按照本基金合同和基金管理人届时有效公告规定的条件，申请将其持有基金管理人管理的某一基金的基金份额转换为</w:t>
            </w:r>
            <w:r w:rsidRPr="00B12DD0">
              <w:rPr>
                <w:rFonts w:cs="宋体" w:hint="eastAsia"/>
                <w:b/>
                <w:szCs w:val="21"/>
                <w:u w:val="single"/>
              </w:rPr>
              <w:t>该</w:t>
            </w:r>
            <w:r w:rsidRPr="00ED11F5">
              <w:rPr>
                <w:rFonts w:cs="宋体"/>
                <w:szCs w:val="21"/>
              </w:rPr>
              <w:t>基金</w:t>
            </w:r>
            <w:r w:rsidRPr="00B12DD0">
              <w:rPr>
                <w:rFonts w:cs="宋体" w:hint="eastAsia"/>
                <w:b/>
                <w:szCs w:val="21"/>
                <w:u w:val="single"/>
              </w:rPr>
              <w:t>其他份额（如有）或基金</w:t>
            </w:r>
            <w:r w:rsidRPr="00ED11F5">
              <w:rPr>
                <w:rFonts w:cs="宋体"/>
                <w:szCs w:val="21"/>
              </w:rPr>
              <w:t>管理人管理的其他基金基金份额的行为</w:t>
            </w:r>
          </w:p>
        </w:tc>
      </w:tr>
      <w:tr w:rsidR="00885C1B" w:rsidTr="00B12DD0">
        <w:tc>
          <w:tcPr>
            <w:tcW w:w="394" w:type="pct"/>
            <w:vAlign w:val="center"/>
          </w:tcPr>
          <w:p w:rsidR="00885C1B" w:rsidRPr="005040B5" w:rsidRDefault="00885C1B" w:rsidP="00B12DD0">
            <w:pPr>
              <w:snapToGrid w:val="0"/>
              <w:jc w:val="center"/>
              <w:rPr>
                <w:rFonts w:cs="宋体"/>
                <w:b/>
                <w:szCs w:val="21"/>
              </w:rPr>
            </w:pPr>
            <w:r w:rsidRPr="005040B5">
              <w:rPr>
                <w:rFonts w:cs="宋体" w:hint="eastAsia"/>
                <w:b/>
                <w:szCs w:val="21"/>
              </w:rPr>
              <w:t>第三部分</w:t>
            </w:r>
            <w:r w:rsidRPr="005040B5">
              <w:rPr>
                <w:rFonts w:cs="宋体"/>
                <w:b/>
                <w:szCs w:val="21"/>
              </w:rPr>
              <w:t xml:space="preserve">  </w:t>
            </w:r>
            <w:r w:rsidRPr="005040B5">
              <w:rPr>
                <w:rFonts w:cs="宋体"/>
                <w:b/>
                <w:szCs w:val="21"/>
              </w:rPr>
              <w:t>基金的基本情况</w:t>
            </w:r>
          </w:p>
        </w:tc>
        <w:tc>
          <w:tcPr>
            <w:tcW w:w="2303" w:type="pct"/>
          </w:tcPr>
          <w:p w:rsidR="00885C1B" w:rsidRDefault="00885C1B" w:rsidP="00B12DD0">
            <w:pPr>
              <w:snapToGrid w:val="0"/>
              <w:rPr>
                <w:rFonts w:cs="宋体"/>
                <w:szCs w:val="21"/>
              </w:rPr>
            </w:pPr>
            <w:r w:rsidRPr="005040B5">
              <w:rPr>
                <w:rFonts w:cs="宋体" w:hint="eastAsia"/>
                <w:szCs w:val="21"/>
              </w:rPr>
              <w:t>八、基金份额类别</w:t>
            </w:r>
          </w:p>
          <w:p w:rsidR="00885C1B" w:rsidRDefault="00885C1B" w:rsidP="00B12DD0">
            <w:pPr>
              <w:snapToGrid w:val="0"/>
              <w:rPr>
                <w:rFonts w:cs="宋体"/>
                <w:szCs w:val="21"/>
              </w:rPr>
            </w:pPr>
            <w:r>
              <w:rPr>
                <w:rFonts w:cs="宋体" w:hint="eastAsia"/>
                <w:szCs w:val="21"/>
              </w:rPr>
              <w:t>……</w:t>
            </w:r>
          </w:p>
          <w:p w:rsidR="00885C1B" w:rsidRDefault="00885C1B" w:rsidP="00B12DD0">
            <w:pPr>
              <w:snapToGrid w:val="0"/>
              <w:rPr>
                <w:rFonts w:cs="宋体"/>
                <w:szCs w:val="21"/>
              </w:rPr>
            </w:pPr>
            <w:r w:rsidRPr="00ED11F5">
              <w:rPr>
                <w:rFonts w:cs="宋体" w:hint="eastAsia"/>
                <w:szCs w:val="21"/>
              </w:rPr>
              <w:t>投资人在认购</w:t>
            </w:r>
            <w:r w:rsidRPr="00ED11F5">
              <w:rPr>
                <w:rFonts w:cs="宋体"/>
                <w:szCs w:val="21"/>
              </w:rPr>
              <w:t>/</w:t>
            </w:r>
            <w:r w:rsidRPr="00ED11F5">
              <w:rPr>
                <w:rFonts w:cs="宋体"/>
                <w:szCs w:val="21"/>
              </w:rPr>
              <w:t>申购基金份额时可自行选择认购</w:t>
            </w:r>
            <w:r w:rsidRPr="00ED11F5">
              <w:rPr>
                <w:rFonts w:cs="宋体"/>
                <w:szCs w:val="21"/>
              </w:rPr>
              <w:t>/</w:t>
            </w:r>
            <w:r w:rsidRPr="00ED11F5">
              <w:rPr>
                <w:rFonts w:cs="宋体"/>
                <w:szCs w:val="21"/>
              </w:rPr>
              <w:t>申购的基金份额类别。</w:t>
            </w:r>
            <w:r w:rsidRPr="00B12DD0">
              <w:rPr>
                <w:rFonts w:cs="宋体" w:hint="eastAsia"/>
                <w:b/>
                <w:strike/>
                <w:szCs w:val="21"/>
              </w:rPr>
              <w:t>本基金不同基金份额类别之间不得相互转换。</w:t>
            </w:r>
          </w:p>
        </w:tc>
        <w:tc>
          <w:tcPr>
            <w:tcW w:w="2303" w:type="pct"/>
          </w:tcPr>
          <w:p w:rsidR="00885C1B" w:rsidRPr="00ED11F5" w:rsidRDefault="00885C1B" w:rsidP="00B12DD0">
            <w:pPr>
              <w:snapToGrid w:val="0"/>
              <w:rPr>
                <w:rFonts w:cs="宋体"/>
                <w:szCs w:val="21"/>
              </w:rPr>
            </w:pPr>
            <w:r w:rsidRPr="00ED11F5">
              <w:rPr>
                <w:rFonts w:cs="宋体" w:hint="eastAsia"/>
                <w:szCs w:val="21"/>
              </w:rPr>
              <w:t>八、基金份额类别</w:t>
            </w:r>
          </w:p>
          <w:p w:rsidR="00885C1B" w:rsidRPr="00ED11F5" w:rsidRDefault="00885C1B" w:rsidP="00B12DD0">
            <w:pPr>
              <w:snapToGrid w:val="0"/>
              <w:rPr>
                <w:rFonts w:cs="宋体"/>
                <w:szCs w:val="21"/>
              </w:rPr>
            </w:pPr>
            <w:r w:rsidRPr="00ED11F5">
              <w:rPr>
                <w:rFonts w:cs="宋体" w:hint="eastAsia"/>
                <w:szCs w:val="21"/>
              </w:rPr>
              <w:t>……</w:t>
            </w:r>
          </w:p>
          <w:p w:rsidR="00885C1B" w:rsidRPr="005040B5" w:rsidRDefault="00885C1B" w:rsidP="00B12DD0">
            <w:pPr>
              <w:snapToGrid w:val="0"/>
              <w:rPr>
                <w:rFonts w:cs="宋体"/>
                <w:b/>
                <w:szCs w:val="21"/>
                <w:u w:val="single"/>
              </w:rPr>
            </w:pPr>
            <w:r w:rsidRPr="00ED11F5">
              <w:rPr>
                <w:rFonts w:cs="宋体" w:hint="eastAsia"/>
                <w:szCs w:val="21"/>
              </w:rPr>
              <w:t>投资人在认购</w:t>
            </w:r>
            <w:r w:rsidRPr="00ED11F5">
              <w:rPr>
                <w:rFonts w:cs="宋体"/>
                <w:szCs w:val="21"/>
              </w:rPr>
              <w:t>/</w:t>
            </w:r>
            <w:r w:rsidRPr="00ED11F5">
              <w:rPr>
                <w:rFonts w:cs="宋体"/>
                <w:szCs w:val="21"/>
              </w:rPr>
              <w:t>申购基金份额时可自行选择认购</w:t>
            </w:r>
            <w:r w:rsidRPr="00ED11F5">
              <w:rPr>
                <w:rFonts w:cs="宋体"/>
                <w:szCs w:val="21"/>
              </w:rPr>
              <w:t>/</w:t>
            </w:r>
            <w:r w:rsidRPr="00ED11F5">
              <w:rPr>
                <w:rFonts w:cs="宋体"/>
                <w:szCs w:val="21"/>
              </w:rPr>
              <w:t>申购的基金份额类别。</w:t>
            </w:r>
          </w:p>
        </w:tc>
      </w:tr>
      <w:tr w:rsidR="00885C1B" w:rsidTr="00B12DD0">
        <w:tc>
          <w:tcPr>
            <w:tcW w:w="394" w:type="pct"/>
            <w:vAlign w:val="center"/>
          </w:tcPr>
          <w:p w:rsidR="00885C1B" w:rsidRPr="005040B5" w:rsidRDefault="00885C1B" w:rsidP="00B12DD0">
            <w:pPr>
              <w:snapToGrid w:val="0"/>
              <w:jc w:val="center"/>
              <w:rPr>
                <w:rFonts w:cs="宋体"/>
                <w:b/>
                <w:szCs w:val="21"/>
              </w:rPr>
            </w:pPr>
            <w:r w:rsidRPr="005040B5">
              <w:rPr>
                <w:rFonts w:cs="宋体" w:hint="eastAsia"/>
                <w:b/>
                <w:szCs w:val="21"/>
              </w:rPr>
              <w:t>第六部分</w:t>
            </w:r>
            <w:r w:rsidRPr="005040B5">
              <w:rPr>
                <w:rFonts w:cs="宋体"/>
                <w:b/>
                <w:szCs w:val="21"/>
              </w:rPr>
              <w:t xml:space="preserve">  </w:t>
            </w:r>
            <w:r w:rsidRPr="005040B5">
              <w:rPr>
                <w:rFonts w:cs="宋体"/>
                <w:b/>
                <w:szCs w:val="21"/>
              </w:rPr>
              <w:t>基金份额的申购与赎回</w:t>
            </w:r>
          </w:p>
        </w:tc>
        <w:tc>
          <w:tcPr>
            <w:tcW w:w="2303" w:type="pct"/>
          </w:tcPr>
          <w:p w:rsidR="00885C1B" w:rsidRPr="00CB2EE1" w:rsidRDefault="00885C1B" w:rsidP="00B12DD0">
            <w:pPr>
              <w:snapToGrid w:val="0"/>
              <w:rPr>
                <w:rFonts w:cs="宋体"/>
                <w:szCs w:val="21"/>
              </w:rPr>
            </w:pPr>
            <w:r w:rsidRPr="00CB2EE1">
              <w:rPr>
                <w:rFonts w:cs="宋体" w:hint="eastAsia"/>
                <w:szCs w:val="21"/>
              </w:rPr>
              <w:t>十一、基金转换</w:t>
            </w:r>
          </w:p>
          <w:p w:rsidR="00885C1B" w:rsidRDefault="00885C1B" w:rsidP="00B12DD0">
            <w:pPr>
              <w:snapToGrid w:val="0"/>
              <w:rPr>
                <w:rFonts w:cs="宋体"/>
                <w:szCs w:val="21"/>
              </w:rPr>
            </w:pPr>
            <w:r w:rsidRPr="00CB2EE1">
              <w:rPr>
                <w:rFonts w:cs="宋体" w:hint="eastAsia"/>
                <w:szCs w:val="21"/>
              </w:rPr>
              <w:t>基金管理人可以根据相关法律法规以及本基金合同的规定决定开办本基金</w:t>
            </w:r>
            <w:r w:rsidRPr="00B12DD0">
              <w:rPr>
                <w:rFonts w:cs="宋体" w:hint="eastAsia"/>
                <w:b/>
                <w:strike/>
                <w:szCs w:val="21"/>
              </w:rPr>
              <w:t>与基金管理人管理的其他基金之间</w:t>
            </w:r>
            <w:r w:rsidRPr="00CB2EE1">
              <w:rPr>
                <w:rFonts w:cs="宋体" w:hint="eastAsia"/>
                <w:szCs w:val="21"/>
              </w:rPr>
              <w:t>的转换业务，基金转换可以收取一定的转换费，相关规则由基金管理人届时根据相关法律法规及本基金合同的规定制定并公告，并提前告知基金托管人与相关机构。</w:t>
            </w:r>
          </w:p>
        </w:tc>
        <w:tc>
          <w:tcPr>
            <w:tcW w:w="2303" w:type="pct"/>
          </w:tcPr>
          <w:p w:rsidR="00885C1B" w:rsidRPr="00CB2EE1" w:rsidRDefault="00885C1B" w:rsidP="00B12DD0">
            <w:pPr>
              <w:snapToGrid w:val="0"/>
              <w:rPr>
                <w:rFonts w:cs="宋体"/>
                <w:szCs w:val="21"/>
              </w:rPr>
            </w:pPr>
            <w:r w:rsidRPr="00CB2EE1">
              <w:rPr>
                <w:rFonts w:cs="宋体" w:hint="eastAsia"/>
                <w:szCs w:val="21"/>
              </w:rPr>
              <w:t>十一、基金转换</w:t>
            </w:r>
          </w:p>
          <w:p w:rsidR="00885C1B" w:rsidRPr="005040B5" w:rsidRDefault="00885C1B" w:rsidP="00B12DD0">
            <w:pPr>
              <w:snapToGrid w:val="0"/>
              <w:rPr>
                <w:rFonts w:cs="宋体"/>
                <w:b/>
                <w:szCs w:val="21"/>
                <w:u w:val="single"/>
              </w:rPr>
            </w:pPr>
            <w:r w:rsidRPr="00CB2EE1">
              <w:rPr>
                <w:rFonts w:cs="宋体" w:hint="eastAsia"/>
                <w:szCs w:val="21"/>
              </w:rPr>
              <w:t>基金管理人可以根据相关法律法规以及本基金合同的规定决定开办本基金的</w:t>
            </w:r>
            <w:r w:rsidRPr="00B12DD0">
              <w:rPr>
                <w:rFonts w:cs="宋体" w:hint="eastAsia"/>
                <w:b/>
                <w:szCs w:val="21"/>
                <w:u w:val="single"/>
              </w:rPr>
              <w:t>基金</w:t>
            </w:r>
            <w:r w:rsidRPr="00CB2EE1">
              <w:rPr>
                <w:rFonts w:cs="宋体" w:hint="eastAsia"/>
                <w:szCs w:val="21"/>
              </w:rPr>
              <w:t>转换业务，基金转换可以收取一定的转换费，相关规则由基金管理人届时根据相关法律法规及本基金合同的规定制定并公告，并提前告知基金托管人与相关机构。</w:t>
            </w:r>
          </w:p>
        </w:tc>
      </w:tr>
      <w:tr w:rsidR="00885C1B" w:rsidTr="00B12DD0">
        <w:tc>
          <w:tcPr>
            <w:tcW w:w="394" w:type="pct"/>
            <w:vMerge w:val="restart"/>
            <w:vAlign w:val="center"/>
          </w:tcPr>
          <w:p w:rsidR="00885C1B" w:rsidRPr="005040B5" w:rsidRDefault="00885C1B" w:rsidP="00B12DD0">
            <w:pPr>
              <w:snapToGrid w:val="0"/>
              <w:jc w:val="center"/>
              <w:rPr>
                <w:rFonts w:cs="宋体"/>
                <w:b/>
                <w:szCs w:val="21"/>
              </w:rPr>
            </w:pPr>
            <w:r w:rsidRPr="005040B5">
              <w:rPr>
                <w:rFonts w:cs="宋体" w:hint="eastAsia"/>
                <w:b/>
                <w:szCs w:val="21"/>
              </w:rPr>
              <w:t>第</w:t>
            </w:r>
            <w:r>
              <w:rPr>
                <w:rFonts w:cs="宋体" w:hint="eastAsia"/>
                <w:b/>
                <w:szCs w:val="21"/>
              </w:rPr>
              <w:t>七</w:t>
            </w:r>
            <w:r w:rsidRPr="005040B5">
              <w:rPr>
                <w:rFonts w:cs="宋体" w:hint="eastAsia"/>
                <w:b/>
                <w:szCs w:val="21"/>
              </w:rPr>
              <w:t>部分</w:t>
            </w:r>
            <w:r w:rsidRPr="005040B5">
              <w:rPr>
                <w:rFonts w:cs="宋体"/>
                <w:b/>
                <w:szCs w:val="21"/>
              </w:rPr>
              <w:t xml:space="preserve">  </w:t>
            </w:r>
            <w:r w:rsidRPr="005040B5">
              <w:rPr>
                <w:rFonts w:cs="宋体"/>
                <w:b/>
                <w:szCs w:val="21"/>
              </w:rPr>
              <w:t>基金</w:t>
            </w:r>
            <w:r>
              <w:rPr>
                <w:rFonts w:cs="宋体" w:hint="eastAsia"/>
                <w:b/>
                <w:szCs w:val="21"/>
              </w:rPr>
              <w:t>合同当事人及权利义务</w:t>
            </w:r>
          </w:p>
        </w:tc>
        <w:tc>
          <w:tcPr>
            <w:tcW w:w="2303" w:type="pct"/>
          </w:tcPr>
          <w:p w:rsidR="00885C1B" w:rsidRDefault="00885C1B" w:rsidP="00B12DD0">
            <w:pPr>
              <w:snapToGrid w:val="0"/>
              <w:rPr>
                <w:rFonts w:cs="宋体"/>
                <w:szCs w:val="21"/>
              </w:rPr>
            </w:pPr>
            <w:r w:rsidRPr="00130039">
              <w:rPr>
                <w:rFonts w:cs="宋体" w:hint="eastAsia"/>
                <w:szCs w:val="21"/>
              </w:rPr>
              <w:t>一、基金管理人</w:t>
            </w:r>
          </w:p>
          <w:p w:rsidR="00885C1B" w:rsidRDefault="00885C1B" w:rsidP="00B12DD0">
            <w:pPr>
              <w:snapToGrid w:val="0"/>
              <w:rPr>
                <w:rFonts w:cs="宋体"/>
                <w:szCs w:val="21"/>
              </w:rPr>
            </w:pPr>
            <w:r>
              <w:rPr>
                <w:rFonts w:cs="宋体" w:hint="eastAsia"/>
                <w:szCs w:val="21"/>
              </w:rPr>
              <w:t>……</w:t>
            </w:r>
          </w:p>
          <w:p w:rsidR="00885C1B" w:rsidRPr="005040B5" w:rsidRDefault="00885C1B" w:rsidP="00B12DD0">
            <w:pPr>
              <w:snapToGrid w:val="0"/>
              <w:rPr>
                <w:rFonts w:cs="宋体"/>
                <w:szCs w:val="21"/>
              </w:rPr>
            </w:pPr>
            <w:r w:rsidRPr="00130039">
              <w:rPr>
                <w:rFonts w:cs="宋体" w:hint="eastAsia"/>
                <w:szCs w:val="21"/>
              </w:rPr>
              <w:t>组织形式：有限责任公司（</w:t>
            </w:r>
            <w:r w:rsidRPr="00B12DD0">
              <w:rPr>
                <w:rFonts w:cs="宋体" w:hint="eastAsia"/>
                <w:b/>
                <w:strike/>
                <w:szCs w:val="21"/>
              </w:rPr>
              <w:t>中外合资</w:t>
            </w:r>
            <w:r w:rsidRPr="00130039">
              <w:rPr>
                <w:rFonts w:cs="宋体" w:hint="eastAsia"/>
                <w:szCs w:val="21"/>
              </w:rPr>
              <w:t>）</w:t>
            </w:r>
          </w:p>
        </w:tc>
        <w:tc>
          <w:tcPr>
            <w:tcW w:w="2303" w:type="pct"/>
          </w:tcPr>
          <w:p w:rsidR="00885C1B" w:rsidRDefault="00885C1B" w:rsidP="00B12DD0">
            <w:pPr>
              <w:snapToGrid w:val="0"/>
              <w:rPr>
                <w:rFonts w:cs="宋体"/>
                <w:szCs w:val="21"/>
              </w:rPr>
            </w:pPr>
            <w:r w:rsidRPr="00130039">
              <w:rPr>
                <w:rFonts w:cs="宋体" w:hint="eastAsia"/>
                <w:szCs w:val="21"/>
              </w:rPr>
              <w:t>一、基金管理人</w:t>
            </w:r>
          </w:p>
          <w:p w:rsidR="00885C1B" w:rsidRDefault="00885C1B" w:rsidP="00B12DD0">
            <w:pPr>
              <w:snapToGrid w:val="0"/>
              <w:rPr>
                <w:rFonts w:cs="宋体"/>
                <w:szCs w:val="21"/>
              </w:rPr>
            </w:pPr>
            <w:r>
              <w:rPr>
                <w:rFonts w:cs="宋体" w:hint="eastAsia"/>
                <w:szCs w:val="21"/>
              </w:rPr>
              <w:t>……</w:t>
            </w:r>
          </w:p>
          <w:p w:rsidR="00885C1B" w:rsidRPr="005040B5" w:rsidRDefault="00885C1B" w:rsidP="00B12DD0">
            <w:pPr>
              <w:snapToGrid w:val="0"/>
              <w:rPr>
                <w:rFonts w:cs="宋体"/>
                <w:szCs w:val="21"/>
              </w:rPr>
            </w:pPr>
            <w:r w:rsidRPr="00130039">
              <w:rPr>
                <w:rFonts w:cs="宋体" w:hint="eastAsia"/>
                <w:szCs w:val="21"/>
              </w:rPr>
              <w:t>组织形式：有限责任公司（</w:t>
            </w:r>
            <w:r w:rsidRPr="00B12DD0">
              <w:rPr>
                <w:rFonts w:cs="宋体" w:hint="eastAsia"/>
                <w:b/>
                <w:szCs w:val="21"/>
                <w:u w:val="single"/>
              </w:rPr>
              <w:t>外商投资、非独资</w:t>
            </w:r>
            <w:r w:rsidRPr="00130039">
              <w:rPr>
                <w:rFonts w:cs="宋体" w:hint="eastAsia"/>
                <w:szCs w:val="21"/>
              </w:rPr>
              <w:t>）</w:t>
            </w:r>
          </w:p>
        </w:tc>
      </w:tr>
      <w:tr w:rsidR="00885C1B" w:rsidTr="00B12DD0">
        <w:tc>
          <w:tcPr>
            <w:tcW w:w="394" w:type="pct"/>
            <w:vMerge/>
            <w:vAlign w:val="center"/>
          </w:tcPr>
          <w:p w:rsidR="00885C1B" w:rsidRPr="005040B5" w:rsidRDefault="00885C1B" w:rsidP="00B12DD0">
            <w:pPr>
              <w:snapToGrid w:val="0"/>
              <w:jc w:val="center"/>
              <w:rPr>
                <w:rFonts w:cs="宋体"/>
                <w:b/>
                <w:szCs w:val="21"/>
              </w:rPr>
            </w:pPr>
          </w:p>
        </w:tc>
        <w:tc>
          <w:tcPr>
            <w:tcW w:w="2303" w:type="pct"/>
          </w:tcPr>
          <w:p w:rsidR="00885C1B" w:rsidRDefault="00885C1B" w:rsidP="00B12DD0">
            <w:pPr>
              <w:snapToGrid w:val="0"/>
              <w:rPr>
                <w:rFonts w:cs="宋体"/>
                <w:szCs w:val="21"/>
              </w:rPr>
            </w:pPr>
            <w:r>
              <w:rPr>
                <w:rFonts w:cs="宋体" w:hint="eastAsia"/>
                <w:szCs w:val="21"/>
              </w:rPr>
              <w:t>二、基金托管人</w:t>
            </w:r>
          </w:p>
          <w:p w:rsidR="00885C1B" w:rsidRDefault="00885C1B" w:rsidP="00B12DD0">
            <w:pPr>
              <w:snapToGrid w:val="0"/>
              <w:rPr>
                <w:rFonts w:cs="宋体"/>
                <w:szCs w:val="21"/>
              </w:rPr>
            </w:pPr>
            <w:r>
              <w:rPr>
                <w:rFonts w:cs="宋体" w:hint="eastAsia"/>
                <w:szCs w:val="21"/>
              </w:rPr>
              <w:t>……</w:t>
            </w:r>
          </w:p>
          <w:p w:rsidR="00885C1B" w:rsidRPr="00130039" w:rsidRDefault="00885C1B" w:rsidP="00B12DD0">
            <w:pPr>
              <w:snapToGrid w:val="0"/>
              <w:rPr>
                <w:rFonts w:cs="宋体"/>
                <w:szCs w:val="21"/>
              </w:rPr>
            </w:pPr>
            <w:r>
              <w:rPr>
                <w:rFonts w:cs="宋体" w:hint="eastAsia"/>
                <w:szCs w:val="21"/>
              </w:rPr>
              <w:t>法定代表人：</w:t>
            </w:r>
            <w:r w:rsidRPr="00B12DD0">
              <w:rPr>
                <w:rFonts w:cs="宋体" w:hint="eastAsia"/>
                <w:b/>
                <w:strike/>
                <w:szCs w:val="21"/>
              </w:rPr>
              <w:t>田国立</w:t>
            </w:r>
          </w:p>
        </w:tc>
        <w:tc>
          <w:tcPr>
            <w:tcW w:w="2303" w:type="pct"/>
          </w:tcPr>
          <w:p w:rsidR="00885C1B" w:rsidRDefault="00885C1B" w:rsidP="00B12DD0">
            <w:pPr>
              <w:snapToGrid w:val="0"/>
              <w:rPr>
                <w:rFonts w:cs="宋体"/>
                <w:szCs w:val="21"/>
              </w:rPr>
            </w:pPr>
            <w:r>
              <w:rPr>
                <w:rFonts w:cs="宋体" w:hint="eastAsia"/>
                <w:szCs w:val="21"/>
              </w:rPr>
              <w:t>二、基金托管人</w:t>
            </w:r>
          </w:p>
          <w:p w:rsidR="00885C1B" w:rsidRDefault="00885C1B" w:rsidP="00B12DD0">
            <w:pPr>
              <w:snapToGrid w:val="0"/>
              <w:rPr>
                <w:rFonts w:cs="宋体"/>
                <w:szCs w:val="21"/>
              </w:rPr>
            </w:pPr>
            <w:r>
              <w:rPr>
                <w:rFonts w:cs="宋体" w:hint="eastAsia"/>
                <w:szCs w:val="21"/>
              </w:rPr>
              <w:t>……</w:t>
            </w:r>
          </w:p>
          <w:p w:rsidR="00885C1B" w:rsidRPr="00130039" w:rsidRDefault="00885C1B" w:rsidP="00B12DD0">
            <w:pPr>
              <w:snapToGrid w:val="0"/>
              <w:rPr>
                <w:rFonts w:cs="宋体"/>
                <w:szCs w:val="21"/>
              </w:rPr>
            </w:pPr>
            <w:r>
              <w:rPr>
                <w:rFonts w:cs="宋体" w:hint="eastAsia"/>
                <w:szCs w:val="21"/>
              </w:rPr>
              <w:t>法定代表人：</w:t>
            </w:r>
            <w:r w:rsidRPr="00B12DD0">
              <w:rPr>
                <w:rFonts w:cs="宋体" w:hint="eastAsia"/>
                <w:b/>
                <w:szCs w:val="21"/>
                <w:u w:val="single"/>
              </w:rPr>
              <w:t>张金良</w:t>
            </w:r>
          </w:p>
        </w:tc>
      </w:tr>
      <w:tr w:rsidR="00AC48F9" w:rsidTr="00B12DD0">
        <w:tc>
          <w:tcPr>
            <w:tcW w:w="5000" w:type="pct"/>
            <w:gridSpan w:val="3"/>
            <w:vAlign w:val="center"/>
          </w:tcPr>
          <w:p w:rsidR="00AC48F9" w:rsidRPr="00501CA0" w:rsidRDefault="00AC48F9" w:rsidP="00AC48F9">
            <w:pPr>
              <w:snapToGrid w:val="0"/>
              <w:rPr>
                <w:rFonts w:cs="宋体"/>
                <w:b/>
                <w:szCs w:val="21"/>
              </w:rPr>
            </w:pPr>
            <w:r w:rsidRPr="00550EF5">
              <w:rPr>
                <w:rFonts w:cs="宋体" w:hint="eastAsia"/>
                <w:b/>
                <w:szCs w:val="21"/>
              </w:rPr>
              <w:t>注：托管协议中涉及上述内容的部分同步修订</w:t>
            </w:r>
          </w:p>
        </w:tc>
      </w:tr>
    </w:tbl>
    <w:p w:rsidR="00885C1B" w:rsidRPr="00885C1B" w:rsidRDefault="00885C1B" w:rsidP="0074364E">
      <w:pPr>
        <w:snapToGrid w:val="0"/>
        <w:spacing w:line="360" w:lineRule="auto"/>
        <w:rPr>
          <w:rFonts w:ascii="宋体" w:hAnsi="宋体"/>
          <w:szCs w:val="21"/>
        </w:rPr>
      </w:pPr>
    </w:p>
    <w:p w:rsidR="00FF063F" w:rsidRPr="0074364E" w:rsidRDefault="00FF063F" w:rsidP="001C2158">
      <w:pPr>
        <w:adjustRightInd w:val="0"/>
        <w:snapToGrid w:val="0"/>
        <w:spacing w:line="400" w:lineRule="exact"/>
        <w:jc w:val="right"/>
        <w:rPr>
          <w:rFonts w:asciiTheme="minorEastAsia" w:eastAsiaTheme="minorEastAsia" w:hAnsiTheme="minorEastAsia" w:cs="Arial"/>
          <w:szCs w:val="21"/>
        </w:rPr>
      </w:pPr>
    </w:p>
    <w:sectPr w:rsidR="00FF063F" w:rsidRPr="0074364E" w:rsidSect="00CA01D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F6" w:rsidRDefault="00A53EF6" w:rsidP="0015076D">
      <w:r>
        <w:separator/>
      </w:r>
    </w:p>
  </w:endnote>
  <w:endnote w:type="continuationSeparator" w:id="0">
    <w:p w:rsidR="00A53EF6" w:rsidRDefault="00A53EF6" w:rsidP="00150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83121"/>
      <w:docPartObj>
        <w:docPartGallery w:val="Page Numbers (Bottom of Page)"/>
        <w:docPartUnique/>
      </w:docPartObj>
    </w:sdtPr>
    <w:sdtContent>
      <w:p w:rsidR="00FC7D5F" w:rsidRDefault="00CA01DE">
        <w:pPr>
          <w:pStyle w:val="a5"/>
          <w:jc w:val="center"/>
        </w:pPr>
        <w:r>
          <w:fldChar w:fldCharType="begin"/>
        </w:r>
        <w:r w:rsidR="00FC7D5F">
          <w:instrText>PAGE   \* MERGEFORMAT</w:instrText>
        </w:r>
        <w:r>
          <w:fldChar w:fldCharType="separate"/>
        </w:r>
        <w:r w:rsidR="002A2332" w:rsidRPr="002A2332">
          <w:rPr>
            <w:noProof/>
            <w:lang w:val="zh-CN"/>
          </w:rPr>
          <w:t>1</w:t>
        </w:r>
        <w:r>
          <w:fldChar w:fldCharType="end"/>
        </w:r>
      </w:p>
    </w:sdtContent>
  </w:sdt>
  <w:p w:rsidR="00FC7D5F" w:rsidRDefault="00FC7D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F6" w:rsidRDefault="00A53EF6" w:rsidP="0015076D">
      <w:r>
        <w:separator/>
      </w:r>
    </w:p>
  </w:footnote>
  <w:footnote w:type="continuationSeparator" w:id="0">
    <w:p w:rsidR="00A53EF6" w:rsidRDefault="00A53EF6" w:rsidP="00150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F44"/>
    <w:rsid w:val="000012DB"/>
    <w:rsid w:val="000147C1"/>
    <w:rsid w:val="000156C0"/>
    <w:rsid w:val="00016F53"/>
    <w:rsid w:val="0002065A"/>
    <w:rsid w:val="0002767E"/>
    <w:rsid w:val="000423A6"/>
    <w:rsid w:val="000463E1"/>
    <w:rsid w:val="00050ADC"/>
    <w:rsid w:val="0005193A"/>
    <w:rsid w:val="0005231C"/>
    <w:rsid w:val="00054761"/>
    <w:rsid w:val="00064A3E"/>
    <w:rsid w:val="00064F79"/>
    <w:rsid w:val="00067466"/>
    <w:rsid w:val="000746BE"/>
    <w:rsid w:val="00077A0A"/>
    <w:rsid w:val="00080EFA"/>
    <w:rsid w:val="00082D6B"/>
    <w:rsid w:val="00092DFB"/>
    <w:rsid w:val="0009468F"/>
    <w:rsid w:val="000960EB"/>
    <w:rsid w:val="000A0BD0"/>
    <w:rsid w:val="000A5A58"/>
    <w:rsid w:val="000A6881"/>
    <w:rsid w:val="000B41E2"/>
    <w:rsid w:val="000B76E7"/>
    <w:rsid w:val="000C021C"/>
    <w:rsid w:val="000D44B0"/>
    <w:rsid w:val="000E3C37"/>
    <w:rsid w:val="000F2638"/>
    <w:rsid w:val="000F5E03"/>
    <w:rsid w:val="00101526"/>
    <w:rsid w:val="00103D4E"/>
    <w:rsid w:val="001063A2"/>
    <w:rsid w:val="00112E6A"/>
    <w:rsid w:val="00122230"/>
    <w:rsid w:val="00127BDE"/>
    <w:rsid w:val="001308E8"/>
    <w:rsid w:val="00135F5B"/>
    <w:rsid w:val="00145C4C"/>
    <w:rsid w:val="0014644E"/>
    <w:rsid w:val="0015076D"/>
    <w:rsid w:val="00152726"/>
    <w:rsid w:val="001539D5"/>
    <w:rsid w:val="00163F43"/>
    <w:rsid w:val="001701C8"/>
    <w:rsid w:val="00180970"/>
    <w:rsid w:val="00181C31"/>
    <w:rsid w:val="001850F7"/>
    <w:rsid w:val="00185886"/>
    <w:rsid w:val="0018625B"/>
    <w:rsid w:val="001903BA"/>
    <w:rsid w:val="00190AEF"/>
    <w:rsid w:val="00192898"/>
    <w:rsid w:val="00194385"/>
    <w:rsid w:val="00195710"/>
    <w:rsid w:val="001A0596"/>
    <w:rsid w:val="001A292D"/>
    <w:rsid w:val="001A4E76"/>
    <w:rsid w:val="001A4F92"/>
    <w:rsid w:val="001A5C52"/>
    <w:rsid w:val="001B324C"/>
    <w:rsid w:val="001B3E86"/>
    <w:rsid w:val="001B57AE"/>
    <w:rsid w:val="001C0125"/>
    <w:rsid w:val="001C2158"/>
    <w:rsid w:val="001C4084"/>
    <w:rsid w:val="001D0551"/>
    <w:rsid w:val="001D06EE"/>
    <w:rsid w:val="001D0AC0"/>
    <w:rsid w:val="001E1AF4"/>
    <w:rsid w:val="001E6342"/>
    <w:rsid w:val="001F45FD"/>
    <w:rsid w:val="00201820"/>
    <w:rsid w:val="00220417"/>
    <w:rsid w:val="00223438"/>
    <w:rsid w:val="00224ED4"/>
    <w:rsid w:val="002256CB"/>
    <w:rsid w:val="00234EFC"/>
    <w:rsid w:val="0023516F"/>
    <w:rsid w:val="002423CE"/>
    <w:rsid w:val="00245155"/>
    <w:rsid w:val="00245CAA"/>
    <w:rsid w:val="00251BEC"/>
    <w:rsid w:val="002545DD"/>
    <w:rsid w:val="00261997"/>
    <w:rsid w:val="002672DC"/>
    <w:rsid w:val="0027653D"/>
    <w:rsid w:val="002830A7"/>
    <w:rsid w:val="00293598"/>
    <w:rsid w:val="00297FC0"/>
    <w:rsid w:val="002A0F3D"/>
    <w:rsid w:val="002A2332"/>
    <w:rsid w:val="002B3637"/>
    <w:rsid w:val="002C06B1"/>
    <w:rsid w:val="002C75D5"/>
    <w:rsid w:val="002D3588"/>
    <w:rsid w:val="002D42EC"/>
    <w:rsid w:val="002F58B1"/>
    <w:rsid w:val="00301DAE"/>
    <w:rsid w:val="00306BF4"/>
    <w:rsid w:val="0031207A"/>
    <w:rsid w:val="00312431"/>
    <w:rsid w:val="003221FF"/>
    <w:rsid w:val="00322343"/>
    <w:rsid w:val="00322F5D"/>
    <w:rsid w:val="00324567"/>
    <w:rsid w:val="00324B2F"/>
    <w:rsid w:val="003305B7"/>
    <w:rsid w:val="00340D39"/>
    <w:rsid w:val="00342B8E"/>
    <w:rsid w:val="0034446F"/>
    <w:rsid w:val="0034562F"/>
    <w:rsid w:val="00350950"/>
    <w:rsid w:val="00351704"/>
    <w:rsid w:val="003538BD"/>
    <w:rsid w:val="00356B03"/>
    <w:rsid w:val="003639D7"/>
    <w:rsid w:val="003666D3"/>
    <w:rsid w:val="00372E83"/>
    <w:rsid w:val="0039078F"/>
    <w:rsid w:val="00392635"/>
    <w:rsid w:val="003945A5"/>
    <w:rsid w:val="003A2E2D"/>
    <w:rsid w:val="003A4D3C"/>
    <w:rsid w:val="003A507E"/>
    <w:rsid w:val="003C03BA"/>
    <w:rsid w:val="003C1188"/>
    <w:rsid w:val="003C2B1F"/>
    <w:rsid w:val="003C5723"/>
    <w:rsid w:val="003D01D2"/>
    <w:rsid w:val="003D0612"/>
    <w:rsid w:val="003D2243"/>
    <w:rsid w:val="003E4AEB"/>
    <w:rsid w:val="003F5A93"/>
    <w:rsid w:val="00411A9B"/>
    <w:rsid w:val="00414F5E"/>
    <w:rsid w:val="00415E9A"/>
    <w:rsid w:val="0041611F"/>
    <w:rsid w:val="00417A55"/>
    <w:rsid w:val="004240A1"/>
    <w:rsid w:val="00424AFA"/>
    <w:rsid w:val="004256A3"/>
    <w:rsid w:val="00427BE2"/>
    <w:rsid w:val="0043021F"/>
    <w:rsid w:val="0043501C"/>
    <w:rsid w:val="00435DAF"/>
    <w:rsid w:val="00436572"/>
    <w:rsid w:val="004365D3"/>
    <w:rsid w:val="00442614"/>
    <w:rsid w:val="00446C2D"/>
    <w:rsid w:val="00450008"/>
    <w:rsid w:val="00450D1C"/>
    <w:rsid w:val="00454B9D"/>
    <w:rsid w:val="00456A8B"/>
    <w:rsid w:val="004575D9"/>
    <w:rsid w:val="004630AA"/>
    <w:rsid w:val="0046501D"/>
    <w:rsid w:val="0046707C"/>
    <w:rsid w:val="00476046"/>
    <w:rsid w:val="00483E54"/>
    <w:rsid w:val="004952A6"/>
    <w:rsid w:val="00497EDD"/>
    <w:rsid w:val="004A7944"/>
    <w:rsid w:val="004B4FE3"/>
    <w:rsid w:val="004C29A9"/>
    <w:rsid w:val="004C68E0"/>
    <w:rsid w:val="004D4F9A"/>
    <w:rsid w:val="004D7186"/>
    <w:rsid w:val="004E08C2"/>
    <w:rsid w:val="004E3FC0"/>
    <w:rsid w:val="004E4237"/>
    <w:rsid w:val="004E66ED"/>
    <w:rsid w:val="004E70BB"/>
    <w:rsid w:val="00501BB8"/>
    <w:rsid w:val="005049C9"/>
    <w:rsid w:val="0051037F"/>
    <w:rsid w:val="0051201C"/>
    <w:rsid w:val="00514D45"/>
    <w:rsid w:val="00524962"/>
    <w:rsid w:val="00524BD5"/>
    <w:rsid w:val="005369CD"/>
    <w:rsid w:val="00540950"/>
    <w:rsid w:val="00546DAA"/>
    <w:rsid w:val="00550EF5"/>
    <w:rsid w:val="00552336"/>
    <w:rsid w:val="005525EA"/>
    <w:rsid w:val="00562C90"/>
    <w:rsid w:val="0056310F"/>
    <w:rsid w:val="005662CA"/>
    <w:rsid w:val="00580953"/>
    <w:rsid w:val="005909C3"/>
    <w:rsid w:val="005A326F"/>
    <w:rsid w:val="005A396E"/>
    <w:rsid w:val="005A4B49"/>
    <w:rsid w:val="005B23D2"/>
    <w:rsid w:val="005B3704"/>
    <w:rsid w:val="005B613C"/>
    <w:rsid w:val="005C2794"/>
    <w:rsid w:val="005C56C2"/>
    <w:rsid w:val="005C5A4B"/>
    <w:rsid w:val="005D4662"/>
    <w:rsid w:val="005D482B"/>
    <w:rsid w:val="005D4A5E"/>
    <w:rsid w:val="005E1046"/>
    <w:rsid w:val="005E4039"/>
    <w:rsid w:val="005E5F2B"/>
    <w:rsid w:val="005E6800"/>
    <w:rsid w:val="005F2D8F"/>
    <w:rsid w:val="005F409D"/>
    <w:rsid w:val="00602645"/>
    <w:rsid w:val="006029E6"/>
    <w:rsid w:val="00611CFB"/>
    <w:rsid w:val="0061229B"/>
    <w:rsid w:val="006148F1"/>
    <w:rsid w:val="00614A84"/>
    <w:rsid w:val="00615AF5"/>
    <w:rsid w:val="006164BF"/>
    <w:rsid w:val="00622DA9"/>
    <w:rsid w:val="00623F4B"/>
    <w:rsid w:val="00627DD9"/>
    <w:rsid w:val="00632EE1"/>
    <w:rsid w:val="00654FBF"/>
    <w:rsid w:val="00664EFE"/>
    <w:rsid w:val="00672CD8"/>
    <w:rsid w:val="00674F85"/>
    <w:rsid w:val="00687563"/>
    <w:rsid w:val="00694B55"/>
    <w:rsid w:val="006A6221"/>
    <w:rsid w:val="006B02B1"/>
    <w:rsid w:val="006B0C69"/>
    <w:rsid w:val="006C6208"/>
    <w:rsid w:val="006D5C46"/>
    <w:rsid w:val="006E0617"/>
    <w:rsid w:val="006E0A1F"/>
    <w:rsid w:val="006E56C3"/>
    <w:rsid w:val="006F18D5"/>
    <w:rsid w:val="006F229A"/>
    <w:rsid w:val="006F716D"/>
    <w:rsid w:val="006F7427"/>
    <w:rsid w:val="00702F0F"/>
    <w:rsid w:val="007042FC"/>
    <w:rsid w:val="00705E30"/>
    <w:rsid w:val="00707857"/>
    <w:rsid w:val="007268E4"/>
    <w:rsid w:val="0073058C"/>
    <w:rsid w:val="00734D37"/>
    <w:rsid w:val="0074364E"/>
    <w:rsid w:val="00753176"/>
    <w:rsid w:val="00753E3D"/>
    <w:rsid w:val="00753F51"/>
    <w:rsid w:val="00754C7F"/>
    <w:rsid w:val="00771E5F"/>
    <w:rsid w:val="007748D7"/>
    <w:rsid w:val="00775436"/>
    <w:rsid w:val="00780681"/>
    <w:rsid w:val="007971AD"/>
    <w:rsid w:val="00797D14"/>
    <w:rsid w:val="007A4A7B"/>
    <w:rsid w:val="007A7DF5"/>
    <w:rsid w:val="007B1EB9"/>
    <w:rsid w:val="007C06DB"/>
    <w:rsid w:val="007C7A53"/>
    <w:rsid w:val="007D15F3"/>
    <w:rsid w:val="007D6909"/>
    <w:rsid w:val="007E029C"/>
    <w:rsid w:val="007E0420"/>
    <w:rsid w:val="007E3AC4"/>
    <w:rsid w:val="007E67F9"/>
    <w:rsid w:val="007F6273"/>
    <w:rsid w:val="00800618"/>
    <w:rsid w:val="0080087F"/>
    <w:rsid w:val="00807276"/>
    <w:rsid w:val="00813B3D"/>
    <w:rsid w:val="0083023C"/>
    <w:rsid w:val="00830A03"/>
    <w:rsid w:val="00833018"/>
    <w:rsid w:val="00834B61"/>
    <w:rsid w:val="00847585"/>
    <w:rsid w:val="0085263D"/>
    <w:rsid w:val="00852EC9"/>
    <w:rsid w:val="008636B0"/>
    <w:rsid w:val="00867744"/>
    <w:rsid w:val="00872D0F"/>
    <w:rsid w:val="008768CD"/>
    <w:rsid w:val="00885C1B"/>
    <w:rsid w:val="0088662F"/>
    <w:rsid w:val="00890AD2"/>
    <w:rsid w:val="0089212B"/>
    <w:rsid w:val="008925C2"/>
    <w:rsid w:val="00896C38"/>
    <w:rsid w:val="008B2DAE"/>
    <w:rsid w:val="008B4B73"/>
    <w:rsid w:val="008B6D95"/>
    <w:rsid w:val="008B78CC"/>
    <w:rsid w:val="008C28E2"/>
    <w:rsid w:val="008C7B20"/>
    <w:rsid w:val="008D4025"/>
    <w:rsid w:val="008D5F8C"/>
    <w:rsid w:val="008E1D86"/>
    <w:rsid w:val="008E698A"/>
    <w:rsid w:val="008F2161"/>
    <w:rsid w:val="008F7F41"/>
    <w:rsid w:val="00910096"/>
    <w:rsid w:val="00912946"/>
    <w:rsid w:val="009146DA"/>
    <w:rsid w:val="00921B74"/>
    <w:rsid w:val="00934597"/>
    <w:rsid w:val="00940B17"/>
    <w:rsid w:val="009435D0"/>
    <w:rsid w:val="00955B78"/>
    <w:rsid w:val="009700E1"/>
    <w:rsid w:val="00970751"/>
    <w:rsid w:val="009752A0"/>
    <w:rsid w:val="00976E7F"/>
    <w:rsid w:val="009A712E"/>
    <w:rsid w:val="009A7525"/>
    <w:rsid w:val="009B564D"/>
    <w:rsid w:val="009E0740"/>
    <w:rsid w:val="009E441D"/>
    <w:rsid w:val="009E57D8"/>
    <w:rsid w:val="009F2D97"/>
    <w:rsid w:val="00A0098A"/>
    <w:rsid w:val="00A027F4"/>
    <w:rsid w:val="00A15290"/>
    <w:rsid w:val="00A1697A"/>
    <w:rsid w:val="00A25284"/>
    <w:rsid w:val="00A30D64"/>
    <w:rsid w:val="00A3132D"/>
    <w:rsid w:val="00A32A72"/>
    <w:rsid w:val="00A35B56"/>
    <w:rsid w:val="00A408A1"/>
    <w:rsid w:val="00A40F6C"/>
    <w:rsid w:val="00A53EF6"/>
    <w:rsid w:val="00A55AF9"/>
    <w:rsid w:val="00A61DC2"/>
    <w:rsid w:val="00A643BC"/>
    <w:rsid w:val="00A643E4"/>
    <w:rsid w:val="00A66B54"/>
    <w:rsid w:val="00AA03F0"/>
    <w:rsid w:val="00AA0681"/>
    <w:rsid w:val="00AA0D7D"/>
    <w:rsid w:val="00AA17D5"/>
    <w:rsid w:val="00AA2109"/>
    <w:rsid w:val="00AA27A8"/>
    <w:rsid w:val="00AA2C33"/>
    <w:rsid w:val="00AA40A0"/>
    <w:rsid w:val="00AA4D4C"/>
    <w:rsid w:val="00AA52E3"/>
    <w:rsid w:val="00AA646C"/>
    <w:rsid w:val="00AA655B"/>
    <w:rsid w:val="00AB202F"/>
    <w:rsid w:val="00AB2D9F"/>
    <w:rsid w:val="00AB709A"/>
    <w:rsid w:val="00AB72EA"/>
    <w:rsid w:val="00AB735D"/>
    <w:rsid w:val="00AB78AD"/>
    <w:rsid w:val="00AC0052"/>
    <w:rsid w:val="00AC0601"/>
    <w:rsid w:val="00AC2099"/>
    <w:rsid w:val="00AC48F9"/>
    <w:rsid w:val="00AC53B0"/>
    <w:rsid w:val="00AD525D"/>
    <w:rsid w:val="00AE285E"/>
    <w:rsid w:val="00AF050E"/>
    <w:rsid w:val="00B04725"/>
    <w:rsid w:val="00B04ECD"/>
    <w:rsid w:val="00B12B9F"/>
    <w:rsid w:val="00B13085"/>
    <w:rsid w:val="00B134C0"/>
    <w:rsid w:val="00B237F6"/>
    <w:rsid w:val="00B245E8"/>
    <w:rsid w:val="00B32B7D"/>
    <w:rsid w:val="00B32E4B"/>
    <w:rsid w:val="00B360F3"/>
    <w:rsid w:val="00B449BC"/>
    <w:rsid w:val="00B614B1"/>
    <w:rsid w:val="00B643EB"/>
    <w:rsid w:val="00B652CC"/>
    <w:rsid w:val="00B65E40"/>
    <w:rsid w:val="00B6639A"/>
    <w:rsid w:val="00B71978"/>
    <w:rsid w:val="00B7443A"/>
    <w:rsid w:val="00B75064"/>
    <w:rsid w:val="00B754F7"/>
    <w:rsid w:val="00B77D3C"/>
    <w:rsid w:val="00B90049"/>
    <w:rsid w:val="00B92CCF"/>
    <w:rsid w:val="00B96279"/>
    <w:rsid w:val="00B963AF"/>
    <w:rsid w:val="00B96F1C"/>
    <w:rsid w:val="00BA7989"/>
    <w:rsid w:val="00BD0EE4"/>
    <w:rsid w:val="00BD16D1"/>
    <w:rsid w:val="00BD5964"/>
    <w:rsid w:val="00BD6D70"/>
    <w:rsid w:val="00BE4CC9"/>
    <w:rsid w:val="00BF3B8D"/>
    <w:rsid w:val="00BF53F8"/>
    <w:rsid w:val="00BF5EFD"/>
    <w:rsid w:val="00C04A3B"/>
    <w:rsid w:val="00C1018C"/>
    <w:rsid w:val="00C16B1C"/>
    <w:rsid w:val="00C253DC"/>
    <w:rsid w:val="00C4185D"/>
    <w:rsid w:val="00C44AC3"/>
    <w:rsid w:val="00C465C3"/>
    <w:rsid w:val="00C51985"/>
    <w:rsid w:val="00C52045"/>
    <w:rsid w:val="00C60517"/>
    <w:rsid w:val="00C70F8B"/>
    <w:rsid w:val="00C76FE3"/>
    <w:rsid w:val="00C77F48"/>
    <w:rsid w:val="00C85838"/>
    <w:rsid w:val="00C87375"/>
    <w:rsid w:val="00C8737C"/>
    <w:rsid w:val="00C93F53"/>
    <w:rsid w:val="00CA01DE"/>
    <w:rsid w:val="00CA4800"/>
    <w:rsid w:val="00CA70C6"/>
    <w:rsid w:val="00CB6E23"/>
    <w:rsid w:val="00CC013E"/>
    <w:rsid w:val="00CC2151"/>
    <w:rsid w:val="00CC4061"/>
    <w:rsid w:val="00CC4B7C"/>
    <w:rsid w:val="00CC5355"/>
    <w:rsid w:val="00CC6B8B"/>
    <w:rsid w:val="00CD66E5"/>
    <w:rsid w:val="00CE4A37"/>
    <w:rsid w:val="00CE50B7"/>
    <w:rsid w:val="00CF1F78"/>
    <w:rsid w:val="00CF6341"/>
    <w:rsid w:val="00D03695"/>
    <w:rsid w:val="00D03DF7"/>
    <w:rsid w:val="00D06C28"/>
    <w:rsid w:val="00D17B9B"/>
    <w:rsid w:val="00D25148"/>
    <w:rsid w:val="00D27B3B"/>
    <w:rsid w:val="00D30483"/>
    <w:rsid w:val="00D35F5C"/>
    <w:rsid w:val="00D36828"/>
    <w:rsid w:val="00D3716B"/>
    <w:rsid w:val="00D37CE4"/>
    <w:rsid w:val="00D43AAF"/>
    <w:rsid w:val="00D44D04"/>
    <w:rsid w:val="00D8248F"/>
    <w:rsid w:val="00D854E3"/>
    <w:rsid w:val="00D92B05"/>
    <w:rsid w:val="00D93E25"/>
    <w:rsid w:val="00D975BF"/>
    <w:rsid w:val="00DA0AA5"/>
    <w:rsid w:val="00DA20AE"/>
    <w:rsid w:val="00DA2FDA"/>
    <w:rsid w:val="00DA6FFC"/>
    <w:rsid w:val="00DB1041"/>
    <w:rsid w:val="00DB2688"/>
    <w:rsid w:val="00DB69E8"/>
    <w:rsid w:val="00DB705D"/>
    <w:rsid w:val="00DD26B3"/>
    <w:rsid w:val="00DD2C09"/>
    <w:rsid w:val="00DD66FC"/>
    <w:rsid w:val="00DD6756"/>
    <w:rsid w:val="00DE7538"/>
    <w:rsid w:val="00DF18C0"/>
    <w:rsid w:val="00DF22C4"/>
    <w:rsid w:val="00DF4626"/>
    <w:rsid w:val="00DF733B"/>
    <w:rsid w:val="00DF79F4"/>
    <w:rsid w:val="00E01CE1"/>
    <w:rsid w:val="00E06816"/>
    <w:rsid w:val="00E125C8"/>
    <w:rsid w:val="00E12EE3"/>
    <w:rsid w:val="00E148D5"/>
    <w:rsid w:val="00E16567"/>
    <w:rsid w:val="00E215C8"/>
    <w:rsid w:val="00E26909"/>
    <w:rsid w:val="00E60591"/>
    <w:rsid w:val="00E62F06"/>
    <w:rsid w:val="00E656E5"/>
    <w:rsid w:val="00E65AE9"/>
    <w:rsid w:val="00E67758"/>
    <w:rsid w:val="00E761BE"/>
    <w:rsid w:val="00E87FEC"/>
    <w:rsid w:val="00E95904"/>
    <w:rsid w:val="00EB1462"/>
    <w:rsid w:val="00EB2954"/>
    <w:rsid w:val="00EB3CAD"/>
    <w:rsid w:val="00EB4822"/>
    <w:rsid w:val="00EC0334"/>
    <w:rsid w:val="00EC7B0C"/>
    <w:rsid w:val="00ED03CF"/>
    <w:rsid w:val="00ED6097"/>
    <w:rsid w:val="00EE4078"/>
    <w:rsid w:val="00EE56FE"/>
    <w:rsid w:val="00EE5759"/>
    <w:rsid w:val="00EF1C47"/>
    <w:rsid w:val="00EF5E60"/>
    <w:rsid w:val="00F06C21"/>
    <w:rsid w:val="00F107EC"/>
    <w:rsid w:val="00F11C4D"/>
    <w:rsid w:val="00F127EA"/>
    <w:rsid w:val="00F154B8"/>
    <w:rsid w:val="00F16F04"/>
    <w:rsid w:val="00F24AAC"/>
    <w:rsid w:val="00F36D4E"/>
    <w:rsid w:val="00F37860"/>
    <w:rsid w:val="00F42F44"/>
    <w:rsid w:val="00F52E5A"/>
    <w:rsid w:val="00F54589"/>
    <w:rsid w:val="00F60E86"/>
    <w:rsid w:val="00F66350"/>
    <w:rsid w:val="00F8486C"/>
    <w:rsid w:val="00F85A79"/>
    <w:rsid w:val="00F85C66"/>
    <w:rsid w:val="00F8658E"/>
    <w:rsid w:val="00F978A7"/>
    <w:rsid w:val="00FA0E73"/>
    <w:rsid w:val="00FA5E11"/>
    <w:rsid w:val="00FA709D"/>
    <w:rsid w:val="00FB1685"/>
    <w:rsid w:val="00FB3A85"/>
    <w:rsid w:val="00FB6BF4"/>
    <w:rsid w:val="00FC7D5F"/>
    <w:rsid w:val="00FD571C"/>
    <w:rsid w:val="00FE1CB4"/>
    <w:rsid w:val="00FE746C"/>
    <w:rsid w:val="00FF063F"/>
    <w:rsid w:val="00FF6D95"/>
    <w:rsid w:val="7BD11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D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7E029C"/>
    <w:pPr>
      <w:autoSpaceDE w:val="0"/>
      <w:autoSpaceDN w:val="0"/>
      <w:adjustRightInd w:val="0"/>
      <w:jc w:val="left"/>
      <w:outlineLvl w:val="0"/>
    </w:pPr>
    <w:rPr>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CA01DE"/>
    <w:pPr>
      <w:jc w:val="left"/>
    </w:pPr>
  </w:style>
  <w:style w:type="paragraph" w:styleId="a4">
    <w:name w:val="Balloon Text"/>
    <w:basedOn w:val="a"/>
    <w:link w:val="Char0"/>
    <w:uiPriority w:val="99"/>
    <w:semiHidden/>
    <w:unhideWhenUsed/>
    <w:qFormat/>
    <w:rsid w:val="00CA01DE"/>
    <w:rPr>
      <w:sz w:val="18"/>
      <w:szCs w:val="18"/>
    </w:rPr>
  </w:style>
  <w:style w:type="paragraph" w:styleId="a5">
    <w:name w:val="footer"/>
    <w:basedOn w:val="a"/>
    <w:link w:val="Char1"/>
    <w:uiPriority w:val="99"/>
    <w:unhideWhenUsed/>
    <w:rsid w:val="00CA01DE"/>
    <w:pPr>
      <w:tabs>
        <w:tab w:val="center" w:pos="4153"/>
        <w:tab w:val="right" w:pos="8306"/>
      </w:tabs>
      <w:snapToGrid w:val="0"/>
      <w:jc w:val="left"/>
    </w:pPr>
    <w:rPr>
      <w:sz w:val="18"/>
      <w:szCs w:val="18"/>
    </w:rPr>
  </w:style>
  <w:style w:type="paragraph" w:styleId="a6">
    <w:name w:val="header"/>
    <w:basedOn w:val="a"/>
    <w:link w:val="Char2"/>
    <w:uiPriority w:val="99"/>
    <w:unhideWhenUsed/>
    <w:rsid w:val="00CA01D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CA01DE"/>
    <w:rPr>
      <w:b/>
      <w:bCs/>
    </w:rPr>
  </w:style>
  <w:style w:type="table" w:styleId="a8">
    <w:name w:val="Table Grid"/>
    <w:basedOn w:val="a1"/>
    <w:uiPriority w:val="39"/>
    <w:qFormat/>
    <w:rsid w:val="00CA0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CA01DE"/>
    <w:rPr>
      <w:color w:val="0000FF"/>
      <w:u w:val="single"/>
    </w:rPr>
  </w:style>
  <w:style w:type="character" w:styleId="aa">
    <w:name w:val="annotation reference"/>
    <w:basedOn w:val="a0"/>
    <w:unhideWhenUsed/>
    <w:qFormat/>
    <w:rsid w:val="00CA01DE"/>
    <w:rPr>
      <w:sz w:val="21"/>
      <w:szCs w:val="21"/>
    </w:rPr>
  </w:style>
  <w:style w:type="character" w:customStyle="1" w:styleId="Char2">
    <w:name w:val="页眉 Char"/>
    <w:basedOn w:val="a0"/>
    <w:link w:val="a6"/>
    <w:uiPriority w:val="99"/>
    <w:rsid w:val="00CA01DE"/>
    <w:rPr>
      <w:rFonts w:ascii="Times New Roman" w:eastAsia="宋体" w:hAnsi="Times New Roman" w:cs="Times New Roman"/>
      <w:sz w:val="18"/>
      <w:szCs w:val="18"/>
    </w:rPr>
  </w:style>
  <w:style w:type="character" w:customStyle="1" w:styleId="Char1">
    <w:name w:val="页脚 Char"/>
    <w:basedOn w:val="a0"/>
    <w:link w:val="a5"/>
    <w:uiPriority w:val="99"/>
    <w:rsid w:val="00CA01DE"/>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A01DE"/>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CA01DE"/>
    <w:rPr>
      <w:rFonts w:ascii="Times New Roman" w:eastAsia="宋体" w:hAnsi="Times New Roman" w:cs="Times New Roman"/>
      <w:szCs w:val="24"/>
    </w:rPr>
  </w:style>
  <w:style w:type="character" w:customStyle="1" w:styleId="Char3">
    <w:name w:val="批注主题 Char"/>
    <w:basedOn w:val="Char"/>
    <w:link w:val="a7"/>
    <w:uiPriority w:val="99"/>
    <w:semiHidden/>
    <w:qFormat/>
    <w:rsid w:val="00CA01DE"/>
    <w:rPr>
      <w:rFonts w:ascii="Times New Roman" w:eastAsia="宋体" w:hAnsi="Times New Roman" w:cs="Times New Roman"/>
      <w:b/>
      <w:bCs/>
      <w:szCs w:val="24"/>
    </w:rPr>
  </w:style>
  <w:style w:type="paragraph" w:customStyle="1" w:styleId="10">
    <w:name w:val="修订1"/>
    <w:hidden/>
    <w:uiPriority w:val="99"/>
    <w:semiHidden/>
    <w:qFormat/>
    <w:rsid w:val="00CA01DE"/>
    <w:rPr>
      <w:rFonts w:ascii="Times New Roman" w:eastAsia="宋体" w:hAnsi="Times New Roman" w:cs="Times New Roman"/>
      <w:kern w:val="2"/>
      <w:sz w:val="21"/>
      <w:szCs w:val="24"/>
    </w:rPr>
  </w:style>
  <w:style w:type="character" w:customStyle="1" w:styleId="da">
    <w:name w:val="da"/>
    <w:basedOn w:val="a0"/>
    <w:qFormat/>
    <w:rsid w:val="00CA01DE"/>
  </w:style>
  <w:style w:type="paragraph" w:styleId="ab">
    <w:name w:val="Revision"/>
    <w:hidden/>
    <w:uiPriority w:val="99"/>
    <w:semiHidden/>
    <w:rsid w:val="00CA70C6"/>
    <w:rPr>
      <w:rFonts w:ascii="Times New Roman" w:eastAsia="宋体" w:hAnsi="Times New Roman" w:cs="Times New Roman"/>
      <w:kern w:val="2"/>
      <w:sz w:val="21"/>
      <w:szCs w:val="24"/>
    </w:rPr>
  </w:style>
  <w:style w:type="paragraph" w:styleId="ac">
    <w:name w:val="List Paragraph"/>
    <w:basedOn w:val="a"/>
    <w:uiPriority w:val="99"/>
    <w:rsid w:val="00306BF4"/>
    <w:pPr>
      <w:ind w:firstLineChars="200" w:firstLine="420"/>
    </w:pPr>
  </w:style>
  <w:style w:type="character" w:customStyle="1" w:styleId="1Char">
    <w:name w:val="标题 1 Char"/>
    <w:basedOn w:val="a0"/>
    <w:link w:val="1"/>
    <w:rsid w:val="007E029C"/>
    <w:rPr>
      <w:rFonts w:ascii="Times New Roman" w:eastAsia="宋体" w:hAnsi="Times New Roman" w:cs="Times New Roman"/>
      <w:b/>
      <w:bCs/>
      <w:kern w:val="2"/>
      <w:sz w:val="24"/>
    </w:rPr>
  </w:style>
</w:styles>
</file>

<file path=word/webSettings.xml><?xml version="1.0" encoding="utf-8"?>
<w:webSettings xmlns:r="http://schemas.openxmlformats.org/officeDocument/2006/relationships" xmlns:w="http://schemas.openxmlformats.org/wordprocessingml/2006/main">
  <w:divs>
    <w:div w:id="89857406">
      <w:bodyDiv w:val="1"/>
      <w:marLeft w:val="0"/>
      <w:marRight w:val="0"/>
      <w:marTop w:val="0"/>
      <w:marBottom w:val="0"/>
      <w:divBdr>
        <w:top w:val="none" w:sz="0" w:space="0" w:color="auto"/>
        <w:left w:val="none" w:sz="0" w:space="0" w:color="auto"/>
        <w:bottom w:val="none" w:sz="0" w:space="0" w:color="auto"/>
        <w:right w:val="none" w:sz="0" w:space="0" w:color="auto"/>
      </w:divBdr>
    </w:div>
    <w:div w:id="211503891">
      <w:bodyDiv w:val="1"/>
      <w:marLeft w:val="0"/>
      <w:marRight w:val="0"/>
      <w:marTop w:val="0"/>
      <w:marBottom w:val="0"/>
      <w:divBdr>
        <w:top w:val="none" w:sz="0" w:space="0" w:color="auto"/>
        <w:left w:val="none" w:sz="0" w:space="0" w:color="auto"/>
        <w:bottom w:val="none" w:sz="0" w:space="0" w:color="auto"/>
        <w:right w:val="none" w:sz="0" w:space="0" w:color="auto"/>
      </w:divBdr>
    </w:div>
    <w:div w:id="328288212">
      <w:bodyDiv w:val="1"/>
      <w:marLeft w:val="0"/>
      <w:marRight w:val="0"/>
      <w:marTop w:val="0"/>
      <w:marBottom w:val="0"/>
      <w:divBdr>
        <w:top w:val="none" w:sz="0" w:space="0" w:color="auto"/>
        <w:left w:val="none" w:sz="0" w:space="0" w:color="auto"/>
        <w:bottom w:val="none" w:sz="0" w:space="0" w:color="auto"/>
        <w:right w:val="none" w:sz="0" w:space="0" w:color="auto"/>
      </w:divBdr>
    </w:div>
    <w:div w:id="583220259">
      <w:bodyDiv w:val="1"/>
      <w:marLeft w:val="0"/>
      <w:marRight w:val="0"/>
      <w:marTop w:val="0"/>
      <w:marBottom w:val="0"/>
      <w:divBdr>
        <w:top w:val="none" w:sz="0" w:space="0" w:color="auto"/>
        <w:left w:val="none" w:sz="0" w:space="0" w:color="auto"/>
        <w:bottom w:val="none" w:sz="0" w:space="0" w:color="auto"/>
        <w:right w:val="none" w:sz="0" w:space="0" w:color="auto"/>
      </w:divBdr>
    </w:div>
    <w:div w:id="697778713">
      <w:bodyDiv w:val="1"/>
      <w:marLeft w:val="0"/>
      <w:marRight w:val="0"/>
      <w:marTop w:val="0"/>
      <w:marBottom w:val="0"/>
      <w:divBdr>
        <w:top w:val="none" w:sz="0" w:space="0" w:color="auto"/>
        <w:left w:val="none" w:sz="0" w:space="0" w:color="auto"/>
        <w:bottom w:val="none" w:sz="0" w:space="0" w:color="auto"/>
        <w:right w:val="none" w:sz="0" w:space="0" w:color="auto"/>
      </w:divBdr>
    </w:div>
    <w:div w:id="715786455">
      <w:bodyDiv w:val="1"/>
      <w:marLeft w:val="0"/>
      <w:marRight w:val="0"/>
      <w:marTop w:val="0"/>
      <w:marBottom w:val="0"/>
      <w:divBdr>
        <w:top w:val="none" w:sz="0" w:space="0" w:color="auto"/>
        <w:left w:val="none" w:sz="0" w:space="0" w:color="auto"/>
        <w:bottom w:val="none" w:sz="0" w:space="0" w:color="auto"/>
        <w:right w:val="none" w:sz="0" w:space="0" w:color="auto"/>
      </w:divBdr>
    </w:div>
    <w:div w:id="986713992">
      <w:bodyDiv w:val="1"/>
      <w:marLeft w:val="0"/>
      <w:marRight w:val="0"/>
      <w:marTop w:val="0"/>
      <w:marBottom w:val="0"/>
      <w:divBdr>
        <w:top w:val="none" w:sz="0" w:space="0" w:color="auto"/>
        <w:left w:val="none" w:sz="0" w:space="0" w:color="auto"/>
        <w:bottom w:val="none" w:sz="0" w:space="0" w:color="auto"/>
        <w:right w:val="none" w:sz="0" w:space="0" w:color="auto"/>
      </w:divBdr>
    </w:div>
    <w:div w:id="1183277082">
      <w:bodyDiv w:val="1"/>
      <w:marLeft w:val="0"/>
      <w:marRight w:val="0"/>
      <w:marTop w:val="0"/>
      <w:marBottom w:val="0"/>
      <w:divBdr>
        <w:top w:val="none" w:sz="0" w:space="0" w:color="auto"/>
        <w:left w:val="none" w:sz="0" w:space="0" w:color="auto"/>
        <w:bottom w:val="none" w:sz="0" w:space="0" w:color="auto"/>
        <w:right w:val="none" w:sz="0" w:space="0" w:color="auto"/>
      </w:divBdr>
      <w:divsChild>
        <w:div w:id="667439033">
          <w:marLeft w:val="0"/>
          <w:marRight w:val="0"/>
          <w:marTop w:val="0"/>
          <w:marBottom w:val="0"/>
          <w:divBdr>
            <w:top w:val="none" w:sz="0" w:space="0" w:color="auto"/>
            <w:left w:val="none" w:sz="0" w:space="0" w:color="auto"/>
            <w:bottom w:val="none" w:sz="0" w:space="0" w:color="auto"/>
            <w:right w:val="none" w:sz="0" w:space="0" w:color="auto"/>
          </w:divBdr>
        </w:div>
        <w:div w:id="203058717">
          <w:marLeft w:val="0"/>
          <w:marRight w:val="0"/>
          <w:marTop w:val="0"/>
          <w:marBottom w:val="0"/>
          <w:divBdr>
            <w:top w:val="none" w:sz="0" w:space="0" w:color="auto"/>
            <w:left w:val="none" w:sz="0" w:space="0" w:color="auto"/>
            <w:bottom w:val="none" w:sz="0" w:space="0" w:color="auto"/>
            <w:right w:val="none" w:sz="0" w:space="0" w:color="auto"/>
          </w:divBdr>
        </w:div>
        <w:div w:id="81532467">
          <w:marLeft w:val="0"/>
          <w:marRight w:val="0"/>
          <w:marTop w:val="0"/>
          <w:marBottom w:val="0"/>
          <w:divBdr>
            <w:top w:val="none" w:sz="0" w:space="0" w:color="auto"/>
            <w:left w:val="none" w:sz="0" w:space="0" w:color="auto"/>
            <w:bottom w:val="none" w:sz="0" w:space="0" w:color="auto"/>
            <w:right w:val="none" w:sz="0" w:space="0" w:color="auto"/>
          </w:divBdr>
        </w:div>
        <w:div w:id="970981893">
          <w:marLeft w:val="0"/>
          <w:marRight w:val="0"/>
          <w:marTop w:val="0"/>
          <w:marBottom w:val="0"/>
          <w:divBdr>
            <w:top w:val="none" w:sz="0" w:space="0" w:color="auto"/>
            <w:left w:val="none" w:sz="0" w:space="0" w:color="auto"/>
            <w:bottom w:val="none" w:sz="0" w:space="0" w:color="auto"/>
            <w:right w:val="none" w:sz="0" w:space="0" w:color="auto"/>
          </w:divBdr>
        </w:div>
        <w:div w:id="359744345">
          <w:marLeft w:val="0"/>
          <w:marRight w:val="0"/>
          <w:marTop w:val="0"/>
          <w:marBottom w:val="0"/>
          <w:divBdr>
            <w:top w:val="none" w:sz="0" w:space="0" w:color="auto"/>
            <w:left w:val="none" w:sz="0" w:space="0" w:color="auto"/>
            <w:bottom w:val="none" w:sz="0" w:space="0" w:color="auto"/>
            <w:right w:val="none" w:sz="0" w:space="0" w:color="auto"/>
          </w:divBdr>
        </w:div>
        <w:div w:id="1327434782">
          <w:marLeft w:val="0"/>
          <w:marRight w:val="0"/>
          <w:marTop w:val="0"/>
          <w:marBottom w:val="0"/>
          <w:divBdr>
            <w:top w:val="none" w:sz="0" w:space="0" w:color="auto"/>
            <w:left w:val="none" w:sz="0" w:space="0" w:color="auto"/>
            <w:bottom w:val="none" w:sz="0" w:space="0" w:color="auto"/>
            <w:right w:val="none" w:sz="0" w:space="0" w:color="auto"/>
          </w:divBdr>
        </w:div>
        <w:div w:id="1917663364">
          <w:marLeft w:val="0"/>
          <w:marRight w:val="0"/>
          <w:marTop w:val="0"/>
          <w:marBottom w:val="0"/>
          <w:divBdr>
            <w:top w:val="none" w:sz="0" w:space="0" w:color="auto"/>
            <w:left w:val="none" w:sz="0" w:space="0" w:color="auto"/>
            <w:bottom w:val="none" w:sz="0" w:space="0" w:color="auto"/>
            <w:right w:val="none" w:sz="0" w:space="0" w:color="auto"/>
          </w:divBdr>
        </w:div>
        <w:div w:id="1199507272">
          <w:marLeft w:val="0"/>
          <w:marRight w:val="0"/>
          <w:marTop w:val="0"/>
          <w:marBottom w:val="0"/>
          <w:divBdr>
            <w:top w:val="none" w:sz="0" w:space="0" w:color="auto"/>
            <w:left w:val="none" w:sz="0" w:space="0" w:color="auto"/>
            <w:bottom w:val="none" w:sz="0" w:space="0" w:color="auto"/>
            <w:right w:val="none" w:sz="0" w:space="0" w:color="auto"/>
          </w:divBdr>
        </w:div>
        <w:div w:id="1722165986">
          <w:marLeft w:val="0"/>
          <w:marRight w:val="0"/>
          <w:marTop w:val="0"/>
          <w:marBottom w:val="0"/>
          <w:divBdr>
            <w:top w:val="none" w:sz="0" w:space="0" w:color="auto"/>
            <w:left w:val="none" w:sz="0" w:space="0" w:color="auto"/>
            <w:bottom w:val="none" w:sz="0" w:space="0" w:color="auto"/>
            <w:right w:val="none" w:sz="0" w:space="0" w:color="auto"/>
          </w:divBdr>
        </w:div>
        <w:div w:id="583729668">
          <w:marLeft w:val="0"/>
          <w:marRight w:val="0"/>
          <w:marTop w:val="0"/>
          <w:marBottom w:val="0"/>
          <w:divBdr>
            <w:top w:val="none" w:sz="0" w:space="0" w:color="auto"/>
            <w:left w:val="none" w:sz="0" w:space="0" w:color="auto"/>
            <w:bottom w:val="none" w:sz="0" w:space="0" w:color="auto"/>
            <w:right w:val="none" w:sz="0" w:space="0" w:color="auto"/>
          </w:divBdr>
        </w:div>
        <w:div w:id="1805730051">
          <w:marLeft w:val="0"/>
          <w:marRight w:val="0"/>
          <w:marTop w:val="0"/>
          <w:marBottom w:val="0"/>
          <w:divBdr>
            <w:top w:val="none" w:sz="0" w:space="0" w:color="auto"/>
            <w:left w:val="none" w:sz="0" w:space="0" w:color="auto"/>
            <w:bottom w:val="none" w:sz="0" w:space="0" w:color="auto"/>
            <w:right w:val="none" w:sz="0" w:space="0" w:color="auto"/>
          </w:divBdr>
        </w:div>
        <w:div w:id="1022635843">
          <w:marLeft w:val="0"/>
          <w:marRight w:val="0"/>
          <w:marTop w:val="0"/>
          <w:marBottom w:val="0"/>
          <w:divBdr>
            <w:top w:val="none" w:sz="0" w:space="0" w:color="auto"/>
            <w:left w:val="none" w:sz="0" w:space="0" w:color="auto"/>
            <w:bottom w:val="none" w:sz="0" w:space="0" w:color="auto"/>
            <w:right w:val="none" w:sz="0" w:space="0" w:color="auto"/>
          </w:divBdr>
        </w:div>
        <w:div w:id="993753223">
          <w:marLeft w:val="0"/>
          <w:marRight w:val="0"/>
          <w:marTop w:val="0"/>
          <w:marBottom w:val="0"/>
          <w:divBdr>
            <w:top w:val="none" w:sz="0" w:space="0" w:color="auto"/>
            <w:left w:val="none" w:sz="0" w:space="0" w:color="auto"/>
            <w:bottom w:val="none" w:sz="0" w:space="0" w:color="auto"/>
            <w:right w:val="none" w:sz="0" w:space="0" w:color="auto"/>
          </w:divBdr>
        </w:div>
        <w:div w:id="1864711760">
          <w:marLeft w:val="0"/>
          <w:marRight w:val="0"/>
          <w:marTop w:val="0"/>
          <w:marBottom w:val="0"/>
          <w:divBdr>
            <w:top w:val="none" w:sz="0" w:space="0" w:color="auto"/>
            <w:left w:val="none" w:sz="0" w:space="0" w:color="auto"/>
            <w:bottom w:val="none" w:sz="0" w:space="0" w:color="auto"/>
            <w:right w:val="none" w:sz="0" w:space="0" w:color="auto"/>
          </w:divBdr>
        </w:div>
        <w:div w:id="649409683">
          <w:marLeft w:val="0"/>
          <w:marRight w:val="0"/>
          <w:marTop w:val="0"/>
          <w:marBottom w:val="0"/>
          <w:divBdr>
            <w:top w:val="none" w:sz="0" w:space="0" w:color="auto"/>
            <w:left w:val="none" w:sz="0" w:space="0" w:color="auto"/>
            <w:bottom w:val="none" w:sz="0" w:space="0" w:color="auto"/>
            <w:right w:val="none" w:sz="0" w:space="0" w:color="auto"/>
          </w:divBdr>
        </w:div>
        <w:div w:id="1904292538">
          <w:marLeft w:val="0"/>
          <w:marRight w:val="0"/>
          <w:marTop w:val="0"/>
          <w:marBottom w:val="0"/>
          <w:divBdr>
            <w:top w:val="none" w:sz="0" w:space="0" w:color="auto"/>
            <w:left w:val="none" w:sz="0" w:space="0" w:color="auto"/>
            <w:bottom w:val="none" w:sz="0" w:space="0" w:color="auto"/>
            <w:right w:val="none" w:sz="0" w:space="0" w:color="auto"/>
          </w:divBdr>
        </w:div>
        <w:div w:id="263462689">
          <w:marLeft w:val="0"/>
          <w:marRight w:val="0"/>
          <w:marTop w:val="0"/>
          <w:marBottom w:val="0"/>
          <w:divBdr>
            <w:top w:val="none" w:sz="0" w:space="0" w:color="auto"/>
            <w:left w:val="none" w:sz="0" w:space="0" w:color="auto"/>
            <w:bottom w:val="none" w:sz="0" w:space="0" w:color="auto"/>
            <w:right w:val="none" w:sz="0" w:space="0" w:color="auto"/>
          </w:divBdr>
        </w:div>
      </w:divsChild>
    </w:div>
    <w:div w:id="1241788457">
      <w:bodyDiv w:val="1"/>
      <w:marLeft w:val="0"/>
      <w:marRight w:val="0"/>
      <w:marTop w:val="0"/>
      <w:marBottom w:val="0"/>
      <w:divBdr>
        <w:top w:val="none" w:sz="0" w:space="0" w:color="auto"/>
        <w:left w:val="none" w:sz="0" w:space="0" w:color="auto"/>
        <w:bottom w:val="none" w:sz="0" w:space="0" w:color="auto"/>
        <w:right w:val="none" w:sz="0" w:space="0" w:color="auto"/>
      </w:divBdr>
    </w:div>
    <w:div w:id="209666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库" ma:contentTypeID="0x01010059E94CCB15DA423E9041040345F0C39800F08B17F30482F9458E5DDA5E2FB1EED5" ma:contentTypeVersion="3" ma:contentTypeDescription="文档库内容类型" ma:contentTypeScope="" ma:versionID="77164ac3f94d5057e24ad4968ad5a4e5">
  <xsd:schema xmlns:xsd="http://www.w3.org/2001/XMLSchema" xmlns:xs="http://www.w3.org/2001/XMLSchema" xmlns:p="http://schemas.microsoft.com/office/2006/metadata/properties" xmlns:ns2="8F6FC70A-94BA-4917-A375-59EA2EEB2A93" xmlns:ns3="8f6fc70a-94ba-4917-a375-59ea2eeb2a93" targetNamespace="http://schemas.microsoft.com/office/2006/metadata/properties" ma:root="true" ma:fieldsID="b8792414f5737cf80bcfebcb04edbf71" ns2:_="" ns3:_="">
    <xsd:import namespace="8F6FC70A-94BA-4917-A375-59EA2EEB2A93"/>
    <xsd:import namespace="8f6fc70a-94ba-4917-a375-59ea2eeb2a93"/>
    <xsd:element name="properties">
      <xsd:complexType>
        <xsd:sequence>
          <xsd:element name="documentManagement">
            <xsd:complexType>
              <xsd:all>
                <xsd:element ref="ns2:Top" minOccurs="0"/>
                <xsd:element ref="ns2:Recommend" minOccurs="0"/>
                <xsd:element ref="ns2:IsShared" minOccurs="0"/>
                <xsd:element ref="ns2:RecPerson" minOccurs="0"/>
                <xsd:element ref="ns3:ConfirmUpload" minOccurs="0"/>
                <xsd:element ref="ns3:MarkDelete" minOccurs="0"/>
                <xsd:element ref="ns3:Mark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FC70A-94BA-4917-A375-59EA2EEB2A93" elementFormDefault="qualified">
    <xsd:import namespace="http://schemas.microsoft.com/office/2006/documentManagement/types"/>
    <xsd:import namespace="http://schemas.microsoft.com/office/infopath/2007/PartnerControls"/>
    <xsd:element name="Top" ma:index="8" nillable="true" ma:displayName="置顶" ma:hidden="true" ma:internalName="Top">
      <xsd:simpleType>
        <xsd:restriction base="dms:DateTime"/>
      </xsd:simpleType>
    </xsd:element>
    <xsd:element name="Recommend" ma:index="9" nillable="true" ma:displayName="推荐" ma:hidden="true" ma:indexed="true" ma:internalName="Recommend">
      <xsd:simpleType>
        <xsd:restriction base="dms:DateTime"/>
      </xsd:simpleType>
    </xsd:element>
    <xsd:element name="IsShared" ma:index="10" nillable="true" ma:displayName="共享" ma:hidden="true" ma:internalName="IsShared">
      <xsd:simpleType>
        <xsd:restriction base="dms:Boolean"/>
      </xsd:simpleType>
    </xsd:element>
    <xsd:element name="RecPerson" ma:index="11" nillable="true" ma:displayName="推荐人" ma:hidden="true" ma:internalName="Rec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fc70a-94ba-4917-a375-59ea2eeb2a93" elementFormDefault="qualified">
    <xsd:import namespace="http://schemas.microsoft.com/office/2006/documentManagement/types"/>
    <xsd:import namespace="http://schemas.microsoft.com/office/infopath/2007/PartnerControls"/>
    <xsd:element name="ConfirmUpload" ma:index="12" nillable="true" ma:displayName="ConfirmUpload" ma:internalName="ConfirmUpload">
      <xsd:simpleType>
        <xsd:restriction base="dms:Boolean"/>
      </xsd:simpleType>
    </xsd:element>
    <xsd:element name="MarkDelete" ma:index="13" nillable="true" ma:displayName="MarkDelete" ma:internalName="MarkDelete">
      <xsd:simpleType>
        <xsd:restriction base="dms:Boolean"/>
      </xsd:simpleType>
    </xsd:element>
    <xsd:element name="MarkComplete" ma:index="14" nillable="true" ma:displayName="MarkComplete" ma:internalName="Mark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Complete xmlns="8f6fc70a-94ba-4917-a375-59ea2eeb2a93">true</MarkComplete>
    <Top xmlns="8F6FC70A-94BA-4917-A375-59EA2EEB2A93" xsi:nil="true"/>
    <RecPerson xmlns="8F6FC70A-94BA-4917-A375-59EA2EEB2A93">
      <UserInfo>
        <DisplayName/>
        <AccountId xsi:nil="true"/>
        <AccountType/>
      </UserInfo>
    </RecPerson>
    <Recommend xmlns="8F6FC70A-94BA-4917-A375-59EA2EEB2A93" xsi:nil="true"/>
    <IsShared xmlns="8F6FC70A-94BA-4917-A375-59EA2EEB2A93" xsi:nil="true"/>
    <ConfirmUpload xmlns="8f6fc70a-94ba-4917-a375-59ea2eeb2a93">true</ConfirmUpload>
    <MarkDelete xmlns="8f6fc70a-94ba-4917-a375-59ea2eeb2a93">false</MarkDe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498C-9C03-4669-9BBF-57C72D92F427}">
  <ds:schemaRefs>
    <ds:schemaRef ds:uri="http://schemas.microsoft.com/sharepoint/v3/contenttype/forms"/>
  </ds:schemaRefs>
</ds:datastoreItem>
</file>

<file path=customXml/itemProps2.xml><?xml version="1.0" encoding="utf-8"?>
<ds:datastoreItem xmlns:ds="http://schemas.openxmlformats.org/officeDocument/2006/customXml" ds:itemID="{DA8DF03B-ED77-40C1-BC99-06B7ACB5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FC70A-94BA-4917-A375-59EA2EEB2A93"/>
    <ds:schemaRef ds:uri="8f6fc70a-94ba-4917-a375-59ea2eeb2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5DB35-7E38-4ED9-9802-B78EC6E9183C}">
  <ds:schemaRefs>
    <ds:schemaRef ds:uri="http://schemas.microsoft.com/office/2006/metadata/properties"/>
    <ds:schemaRef ds:uri="http://schemas.microsoft.com/office/infopath/2007/PartnerControls"/>
    <ds:schemaRef ds:uri="8f6fc70a-94ba-4917-a375-59ea2eeb2a93"/>
    <ds:schemaRef ds:uri="8F6FC70A-94BA-4917-A375-59EA2EEB2A93"/>
  </ds:schemaRefs>
</ds:datastoreItem>
</file>

<file path=customXml/itemProps4.xml><?xml version="1.0" encoding="utf-8"?>
<ds:datastoreItem xmlns:ds="http://schemas.openxmlformats.org/officeDocument/2006/customXml" ds:itemID="{E7492657-2642-454B-8485-1A7CE322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Office Word</Application>
  <DocSecurity>4</DocSecurity>
  <Lines>51</Lines>
  <Paragraphs>14</Paragraphs>
  <ScaleCrop>false</ScaleCrop>
  <Company>js</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dc:creator>
  <cp:keywords/>
  <dc:description/>
  <cp:lastModifiedBy>ZHONGM</cp:lastModifiedBy>
  <cp:revision>2</cp:revision>
  <cp:lastPrinted>2022-06-21T09:13:00Z</cp:lastPrinted>
  <dcterms:created xsi:type="dcterms:W3CDTF">2025-03-21T16:02:00Z</dcterms:created>
  <dcterms:modified xsi:type="dcterms:W3CDTF">2025-03-21T16:02:00Z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0x01010059E94CCB15DA423E9041040345F0C39800F08B17F30482F9458E5DDA5E2FB1EED5</vt:lpwstr>
  </property>
  <property fmtid="{D5CDD505-2E9C-101B-9397-08002B2CF9AE}" pid="3" name="KSOProductBuildVer">
    <vt:lpwstr>2052-11.8.2.12187</vt:lpwstr>
  </property>
  <property fmtid="{D5CDD505-2E9C-101B-9397-08002B2CF9AE}" pid="4" name="ICV">
    <vt:lpwstr>9C95CF66D6A5431C905255DEDD25F9D9</vt:lpwstr>
  </property>
</Properties>
</file>