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213D31">
      <w:pPr>
        <w:jc w:val="center"/>
        <w:rPr>
          <w:rFonts w:ascii="宋体" w:hAnsi="宋体" w:hint="eastAsia"/>
          <w:b/>
          <w:sz w:val="48"/>
          <w:szCs w:val="48"/>
        </w:rPr>
      </w:pPr>
      <w:bookmarkStart w:id="0" w:name="t_6_0_table"/>
      <w:bookmarkEnd w:id="0"/>
      <w:r>
        <w:rPr>
          <w:rFonts w:ascii="宋体" w:hAnsi="宋体" w:hint="eastAsia"/>
          <w:b/>
          <w:sz w:val="48"/>
          <w:szCs w:val="48"/>
        </w:rPr>
        <w:t>中航瑞夏一年定期开放债券型发起式证券投资基金</w:t>
      </w:r>
      <w:r>
        <w:rPr>
          <w:rFonts w:ascii="宋体" w:hAnsi="宋体"/>
          <w:b/>
          <w:sz w:val="48"/>
          <w:szCs w:val="48"/>
        </w:rPr>
        <w:t>2025年分红公告</w:t>
      </w:r>
    </w:p>
    <w:p w:rsidR="00D44829" w:rsidRDefault="00D44829">
      <w:pPr>
        <w:jc w:val="center"/>
        <w:rPr>
          <w:rFonts w:ascii="宋体" w:hAnsi="宋体" w:hint="eastAsia"/>
          <w:sz w:val="30"/>
          <w:szCs w:val="30"/>
        </w:rPr>
      </w:pPr>
    </w:p>
    <w:p w:rsidR="00D44829" w:rsidRDefault="00D44829">
      <w:pPr>
        <w:jc w:val="center"/>
        <w:rPr>
          <w:rFonts w:ascii="宋体" w:hAnsi="宋体" w:hint="eastAsia"/>
          <w:sz w:val="30"/>
          <w:szCs w:val="30"/>
        </w:rPr>
      </w:pPr>
      <w:bookmarkStart w:id="1" w:name="t_6_0_0002_a2_fm1"/>
      <w:bookmarkEnd w:id="1"/>
    </w:p>
    <w:p w:rsidR="00D44829" w:rsidRDefault="00D44829">
      <w:pPr>
        <w:jc w:val="center"/>
        <w:rPr>
          <w:rFonts w:ascii="宋体" w:hAnsi="宋体" w:hint="eastAsia"/>
          <w:sz w:val="30"/>
          <w:szCs w:val="30"/>
        </w:rPr>
      </w:pPr>
    </w:p>
    <w:p w:rsidR="00D44829" w:rsidRDefault="00D44829">
      <w:pPr>
        <w:jc w:val="center"/>
        <w:rPr>
          <w:rFonts w:ascii="宋体" w:hAnsi="宋体" w:hint="eastAsia"/>
          <w:sz w:val="30"/>
          <w:szCs w:val="30"/>
        </w:rPr>
      </w:pPr>
    </w:p>
    <w:p w:rsidR="00D44829" w:rsidRDefault="00D44829">
      <w:pPr>
        <w:jc w:val="center"/>
        <w:rPr>
          <w:rFonts w:ascii="宋体" w:hAnsi="宋体" w:hint="eastAsia"/>
          <w:sz w:val="30"/>
          <w:szCs w:val="30"/>
        </w:rPr>
      </w:pPr>
    </w:p>
    <w:p w:rsidR="00D44829" w:rsidRDefault="00D44829">
      <w:pPr>
        <w:jc w:val="center"/>
        <w:rPr>
          <w:rFonts w:ascii="宋体" w:hAnsi="宋体" w:hint="eastAsia"/>
          <w:sz w:val="30"/>
          <w:szCs w:val="30"/>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ind w:left="2100" w:firstLine="420"/>
        <w:rPr>
          <w:rFonts w:hint="eastAsia"/>
          <w:b/>
          <w:sz w:val="28"/>
          <w:szCs w:val="28"/>
        </w:rPr>
      </w:pPr>
      <w:r>
        <w:rPr>
          <w:rFonts w:ascii="宋体" w:hAnsi="宋体" w:hint="eastAsia"/>
          <w:b/>
          <w:sz w:val="28"/>
          <w:szCs w:val="28"/>
        </w:rPr>
        <w:t>公告</w:t>
      </w:r>
      <w:r>
        <w:rPr>
          <w:rFonts w:ascii="宋体" w:hAnsi="宋体"/>
          <w:b/>
          <w:sz w:val="28"/>
          <w:szCs w:val="28"/>
        </w:rPr>
        <w:t>送出日期：</w:t>
      </w:r>
      <w:bookmarkStart w:id="2" w:name="t_6_0_0003_a1_fm1"/>
      <w:bookmarkEnd w:id="2"/>
      <w:r w:rsidR="00213D31">
        <w:rPr>
          <w:rFonts w:ascii="宋体" w:hAnsi="宋体"/>
          <w:b/>
          <w:sz w:val="28"/>
          <w:szCs w:val="28"/>
        </w:rPr>
        <w:t>2025年3月22日</w:t>
      </w: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sz w:val="24"/>
        </w:rPr>
      </w:pPr>
    </w:p>
    <w:p w:rsidR="00D44829" w:rsidRDefault="00D44829">
      <w:pPr>
        <w:rPr>
          <w:rFonts w:hint="eastAsia"/>
        </w:rPr>
      </w:pPr>
    </w:p>
    <w:p w:rsidR="00D44829" w:rsidRDefault="00D44829" w:rsidP="00EA1BB8">
      <w:pPr>
        <w:pStyle w:val="2"/>
        <w:numPr>
          <w:ilvl w:val="0"/>
          <w:numId w:val="1"/>
        </w:numPr>
        <w:spacing w:beforeLines="50" w:afterLines="50" w:line="240" w:lineRule="auto"/>
        <w:jc w:val="left"/>
        <w:rPr>
          <w:rFonts w:ascii="宋体" w:eastAsia="宋体" w:hAnsi="宋体" w:hint="eastAsia"/>
          <w:bCs/>
          <w:sz w:val="24"/>
          <w:szCs w:val="24"/>
        </w:rPr>
      </w:pPr>
      <w:bookmarkStart w:id="3" w:name="t_qh_6_1_1_fj_table"/>
      <w:bookmarkEnd w:id="3"/>
      <w:r>
        <w:rPr>
          <w:rFonts w:ascii="宋体" w:eastAsia="宋体" w:hAnsi="宋体" w:hint="eastAsia"/>
          <w:bCs/>
          <w:sz w:val="24"/>
          <w:szCs w:val="24"/>
        </w:rPr>
        <w:t xml:space="preserve"> </w:t>
      </w:r>
      <w:bookmarkStart w:id="4" w:name="m01"/>
      <w:r>
        <w:rPr>
          <w:rFonts w:ascii="宋体" w:eastAsia="宋体" w:hAnsi="宋体" w:hint="eastAsia"/>
          <w:bCs/>
          <w:sz w:val="24"/>
          <w:szCs w:val="24"/>
        </w:rPr>
        <w:t>公告基本信息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4"/>
        <w:gridCol w:w="2321"/>
        <w:gridCol w:w="1959"/>
        <w:gridCol w:w="1990"/>
      </w:tblGrid>
      <w:tr w:rsidR="00D44829" w:rsidTr="00213D31">
        <w:trPr>
          <w:trHeight w:val="296"/>
          <w:jc w:val="center"/>
        </w:trPr>
        <w:tc>
          <w:tcPr>
            <w:tcW w:w="4795" w:type="dxa"/>
            <w:gridSpan w:val="2"/>
          </w:tcPr>
          <w:p w:rsidR="00D44829" w:rsidRDefault="00D44829">
            <w:pPr>
              <w:rPr>
                <w:rFonts w:ascii="宋体" w:hAnsi="宋体" w:hint="eastAsia"/>
                <w:szCs w:val="21"/>
              </w:rPr>
            </w:pPr>
            <w:bookmarkStart w:id="5" w:name="m01_tab"/>
            <w:r>
              <w:rPr>
                <w:rFonts w:ascii="宋体" w:hAnsi="宋体" w:hint="eastAsia"/>
                <w:szCs w:val="21"/>
              </w:rPr>
              <w:t>基金名称</w:t>
            </w:r>
          </w:p>
        </w:tc>
        <w:tc>
          <w:tcPr>
            <w:tcW w:w="3949" w:type="dxa"/>
            <w:gridSpan w:val="2"/>
          </w:tcPr>
          <w:p w:rsidR="00D44829" w:rsidRDefault="00213D31">
            <w:pPr>
              <w:rPr>
                <w:rFonts w:ascii="宋体" w:hAnsi="宋体" w:hint="eastAsia"/>
                <w:szCs w:val="21"/>
              </w:rPr>
            </w:pPr>
            <w:bookmarkStart w:id="6" w:name="t_qh_6_1_1_fj_0009_a1_fm1"/>
            <w:bookmarkEnd w:id="6"/>
            <w:r>
              <w:rPr>
                <w:rFonts w:ascii="宋体" w:hAnsi="宋体" w:hint="eastAsia"/>
                <w:szCs w:val="21"/>
              </w:rPr>
              <w:t>中航瑞夏一年定期开放债券型发起式证券投资基金</w:t>
            </w:r>
          </w:p>
        </w:tc>
      </w:tr>
      <w:tr w:rsidR="00D44829" w:rsidTr="00213D31">
        <w:trPr>
          <w:trHeight w:val="312"/>
          <w:jc w:val="center"/>
        </w:trPr>
        <w:tc>
          <w:tcPr>
            <w:tcW w:w="4795" w:type="dxa"/>
            <w:gridSpan w:val="2"/>
          </w:tcPr>
          <w:p w:rsidR="00D44829" w:rsidRDefault="00D44829">
            <w:pPr>
              <w:rPr>
                <w:rFonts w:ascii="宋体" w:hAnsi="宋体" w:hint="eastAsia"/>
                <w:szCs w:val="21"/>
              </w:rPr>
            </w:pPr>
            <w:r>
              <w:rPr>
                <w:rFonts w:ascii="宋体" w:hAnsi="宋体" w:hint="eastAsia"/>
                <w:szCs w:val="21"/>
              </w:rPr>
              <w:t>基金简称</w:t>
            </w:r>
          </w:p>
        </w:tc>
        <w:tc>
          <w:tcPr>
            <w:tcW w:w="3949" w:type="dxa"/>
            <w:gridSpan w:val="2"/>
          </w:tcPr>
          <w:p w:rsidR="00D44829" w:rsidRDefault="00213D31">
            <w:pPr>
              <w:rPr>
                <w:rFonts w:ascii="宋体" w:hAnsi="宋体" w:hint="eastAsia"/>
                <w:szCs w:val="21"/>
              </w:rPr>
            </w:pPr>
            <w:bookmarkStart w:id="7" w:name="t_qh_6_1_1_fj_0011_a1_fm1"/>
            <w:bookmarkEnd w:id="7"/>
            <w:r>
              <w:rPr>
                <w:rFonts w:ascii="宋体" w:hAnsi="宋体" w:hint="eastAsia"/>
                <w:szCs w:val="21"/>
              </w:rPr>
              <w:t>中航瑞夏一年定开债发起</w:t>
            </w:r>
          </w:p>
        </w:tc>
      </w:tr>
      <w:tr w:rsidR="00D44829" w:rsidTr="00213D31">
        <w:trPr>
          <w:trHeight w:val="296"/>
          <w:jc w:val="center"/>
        </w:trPr>
        <w:tc>
          <w:tcPr>
            <w:tcW w:w="4795" w:type="dxa"/>
            <w:gridSpan w:val="2"/>
          </w:tcPr>
          <w:p w:rsidR="00D44829" w:rsidRDefault="00D44829">
            <w:pPr>
              <w:rPr>
                <w:rFonts w:ascii="宋体" w:hAnsi="宋体" w:hint="eastAsia"/>
                <w:szCs w:val="21"/>
              </w:rPr>
            </w:pPr>
            <w:r>
              <w:rPr>
                <w:rFonts w:ascii="宋体" w:hAnsi="宋体" w:hint="eastAsia"/>
                <w:szCs w:val="21"/>
              </w:rPr>
              <w:t>基金主代码</w:t>
            </w:r>
          </w:p>
        </w:tc>
        <w:tc>
          <w:tcPr>
            <w:tcW w:w="3949" w:type="dxa"/>
            <w:gridSpan w:val="2"/>
          </w:tcPr>
          <w:p w:rsidR="00D44829" w:rsidRDefault="00213D31">
            <w:pPr>
              <w:rPr>
                <w:rFonts w:ascii="宋体" w:hAnsi="宋体" w:hint="eastAsia"/>
                <w:szCs w:val="21"/>
              </w:rPr>
            </w:pPr>
            <w:bookmarkStart w:id="8" w:name="t_qh_6_1_1_fj_0012_a1_fm1"/>
            <w:bookmarkEnd w:id="8"/>
            <w:r>
              <w:rPr>
                <w:rFonts w:ascii="宋体" w:hAnsi="宋体"/>
                <w:szCs w:val="21"/>
              </w:rPr>
              <w:t>014435</w:t>
            </w:r>
          </w:p>
        </w:tc>
      </w:tr>
      <w:tr w:rsidR="00D44829" w:rsidTr="00213D31">
        <w:trPr>
          <w:trHeight w:val="296"/>
          <w:jc w:val="center"/>
        </w:trPr>
        <w:tc>
          <w:tcPr>
            <w:tcW w:w="4795" w:type="dxa"/>
            <w:gridSpan w:val="2"/>
          </w:tcPr>
          <w:p w:rsidR="00D44829" w:rsidRDefault="00D44829">
            <w:pPr>
              <w:rPr>
                <w:rFonts w:ascii="宋体" w:hAnsi="宋体" w:hint="eastAsia"/>
                <w:szCs w:val="21"/>
              </w:rPr>
            </w:pPr>
            <w:r>
              <w:rPr>
                <w:rFonts w:ascii="宋体" w:hAnsi="宋体" w:hint="eastAsia"/>
                <w:szCs w:val="21"/>
              </w:rPr>
              <w:t>基金合同生效日</w:t>
            </w:r>
          </w:p>
        </w:tc>
        <w:tc>
          <w:tcPr>
            <w:tcW w:w="3949" w:type="dxa"/>
            <w:gridSpan w:val="2"/>
          </w:tcPr>
          <w:p w:rsidR="00D44829" w:rsidRDefault="00213D31">
            <w:pPr>
              <w:rPr>
                <w:rFonts w:ascii="宋体" w:hAnsi="宋体" w:hint="eastAsia"/>
                <w:szCs w:val="21"/>
              </w:rPr>
            </w:pPr>
            <w:bookmarkStart w:id="9" w:name="t_qh_6_1_1_fj_0018_a1_fm1"/>
            <w:bookmarkEnd w:id="9"/>
            <w:r>
              <w:rPr>
                <w:rFonts w:ascii="宋体" w:hAnsi="宋体"/>
                <w:szCs w:val="21"/>
              </w:rPr>
              <w:t>2021年12月22日</w:t>
            </w:r>
          </w:p>
        </w:tc>
      </w:tr>
      <w:tr w:rsidR="00D44829" w:rsidTr="00213D31">
        <w:trPr>
          <w:trHeight w:val="312"/>
          <w:jc w:val="center"/>
        </w:trPr>
        <w:tc>
          <w:tcPr>
            <w:tcW w:w="4795" w:type="dxa"/>
            <w:gridSpan w:val="2"/>
          </w:tcPr>
          <w:p w:rsidR="00D44829" w:rsidRDefault="00D44829">
            <w:pPr>
              <w:rPr>
                <w:rFonts w:ascii="宋体" w:hAnsi="宋体" w:hint="eastAsia"/>
                <w:szCs w:val="21"/>
              </w:rPr>
            </w:pPr>
            <w:r>
              <w:rPr>
                <w:rFonts w:ascii="宋体" w:hAnsi="宋体" w:hint="eastAsia"/>
                <w:szCs w:val="21"/>
              </w:rPr>
              <w:t>基金管理人名称</w:t>
            </w:r>
          </w:p>
        </w:tc>
        <w:tc>
          <w:tcPr>
            <w:tcW w:w="3949" w:type="dxa"/>
            <w:gridSpan w:val="2"/>
          </w:tcPr>
          <w:p w:rsidR="00D44829" w:rsidRDefault="00213D31">
            <w:pPr>
              <w:rPr>
                <w:rFonts w:ascii="宋体" w:hAnsi="宋体" w:hint="eastAsia"/>
                <w:szCs w:val="21"/>
              </w:rPr>
            </w:pPr>
            <w:bookmarkStart w:id="10" w:name="t_qh_6_1_1_fj_0186_a1_fm1"/>
            <w:bookmarkEnd w:id="10"/>
            <w:r>
              <w:rPr>
                <w:rFonts w:ascii="宋体" w:hAnsi="宋体" w:hint="eastAsia"/>
                <w:szCs w:val="21"/>
              </w:rPr>
              <w:t>中航基金管理有限公司</w:t>
            </w:r>
          </w:p>
        </w:tc>
      </w:tr>
      <w:tr w:rsidR="00D44829" w:rsidTr="00213D31">
        <w:trPr>
          <w:trHeight w:val="296"/>
          <w:jc w:val="center"/>
        </w:trPr>
        <w:tc>
          <w:tcPr>
            <w:tcW w:w="4795" w:type="dxa"/>
            <w:gridSpan w:val="2"/>
          </w:tcPr>
          <w:p w:rsidR="00D44829" w:rsidRDefault="00D44829">
            <w:pPr>
              <w:rPr>
                <w:rFonts w:ascii="宋体" w:hAnsi="宋体" w:hint="eastAsia"/>
                <w:szCs w:val="21"/>
              </w:rPr>
            </w:pPr>
            <w:r>
              <w:rPr>
                <w:rFonts w:ascii="宋体" w:hAnsi="宋体" w:hint="eastAsia"/>
                <w:szCs w:val="21"/>
              </w:rPr>
              <w:t>基金托管人名称</w:t>
            </w:r>
          </w:p>
        </w:tc>
        <w:tc>
          <w:tcPr>
            <w:tcW w:w="3949" w:type="dxa"/>
            <w:gridSpan w:val="2"/>
          </w:tcPr>
          <w:p w:rsidR="00D44829" w:rsidRDefault="00213D31">
            <w:pPr>
              <w:rPr>
                <w:rFonts w:ascii="宋体" w:hAnsi="宋体" w:hint="eastAsia"/>
                <w:szCs w:val="21"/>
              </w:rPr>
            </w:pPr>
            <w:bookmarkStart w:id="11" w:name="t_qh_6_1_1_fj_0213_a1_fm1"/>
            <w:bookmarkEnd w:id="11"/>
            <w:r>
              <w:rPr>
                <w:rFonts w:ascii="宋体" w:hAnsi="宋体" w:hint="eastAsia"/>
                <w:szCs w:val="21"/>
              </w:rPr>
              <w:t>华夏银行股份有限公司</w:t>
            </w:r>
          </w:p>
        </w:tc>
      </w:tr>
      <w:tr w:rsidR="00D44829" w:rsidTr="00213D31">
        <w:trPr>
          <w:trHeight w:val="312"/>
          <w:jc w:val="center"/>
        </w:trPr>
        <w:tc>
          <w:tcPr>
            <w:tcW w:w="4795" w:type="dxa"/>
            <w:gridSpan w:val="2"/>
          </w:tcPr>
          <w:p w:rsidR="00D44829" w:rsidRDefault="00D44829">
            <w:pPr>
              <w:rPr>
                <w:rFonts w:ascii="宋体" w:hAnsi="宋体" w:hint="eastAsia"/>
                <w:szCs w:val="21"/>
              </w:rPr>
            </w:pPr>
            <w:r>
              <w:rPr>
                <w:rFonts w:ascii="宋体" w:hAnsi="宋体" w:hint="eastAsia"/>
                <w:szCs w:val="21"/>
              </w:rPr>
              <w:t>公告依据</w:t>
            </w:r>
          </w:p>
        </w:tc>
        <w:tc>
          <w:tcPr>
            <w:tcW w:w="3949" w:type="dxa"/>
            <w:gridSpan w:val="2"/>
          </w:tcPr>
          <w:p w:rsidR="00D44829" w:rsidRDefault="00213D31">
            <w:pPr>
              <w:rPr>
                <w:rFonts w:ascii="宋体" w:hAnsi="宋体" w:hint="eastAsia"/>
                <w:szCs w:val="21"/>
              </w:rPr>
            </w:pPr>
            <w:bookmarkStart w:id="12" w:name="t_qh_6_1_1_fj_2631_a1_fm1"/>
            <w:bookmarkEnd w:id="12"/>
            <w:r>
              <w:rPr>
                <w:rFonts w:ascii="宋体" w:hAnsi="宋体" w:hint="eastAsia"/>
                <w:szCs w:val="21"/>
              </w:rPr>
              <w:t>根据《中华人民共和国证券投资基金法》、《公开募集证券投资基金运作管理办法》、《公开募集证券投资基金信息披露管理办法》等法律法规以及《中航瑞夏一年定期开放债券型发起式证券投资基金基金合同》、《中航瑞夏一年定期开放债券型发起式证券投资基金招募说明书》的有关规定。</w:t>
            </w:r>
          </w:p>
        </w:tc>
      </w:tr>
      <w:tr w:rsidR="00D44829" w:rsidTr="00213D31">
        <w:trPr>
          <w:trHeight w:val="296"/>
          <w:jc w:val="center"/>
        </w:trPr>
        <w:tc>
          <w:tcPr>
            <w:tcW w:w="4795" w:type="dxa"/>
            <w:gridSpan w:val="2"/>
          </w:tcPr>
          <w:p w:rsidR="00D44829" w:rsidRDefault="00D44829">
            <w:pPr>
              <w:rPr>
                <w:rFonts w:ascii="宋体" w:hAnsi="宋体" w:hint="eastAsia"/>
                <w:szCs w:val="21"/>
              </w:rPr>
            </w:pPr>
            <w:r>
              <w:rPr>
                <w:rFonts w:ascii="宋体" w:hAnsi="宋体" w:hint="eastAsia"/>
                <w:szCs w:val="21"/>
              </w:rPr>
              <w:t>收益分配基准日</w:t>
            </w:r>
          </w:p>
        </w:tc>
        <w:tc>
          <w:tcPr>
            <w:tcW w:w="3949" w:type="dxa"/>
            <w:gridSpan w:val="2"/>
          </w:tcPr>
          <w:p w:rsidR="00D44829" w:rsidRDefault="00213D31">
            <w:pPr>
              <w:rPr>
                <w:rFonts w:ascii="宋体" w:hAnsi="宋体" w:hint="eastAsia"/>
                <w:szCs w:val="21"/>
              </w:rPr>
            </w:pPr>
            <w:bookmarkStart w:id="13" w:name="t_qh_6_1_1_fj_2637_a1_fm1"/>
            <w:bookmarkEnd w:id="13"/>
            <w:r>
              <w:rPr>
                <w:rFonts w:ascii="宋体" w:hAnsi="宋体"/>
                <w:szCs w:val="21"/>
              </w:rPr>
              <w:t>2025年3月19日</w:t>
            </w:r>
          </w:p>
        </w:tc>
      </w:tr>
      <w:tr w:rsidR="00D44829" w:rsidTr="00213D31">
        <w:trPr>
          <w:trHeight w:val="312"/>
          <w:jc w:val="center"/>
        </w:trPr>
        <w:tc>
          <w:tcPr>
            <w:tcW w:w="4795" w:type="dxa"/>
            <w:gridSpan w:val="2"/>
            <w:vAlign w:val="center"/>
          </w:tcPr>
          <w:p w:rsidR="00D44829" w:rsidRDefault="00D44829">
            <w:pPr>
              <w:rPr>
                <w:rFonts w:ascii="宋体" w:hAnsi="宋体" w:hint="eastAsia"/>
                <w:szCs w:val="21"/>
              </w:rPr>
            </w:pPr>
            <w:r>
              <w:rPr>
                <w:rFonts w:ascii="宋体" w:hAnsi="宋体" w:hint="eastAsia"/>
                <w:szCs w:val="21"/>
              </w:rPr>
              <w:t>有关年度分红次数的说明</w:t>
            </w:r>
          </w:p>
        </w:tc>
        <w:tc>
          <w:tcPr>
            <w:tcW w:w="3949" w:type="dxa"/>
            <w:gridSpan w:val="2"/>
            <w:vAlign w:val="center"/>
          </w:tcPr>
          <w:p w:rsidR="00D44829" w:rsidRDefault="00213D31">
            <w:pPr>
              <w:rPr>
                <w:rFonts w:ascii="宋体" w:hAnsi="宋体" w:hint="eastAsia"/>
                <w:szCs w:val="21"/>
              </w:rPr>
            </w:pPr>
            <w:bookmarkStart w:id="14" w:name="t_qh_6_1_1_fj_2815_a1_fm1"/>
            <w:bookmarkEnd w:id="14"/>
            <w:r>
              <w:rPr>
                <w:rFonts w:ascii="宋体" w:hAnsi="宋体" w:hint="eastAsia"/>
                <w:szCs w:val="21"/>
              </w:rPr>
              <w:t>本次分红为</w:t>
            </w:r>
            <w:r>
              <w:rPr>
                <w:rFonts w:ascii="宋体" w:hAnsi="宋体"/>
                <w:szCs w:val="21"/>
              </w:rPr>
              <w:t>2025年度的第1次分红</w:t>
            </w:r>
          </w:p>
        </w:tc>
      </w:tr>
      <w:tr w:rsidR="00D44829" w:rsidTr="00213D31">
        <w:trPr>
          <w:trHeight w:val="312"/>
          <w:jc w:val="center"/>
        </w:trPr>
        <w:tc>
          <w:tcPr>
            <w:tcW w:w="4795" w:type="dxa"/>
            <w:gridSpan w:val="2"/>
            <w:vAlign w:val="center"/>
          </w:tcPr>
          <w:p w:rsidR="00D44829" w:rsidRDefault="00D44829">
            <w:pPr>
              <w:rPr>
                <w:rFonts w:ascii="宋体" w:hAnsi="宋体" w:hint="eastAsia"/>
                <w:szCs w:val="21"/>
              </w:rPr>
            </w:pPr>
            <w:r>
              <w:rPr>
                <w:rFonts w:ascii="宋体" w:hAnsi="宋体" w:hint="eastAsia"/>
                <w:szCs w:val="21"/>
              </w:rPr>
              <w:t>下属分级基金的基金简称</w:t>
            </w:r>
          </w:p>
        </w:tc>
        <w:tc>
          <w:tcPr>
            <w:tcW w:w="1959" w:type="dxa"/>
            <w:vAlign w:val="center"/>
          </w:tcPr>
          <w:p w:rsidR="00D44829" w:rsidRDefault="00213D31">
            <w:pPr>
              <w:rPr>
                <w:rFonts w:ascii="宋体" w:hAnsi="宋体" w:hint="eastAsia"/>
                <w:szCs w:val="21"/>
              </w:rPr>
            </w:pPr>
            <w:bookmarkStart w:id="15" w:name="t_qh_6_1_1_fj_0011A_a1_fm1"/>
            <w:bookmarkEnd w:id="15"/>
            <w:r>
              <w:rPr>
                <w:rFonts w:ascii="宋体" w:hAnsi="宋体" w:hint="eastAsia"/>
                <w:szCs w:val="21"/>
              </w:rPr>
              <w:t>中航瑞夏一年定开债发起</w:t>
            </w:r>
            <w:r>
              <w:rPr>
                <w:rFonts w:ascii="宋体" w:hAnsi="宋体"/>
                <w:szCs w:val="21"/>
              </w:rPr>
              <w:t>A</w:t>
            </w:r>
          </w:p>
        </w:tc>
        <w:tc>
          <w:tcPr>
            <w:tcW w:w="1990" w:type="dxa"/>
            <w:vAlign w:val="center"/>
          </w:tcPr>
          <w:p w:rsidR="00D44829" w:rsidRDefault="00213D31">
            <w:pPr>
              <w:rPr>
                <w:rFonts w:ascii="宋体" w:hAnsi="宋体" w:hint="eastAsia"/>
                <w:szCs w:val="21"/>
              </w:rPr>
            </w:pPr>
            <w:bookmarkStart w:id="16" w:name="t_6_1_1_fj_0011B_a1_fm1"/>
            <w:bookmarkStart w:id="17" w:name="t_6_1_1_fj_0011C_a1_fm1"/>
            <w:bookmarkEnd w:id="16"/>
            <w:bookmarkEnd w:id="17"/>
            <w:r>
              <w:rPr>
                <w:rFonts w:ascii="宋体" w:hAnsi="宋体" w:hint="eastAsia"/>
                <w:szCs w:val="21"/>
              </w:rPr>
              <w:t>中航瑞夏一年定开债发起</w:t>
            </w:r>
            <w:r>
              <w:rPr>
                <w:rFonts w:ascii="宋体" w:hAnsi="宋体"/>
                <w:szCs w:val="21"/>
              </w:rPr>
              <w:t>C</w:t>
            </w:r>
          </w:p>
        </w:tc>
      </w:tr>
      <w:tr w:rsidR="00D44829" w:rsidTr="00213D31">
        <w:trPr>
          <w:trHeight w:val="312"/>
          <w:jc w:val="center"/>
        </w:trPr>
        <w:tc>
          <w:tcPr>
            <w:tcW w:w="4795" w:type="dxa"/>
            <w:gridSpan w:val="2"/>
            <w:vAlign w:val="center"/>
          </w:tcPr>
          <w:p w:rsidR="00D44829" w:rsidRDefault="00D44829">
            <w:pPr>
              <w:rPr>
                <w:rFonts w:ascii="宋体" w:hAnsi="宋体" w:hint="eastAsia"/>
                <w:szCs w:val="21"/>
              </w:rPr>
            </w:pPr>
            <w:r>
              <w:rPr>
                <w:rFonts w:ascii="宋体" w:hAnsi="宋体" w:hint="eastAsia"/>
                <w:szCs w:val="21"/>
              </w:rPr>
              <w:t>下属分级基金的交易代码</w:t>
            </w:r>
          </w:p>
        </w:tc>
        <w:tc>
          <w:tcPr>
            <w:tcW w:w="1959" w:type="dxa"/>
          </w:tcPr>
          <w:p w:rsidR="00D44829" w:rsidRDefault="00213D31">
            <w:pPr>
              <w:rPr>
                <w:rFonts w:ascii="宋体" w:hAnsi="宋体" w:hint="eastAsia"/>
                <w:szCs w:val="21"/>
              </w:rPr>
            </w:pPr>
            <w:r>
              <w:rPr>
                <w:rFonts w:ascii="宋体" w:hAnsi="宋体"/>
                <w:szCs w:val="21"/>
              </w:rPr>
              <w:t>014435</w:t>
            </w:r>
          </w:p>
        </w:tc>
        <w:tc>
          <w:tcPr>
            <w:tcW w:w="1990" w:type="dxa"/>
          </w:tcPr>
          <w:p w:rsidR="00D44829" w:rsidRDefault="00213D31">
            <w:pPr>
              <w:rPr>
                <w:rFonts w:ascii="宋体" w:hAnsi="宋体" w:hint="eastAsia"/>
                <w:szCs w:val="21"/>
              </w:rPr>
            </w:pPr>
            <w:bookmarkStart w:id="18" w:name="t_1_1_fj_0012B_a1_fm1"/>
            <w:bookmarkStart w:id="19" w:name="t_1_1_fj_0012C_a1_fm1"/>
            <w:bookmarkEnd w:id="18"/>
            <w:bookmarkEnd w:id="19"/>
            <w:r>
              <w:rPr>
                <w:rFonts w:ascii="宋体" w:hAnsi="宋体"/>
                <w:szCs w:val="21"/>
              </w:rPr>
              <w:t>014436</w:t>
            </w:r>
          </w:p>
        </w:tc>
      </w:tr>
      <w:tr w:rsidR="002C3FCA" w:rsidTr="00213D31">
        <w:trPr>
          <w:trHeight w:val="312"/>
          <w:jc w:val="center"/>
        </w:trPr>
        <w:tc>
          <w:tcPr>
            <w:tcW w:w="2474" w:type="dxa"/>
            <w:vMerge w:val="restart"/>
            <w:vAlign w:val="center"/>
          </w:tcPr>
          <w:p w:rsidR="002C3FCA" w:rsidRDefault="002C3FCA">
            <w:pPr>
              <w:rPr>
                <w:rFonts w:ascii="宋体" w:hAnsi="宋体" w:hint="eastAsia"/>
                <w:szCs w:val="21"/>
              </w:rPr>
            </w:pPr>
            <w:bookmarkStart w:id="20" w:name="t_6_1_2_fj_table"/>
            <w:bookmarkEnd w:id="20"/>
            <w:r>
              <w:rPr>
                <w:rFonts w:ascii="宋体" w:hAnsi="宋体" w:hint="eastAsia"/>
                <w:szCs w:val="21"/>
              </w:rPr>
              <w:t>截止基准日下属分级基金的相关指标</w:t>
            </w:r>
          </w:p>
        </w:tc>
        <w:tc>
          <w:tcPr>
            <w:tcW w:w="2321" w:type="dxa"/>
            <w:vAlign w:val="center"/>
          </w:tcPr>
          <w:p w:rsidR="002C3FCA" w:rsidRDefault="002C3FCA">
            <w:pPr>
              <w:rPr>
                <w:rFonts w:ascii="宋体" w:hAnsi="宋体" w:hint="eastAsia"/>
                <w:szCs w:val="21"/>
              </w:rPr>
            </w:pPr>
            <w:r>
              <w:rPr>
                <w:rFonts w:ascii="宋体" w:hAnsi="宋体" w:hint="eastAsia"/>
                <w:szCs w:val="21"/>
              </w:rPr>
              <w:t>基准日下属分级基金份额净值（单位：人民币元）</w:t>
            </w:r>
          </w:p>
        </w:tc>
        <w:tc>
          <w:tcPr>
            <w:tcW w:w="1959" w:type="dxa"/>
            <w:vAlign w:val="center"/>
          </w:tcPr>
          <w:p w:rsidR="002C3FCA" w:rsidRDefault="00213D31">
            <w:pPr>
              <w:rPr>
                <w:rFonts w:ascii="宋体" w:hAnsi="宋体" w:hint="eastAsia"/>
                <w:szCs w:val="21"/>
              </w:rPr>
            </w:pPr>
            <w:bookmarkStart w:id="21" w:name="t_qh_6_1_1_fj_2638A_a1_fm2210"/>
            <w:bookmarkEnd w:id="21"/>
            <w:r>
              <w:rPr>
                <w:rFonts w:ascii="宋体" w:hAnsi="宋体"/>
                <w:szCs w:val="21"/>
              </w:rPr>
              <w:t>1.0261</w:t>
            </w:r>
          </w:p>
        </w:tc>
        <w:tc>
          <w:tcPr>
            <w:tcW w:w="1990" w:type="dxa"/>
            <w:vAlign w:val="center"/>
          </w:tcPr>
          <w:p w:rsidR="002C3FCA" w:rsidRDefault="00213D31">
            <w:pPr>
              <w:rPr>
                <w:rFonts w:ascii="宋体" w:hAnsi="宋体" w:hint="eastAsia"/>
                <w:szCs w:val="21"/>
              </w:rPr>
            </w:pPr>
            <w:bookmarkStart w:id="22" w:name="t_6_1_1_fj_2638B_a1_fm2210"/>
            <w:bookmarkStart w:id="23" w:name="t_6_1_1_fj_2638C_a1_fm2210"/>
            <w:bookmarkEnd w:id="22"/>
            <w:bookmarkEnd w:id="23"/>
            <w:r>
              <w:rPr>
                <w:rFonts w:ascii="宋体" w:hAnsi="宋体"/>
                <w:szCs w:val="21"/>
              </w:rPr>
              <w:t>1.0261</w:t>
            </w:r>
          </w:p>
        </w:tc>
      </w:tr>
      <w:tr w:rsidR="002C3FCA" w:rsidTr="00213D31">
        <w:trPr>
          <w:trHeight w:val="312"/>
          <w:jc w:val="center"/>
        </w:trPr>
        <w:tc>
          <w:tcPr>
            <w:tcW w:w="2474" w:type="dxa"/>
            <w:vMerge/>
            <w:vAlign w:val="center"/>
          </w:tcPr>
          <w:p w:rsidR="002C3FCA" w:rsidRDefault="002C3FCA">
            <w:pPr>
              <w:rPr>
                <w:rFonts w:ascii="宋体" w:hAnsi="宋体" w:hint="eastAsia"/>
                <w:szCs w:val="21"/>
              </w:rPr>
            </w:pPr>
          </w:p>
        </w:tc>
        <w:tc>
          <w:tcPr>
            <w:tcW w:w="2321" w:type="dxa"/>
            <w:vAlign w:val="center"/>
          </w:tcPr>
          <w:p w:rsidR="002C3FCA" w:rsidRDefault="002C3FCA">
            <w:pPr>
              <w:rPr>
                <w:rFonts w:ascii="宋体" w:hAnsi="宋体" w:hint="eastAsia"/>
                <w:szCs w:val="21"/>
              </w:rPr>
            </w:pPr>
            <w:r>
              <w:rPr>
                <w:rFonts w:ascii="宋体" w:hAnsi="宋体" w:hint="eastAsia"/>
                <w:szCs w:val="21"/>
              </w:rPr>
              <w:t>基准日下属分级基金可供分配利润（单位：人民币元）</w:t>
            </w:r>
          </w:p>
        </w:tc>
        <w:tc>
          <w:tcPr>
            <w:tcW w:w="1959" w:type="dxa"/>
            <w:vAlign w:val="center"/>
          </w:tcPr>
          <w:p w:rsidR="002C3FCA" w:rsidRDefault="00213D31">
            <w:pPr>
              <w:rPr>
                <w:rFonts w:ascii="宋体" w:hAnsi="宋体" w:hint="eastAsia"/>
                <w:szCs w:val="21"/>
              </w:rPr>
            </w:pPr>
            <w:bookmarkStart w:id="24" w:name="t_qh_6_1_1_fj_2640A_a1_fm2210"/>
            <w:bookmarkEnd w:id="24"/>
            <w:r>
              <w:rPr>
                <w:rFonts w:ascii="宋体" w:hAnsi="宋体"/>
                <w:szCs w:val="21"/>
              </w:rPr>
              <w:t>71,052,625.24</w:t>
            </w:r>
          </w:p>
        </w:tc>
        <w:tc>
          <w:tcPr>
            <w:tcW w:w="1990" w:type="dxa"/>
            <w:vAlign w:val="center"/>
          </w:tcPr>
          <w:p w:rsidR="002C3FCA" w:rsidRDefault="00213D31">
            <w:pPr>
              <w:rPr>
                <w:rFonts w:ascii="宋体" w:hAnsi="宋体" w:hint="eastAsia"/>
                <w:szCs w:val="21"/>
              </w:rPr>
            </w:pPr>
            <w:bookmarkStart w:id="25" w:name="t_6_1_1_fj_2640B_a1_fm2210"/>
            <w:bookmarkStart w:id="26" w:name="t_6_1_1_fj_2640C_a1_fm2210"/>
            <w:bookmarkEnd w:id="25"/>
            <w:bookmarkEnd w:id="26"/>
            <w:r>
              <w:rPr>
                <w:rFonts w:ascii="宋体" w:hAnsi="宋体"/>
                <w:szCs w:val="21"/>
              </w:rPr>
              <w:t>38.38</w:t>
            </w:r>
          </w:p>
        </w:tc>
      </w:tr>
      <w:tr w:rsidR="00D44829" w:rsidTr="00213D31">
        <w:trPr>
          <w:trHeight w:val="312"/>
          <w:jc w:val="center"/>
        </w:trPr>
        <w:tc>
          <w:tcPr>
            <w:tcW w:w="4795" w:type="dxa"/>
            <w:gridSpan w:val="2"/>
            <w:vAlign w:val="center"/>
          </w:tcPr>
          <w:p w:rsidR="00D44829" w:rsidRDefault="00D44829">
            <w:pPr>
              <w:rPr>
                <w:rFonts w:ascii="宋体" w:hAnsi="宋体" w:hint="eastAsia"/>
                <w:szCs w:val="21"/>
              </w:rPr>
            </w:pPr>
            <w:bookmarkStart w:id="27" w:name="t_6_1_3_fj_table"/>
            <w:bookmarkEnd w:id="27"/>
            <w:r>
              <w:rPr>
                <w:rFonts w:ascii="宋体" w:hAnsi="宋体" w:hint="eastAsia"/>
                <w:szCs w:val="21"/>
              </w:rPr>
              <w:t>本次下属分级基金分红方案（单位：元/10份基金份额）</w:t>
            </w:r>
          </w:p>
        </w:tc>
        <w:tc>
          <w:tcPr>
            <w:tcW w:w="1959" w:type="dxa"/>
            <w:vAlign w:val="center"/>
          </w:tcPr>
          <w:p w:rsidR="00D44829" w:rsidRDefault="00213D31">
            <w:pPr>
              <w:rPr>
                <w:rFonts w:ascii="宋体" w:hAnsi="宋体" w:hint="eastAsia"/>
                <w:szCs w:val="21"/>
              </w:rPr>
            </w:pPr>
            <w:bookmarkStart w:id="28" w:name="t_6_1_3_fj_2641A_a1_fm2210"/>
            <w:bookmarkEnd w:id="28"/>
            <w:r>
              <w:rPr>
                <w:rFonts w:ascii="宋体" w:hAnsi="宋体"/>
                <w:szCs w:val="21"/>
              </w:rPr>
              <w:t>0.1000</w:t>
            </w:r>
          </w:p>
        </w:tc>
        <w:tc>
          <w:tcPr>
            <w:tcW w:w="1990" w:type="dxa"/>
            <w:vAlign w:val="center"/>
          </w:tcPr>
          <w:p w:rsidR="00D44829" w:rsidRDefault="00213D31">
            <w:pPr>
              <w:rPr>
                <w:rFonts w:ascii="宋体" w:hAnsi="宋体" w:hint="eastAsia"/>
                <w:szCs w:val="21"/>
              </w:rPr>
            </w:pPr>
            <w:bookmarkStart w:id="29" w:name="t_6_1_3_fj_2641B_a1_fm2210"/>
            <w:bookmarkStart w:id="30" w:name="t_6_1_3_fj_2641C_a1_fm2210"/>
            <w:bookmarkEnd w:id="29"/>
            <w:bookmarkEnd w:id="30"/>
            <w:r>
              <w:rPr>
                <w:rFonts w:ascii="宋体" w:hAnsi="宋体"/>
                <w:szCs w:val="21"/>
              </w:rPr>
              <w:t>0.1000</w:t>
            </w:r>
          </w:p>
        </w:tc>
      </w:tr>
      <w:bookmarkEnd w:id="5"/>
    </w:tbl>
    <w:p w:rsidR="00D44829" w:rsidRDefault="00D44829">
      <w:pPr>
        <w:spacing w:line="360" w:lineRule="auto"/>
        <w:jc w:val="left"/>
        <w:rPr>
          <w:rFonts w:hint="eastAsia"/>
          <w:szCs w:val="21"/>
        </w:rPr>
      </w:pPr>
    </w:p>
    <w:p w:rsidR="00D44829" w:rsidRDefault="00D44829" w:rsidP="007B01B0">
      <w:pPr>
        <w:pStyle w:val="2"/>
        <w:numPr>
          <w:ilvl w:val="0"/>
          <w:numId w:val="1"/>
        </w:numPr>
        <w:spacing w:beforeLines="50" w:afterLines="50" w:line="240" w:lineRule="auto"/>
        <w:rPr>
          <w:rFonts w:ascii="宋体" w:eastAsia="宋体" w:hAnsi="宋体" w:hint="eastAsia"/>
          <w:bCs/>
          <w:sz w:val="24"/>
          <w:szCs w:val="24"/>
        </w:rPr>
      </w:pPr>
      <w:bookmarkStart w:id="31" w:name="t_6_2_table"/>
      <w:bookmarkEnd w:id="4"/>
      <w:bookmarkEnd w:id="31"/>
      <w:r>
        <w:rPr>
          <w:rFonts w:ascii="宋体" w:eastAsia="宋体" w:hAnsi="宋体" w:hint="eastAsia"/>
          <w:bCs/>
          <w:sz w:val="24"/>
          <w:szCs w:val="24"/>
        </w:rPr>
        <w:t xml:space="preserve"> </w:t>
      </w:r>
      <w:bookmarkStart w:id="32" w:name="m02"/>
      <w:r>
        <w:rPr>
          <w:rFonts w:ascii="宋体" w:eastAsia="宋体" w:hAnsi="宋体" w:hint="eastAsia"/>
          <w:bCs/>
          <w:sz w:val="24"/>
          <w:szCs w:val="24"/>
        </w:rPr>
        <w:t>与分红相关的其他信息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8"/>
        <w:gridCol w:w="5683"/>
      </w:tblGrid>
      <w:tr w:rsidR="00D44829" w:rsidTr="00213D31">
        <w:trPr>
          <w:trHeight w:val="320"/>
        </w:trPr>
        <w:tc>
          <w:tcPr>
            <w:tcW w:w="3138" w:type="dxa"/>
          </w:tcPr>
          <w:p w:rsidR="00D44829" w:rsidRDefault="00D44829">
            <w:pPr>
              <w:rPr>
                <w:rFonts w:hint="eastAsia"/>
                <w:szCs w:val="21"/>
              </w:rPr>
            </w:pPr>
            <w:bookmarkStart w:id="33" w:name="m02_tab"/>
            <w:r>
              <w:rPr>
                <w:rFonts w:hint="eastAsia"/>
                <w:szCs w:val="21"/>
              </w:rPr>
              <w:t>权益登记日</w:t>
            </w:r>
          </w:p>
        </w:tc>
        <w:tc>
          <w:tcPr>
            <w:tcW w:w="5683" w:type="dxa"/>
          </w:tcPr>
          <w:p w:rsidR="00D44829" w:rsidRDefault="00213D31">
            <w:pPr>
              <w:rPr>
                <w:rFonts w:hint="eastAsia"/>
                <w:szCs w:val="21"/>
              </w:rPr>
            </w:pPr>
            <w:bookmarkStart w:id="34" w:name="t_6_2_2758_a1_fm1"/>
            <w:bookmarkEnd w:id="34"/>
            <w:r>
              <w:rPr>
                <w:rFonts w:ascii="宋体" w:hAnsi="宋体"/>
                <w:szCs w:val="21"/>
              </w:rPr>
              <w:t>2025年3月24日</w:t>
            </w:r>
          </w:p>
        </w:tc>
      </w:tr>
      <w:tr w:rsidR="00CD0BC7">
        <w:trPr>
          <w:trHeight w:val="335"/>
        </w:trPr>
        <w:tc>
          <w:tcPr>
            <w:tcW w:w="3138" w:type="dxa"/>
          </w:tcPr>
          <w:p w:rsidR="00CD0BC7" w:rsidRDefault="00CD0BC7">
            <w:pPr>
              <w:rPr>
                <w:rFonts w:hint="eastAsia"/>
                <w:szCs w:val="21"/>
              </w:rPr>
            </w:pPr>
            <w:r>
              <w:rPr>
                <w:rFonts w:hint="eastAsia"/>
                <w:szCs w:val="21"/>
              </w:rPr>
              <w:t>除息日</w:t>
            </w:r>
          </w:p>
        </w:tc>
        <w:tc>
          <w:tcPr>
            <w:tcW w:w="5683" w:type="dxa"/>
          </w:tcPr>
          <w:p w:rsidR="00CD0BC7" w:rsidRDefault="00CD0BC7">
            <w:pPr>
              <w:rPr>
                <w:rFonts w:hint="eastAsia"/>
                <w:szCs w:val="21"/>
              </w:rPr>
            </w:pPr>
            <w:bookmarkStart w:id="35" w:name="t_6_2_2836_a1_fm1"/>
            <w:bookmarkStart w:id="36" w:name="t_6_2_2759_a1_fm1"/>
            <w:bookmarkEnd w:id="35"/>
            <w:bookmarkEnd w:id="36"/>
            <w:r>
              <w:rPr>
                <w:rFonts w:ascii="宋体" w:hAnsi="宋体"/>
                <w:szCs w:val="21"/>
              </w:rPr>
              <w:t>2025年3月24日</w:t>
            </w:r>
          </w:p>
        </w:tc>
      </w:tr>
      <w:tr w:rsidR="00D44829" w:rsidTr="00213D31">
        <w:trPr>
          <w:trHeight w:val="320"/>
        </w:trPr>
        <w:tc>
          <w:tcPr>
            <w:tcW w:w="3138" w:type="dxa"/>
          </w:tcPr>
          <w:p w:rsidR="00D44829" w:rsidRDefault="00D44829">
            <w:pPr>
              <w:rPr>
                <w:rFonts w:hint="eastAsia"/>
                <w:szCs w:val="21"/>
              </w:rPr>
            </w:pPr>
            <w:r>
              <w:rPr>
                <w:rFonts w:hint="eastAsia"/>
                <w:szCs w:val="21"/>
              </w:rPr>
              <w:t>现金红利发放日</w:t>
            </w:r>
          </w:p>
        </w:tc>
        <w:tc>
          <w:tcPr>
            <w:tcW w:w="5683" w:type="dxa"/>
          </w:tcPr>
          <w:p w:rsidR="00D44829" w:rsidRDefault="00213D31">
            <w:pPr>
              <w:rPr>
                <w:rFonts w:ascii="宋体" w:hAnsi="宋体" w:hint="eastAsia"/>
                <w:szCs w:val="21"/>
              </w:rPr>
            </w:pPr>
            <w:bookmarkStart w:id="37" w:name="t_6_2_2760_a1_fm1"/>
            <w:bookmarkEnd w:id="37"/>
            <w:r>
              <w:rPr>
                <w:rFonts w:ascii="宋体" w:hAnsi="宋体"/>
                <w:szCs w:val="21"/>
              </w:rPr>
              <w:t>2025年3月25日</w:t>
            </w:r>
          </w:p>
        </w:tc>
      </w:tr>
      <w:tr w:rsidR="00D44829" w:rsidTr="00213D31">
        <w:trPr>
          <w:trHeight w:val="335"/>
        </w:trPr>
        <w:tc>
          <w:tcPr>
            <w:tcW w:w="3138" w:type="dxa"/>
          </w:tcPr>
          <w:p w:rsidR="00D44829" w:rsidRDefault="00D44829">
            <w:pPr>
              <w:rPr>
                <w:rFonts w:hint="eastAsia"/>
                <w:szCs w:val="21"/>
              </w:rPr>
            </w:pPr>
            <w:r>
              <w:rPr>
                <w:rFonts w:hint="eastAsia"/>
                <w:szCs w:val="21"/>
              </w:rPr>
              <w:t>分红对象</w:t>
            </w:r>
          </w:p>
        </w:tc>
        <w:tc>
          <w:tcPr>
            <w:tcW w:w="5683" w:type="dxa"/>
          </w:tcPr>
          <w:p w:rsidR="00D44829" w:rsidRDefault="00213D31">
            <w:pPr>
              <w:rPr>
                <w:rFonts w:ascii="宋体" w:hAnsi="宋体" w:hint="eastAsia"/>
                <w:szCs w:val="21"/>
              </w:rPr>
            </w:pPr>
            <w:bookmarkStart w:id="38" w:name="t_6_2_2761_a1_fm1"/>
            <w:bookmarkEnd w:id="38"/>
            <w:r>
              <w:rPr>
                <w:rFonts w:ascii="宋体" w:hAnsi="宋体" w:hint="eastAsia"/>
                <w:szCs w:val="21"/>
              </w:rPr>
              <w:t>权益登记日在中航基金管理有限公司登记在册的本基金的全体基金份额持有人。</w:t>
            </w:r>
          </w:p>
        </w:tc>
      </w:tr>
      <w:tr w:rsidR="00D44829" w:rsidTr="00213D31">
        <w:trPr>
          <w:trHeight w:val="335"/>
        </w:trPr>
        <w:tc>
          <w:tcPr>
            <w:tcW w:w="3138" w:type="dxa"/>
            <w:vAlign w:val="center"/>
          </w:tcPr>
          <w:p w:rsidR="00D44829" w:rsidRDefault="00D44829">
            <w:pPr>
              <w:rPr>
                <w:rFonts w:hint="eastAsia"/>
                <w:szCs w:val="21"/>
              </w:rPr>
            </w:pPr>
            <w:r>
              <w:rPr>
                <w:rFonts w:hint="eastAsia"/>
                <w:szCs w:val="21"/>
              </w:rPr>
              <w:t>红利再投资相关事项的说明</w:t>
            </w:r>
          </w:p>
        </w:tc>
        <w:tc>
          <w:tcPr>
            <w:tcW w:w="5683" w:type="dxa"/>
          </w:tcPr>
          <w:p w:rsidR="00D44829" w:rsidRDefault="00213D31">
            <w:pPr>
              <w:rPr>
                <w:rFonts w:ascii="宋体" w:hAnsi="宋体" w:hint="eastAsia"/>
                <w:szCs w:val="21"/>
              </w:rPr>
            </w:pPr>
            <w:bookmarkStart w:id="39" w:name="t_6_2_2762_a1_fm1"/>
            <w:bookmarkEnd w:id="39"/>
            <w:r>
              <w:rPr>
                <w:rFonts w:ascii="宋体" w:hAnsi="宋体" w:hint="eastAsia"/>
                <w:szCs w:val="21"/>
              </w:rPr>
              <w:t>选择红利再投资方式的投资者由红利转得的基金份额将以</w:t>
            </w:r>
            <w:r>
              <w:rPr>
                <w:rFonts w:ascii="宋体" w:hAnsi="宋体"/>
                <w:szCs w:val="21"/>
              </w:rPr>
              <w:t>2025年3月24日除权后的基金份额净值为计算基准确定再投资份额，红利再投资所转换的基金份额于2025年3月25日直接划入其基金账户。本公司对红利再投资所产生的基金份额进行确认并通知各销售机构。2025年3月26日起投资</w:t>
            </w:r>
            <w:r>
              <w:rPr>
                <w:rFonts w:ascii="宋体" w:hAnsi="宋体"/>
                <w:szCs w:val="21"/>
              </w:rPr>
              <w:lastRenderedPageBreak/>
              <w:t>者可以查询，并于本基金的开放日办理赎回。</w:t>
            </w:r>
          </w:p>
        </w:tc>
      </w:tr>
      <w:tr w:rsidR="00D44829" w:rsidTr="00213D31">
        <w:trPr>
          <w:trHeight w:val="335"/>
        </w:trPr>
        <w:tc>
          <w:tcPr>
            <w:tcW w:w="3138" w:type="dxa"/>
          </w:tcPr>
          <w:p w:rsidR="00D44829" w:rsidRDefault="00D44829">
            <w:pPr>
              <w:rPr>
                <w:rFonts w:hint="eastAsia"/>
                <w:szCs w:val="21"/>
              </w:rPr>
            </w:pPr>
            <w:r>
              <w:rPr>
                <w:rFonts w:hint="eastAsia"/>
                <w:szCs w:val="21"/>
              </w:rPr>
              <w:lastRenderedPageBreak/>
              <w:t>税收相关事项的说明</w:t>
            </w:r>
          </w:p>
        </w:tc>
        <w:tc>
          <w:tcPr>
            <w:tcW w:w="5683" w:type="dxa"/>
          </w:tcPr>
          <w:p w:rsidR="00D44829" w:rsidRDefault="00213D31">
            <w:pPr>
              <w:rPr>
                <w:rFonts w:ascii="宋体" w:hAnsi="宋体" w:hint="eastAsia"/>
                <w:szCs w:val="21"/>
              </w:rPr>
            </w:pPr>
            <w:bookmarkStart w:id="40" w:name="t_6_2_2764_a1_fm1"/>
            <w:bookmarkEnd w:id="40"/>
            <w:r>
              <w:rPr>
                <w:rFonts w:ascii="宋体" w:hAnsi="宋体" w:hint="eastAsia"/>
                <w:szCs w:val="21"/>
              </w:rPr>
              <w:t>根据相关法律法规规定，基金向投资者分配的基金收益，暂免征收所得税。</w:t>
            </w:r>
          </w:p>
        </w:tc>
      </w:tr>
      <w:tr w:rsidR="00D44829" w:rsidTr="00213D31">
        <w:trPr>
          <w:trHeight w:val="335"/>
        </w:trPr>
        <w:tc>
          <w:tcPr>
            <w:tcW w:w="3138" w:type="dxa"/>
          </w:tcPr>
          <w:p w:rsidR="00D44829" w:rsidRDefault="00D44829">
            <w:pPr>
              <w:rPr>
                <w:rFonts w:hint="eastAsia"/>
                <w:szCs w:val="21"/>
              </w:rPr>
            </w:pPr>
            <w:r>
              <w:rPr>
                <w:rFonts w:hint="eastAsia"/>
                <w:szCs w:val="21"/>
              </w:rPr>
              <w:t>费用相关事项的说明</w:t>
            </w:r>
          </w:p>
        </w:tc>
        <w:tc>
          <w:tcPr>
            <w:tcW w:w="5683" w:type="dxa"/>
          </w:tcPr>
          <w:p w:rsidR="00213D31" w:rsidRDefault="00213D31">
            <w:pPr>
              <w:rPr>
                <w:rFonts w:ascii="宋体" w:hAnsi="宋体"/>
                <w:szCs w:val="21"/>
              </w:rPr>
            </w:pPr>
            <w:bookmarkStart w:id="41" w:name="t_6_2_2765_a1_fm1"/>
            <w:bookmarkEnd w:id="41"/>
            <w:r>
              <w:rPr>
                <w:rFonts w:ascii="宋体" w:hAnsi="宋体"/>
                <w:szCs w:val="21"/>
              </w:rPr>
              <w:t>1、本基金本次分红免收分红手续费。</w:t>
            </w:r>
          </w:p>
          <w:p w:rsidR="00D44829" w:rsidRDefault="00213D31">
            <w:pPr>
              <w:rPr>
                <w:rFonts w:ascii="宋体" w:hAnsi="宋体" w:hint="eastAsia"/>
                <w:szCs w:val="21"/>
              </w:rPr>
            </w:pPr>
            <w:r>
              <w:rPr>
                <w:rFonts w:ascii="宋体" w:hAnsi="宋体"/>
                <w:szCs w:val="21"/>
              </w:rPr>
              <w:t>2、选择红利再投资方式的投资者其红利所转换的基金份额免收申购费用。</w:t>
            </w:r>
          </w:p>
        </w:tc>
      </w:tr>
    </w:tbl>
    <w:bookmarkEnd w:id="33"/>
    <w:p w:rsidR="00D44829" w:rsidRDefault="00213D31">
      <w:pPr>
        <w:spacing w:line="360" w:lineRule="auto"/>
        <w:jc w:val="left"/>
        <w:rPr>
          <w:rFonts w:hint="eastAsia"/>
          <w:szCs w:val="21"/>
        </w:rPr>
      </w:pPr>
      <w:r>
        <w:rPr>
          <w:rFonts w:ascii="宋体" w:hAnsi="宋体" w:hint="eastAsia"/>
          <w:szCs w:val="21"/>
        </w:rPr>
        <w:t>注：对于未选择具体分红方式的投资者，本基金默认的分红方式为现金分红。</w:t>
      </w:r>
    </w:p>
    <w:bookmarkEnd w:id="32"/>
    <w:p w:rsidR="00D44829" w:rsidRDefault="00D44829" w:rsidP="00346828">
      <w:pPr>
        <w:pStyle w:val="2"/>
        <w:numPr>
          <w:ilvl w:val="0"/>
          <w:numId w:val="1"/>
        </w:numPr>
        <w:spacing w:beforeLines="50" w:afterLines="50" w:line="240" w:lineRule="auto"/>
        <w:jc w:val="left"/>
        <w:rPr>
          <w:rFonts w:ascii="宋体" w:eastAsia="宋体" w:hAnsi="宋体" w:hint="eastAsia"/>
          <w:bCs/>
          <w:sz w:val="24"/>
          <w:szCs w:val="24"/>
        </w:rPr>
      </w:pPr>
      <w:r>
        <w:rPr>
          <w:rFonts w:ascii="宋体" w:eastAsia="宋体" w:hAnsi="宋体" w:hint="eastAsia"/>
          <w:bCs/>
          <w:sz w:val="24"/>
          <w:szCs w:val="24"/>
        </w:rPr>
        <w:t xml:space="preserve"> </w:t>
      </w:r>
      <w:bookmarkStart w:id="42" w:name="t_6_3_table"/>
      <w:bookmarkEnd w:id="42"/>
      <w:r>
        <w:rPr>
          <w:rFonts w:ascii="宋体" w:eastAsia="宋体" w:hAnsi="宋体" w:hint="eastAsia"/>
          <w:bCs/>
          <w:sz w:val="24"/>
          <w:szCs w:val="24"/>
        </w:rPr>
        <w:t>其他需要提示的事项</w:t>
      </w:r>
    </w:p>
    <w:p w:rsidR="00213D31" w:rsidRDefault="00213D31">
      <w:pPr>
        <w:spacing w:line="360" w:lineRule="auto"/>
        <w:ind w:firstLineChars="200" w:firstLine="420"/>
        <w:jc w:val="left"/>
        <w:rPr>
          <w:rFonts w:ascii="宋体" w:hAnsi="宋体"/>
          <w:szCs w:val="21"/>
        </w:rPr>
      </w:pPr>
      <w:bookmarkStart w:id="43" w:name="t_6_3_2646_a1_fm1"/>
      <w:bookmarkEnd w:id="43"/>
      <w:r>
        <w:rPr>
          <w:rFonts w:ascii="宋体" w:hAnsi="宋体" w:hint="eastAsia"/>
          <w:szCs w:val="21"/>
        </w:rPr>
        <w:t>本基金的封闭期指自《基金合同》生效之日起（包括《基金合同》生效之日）或自每一开放期结束之日次日起（包括该日）一年的期间。本基金的第一个封闭期为自《基金合同》生效之日起至一年后的对应日的前一日（包括该日）的期间。下一个封闭期为首个开放期结束之日次日起（包括该日）至一年后的对应日的前一日（包括该日）的期间，以此类推。如该对应日不存在对应日期或该对应日为非工作日的，则顺延至下一工作日。本基金封闭期内不办理申购与赎回业务，也不上市交易。本基金自封闭期结束之日的下一个工作日（含该日）起进入开放期，期间可以办理申购与赎回业务。每个开放期不少于</w:t>
      </w:r>
      <w:r>
        <w:rPr>
          <w:rFonts w:ascii="宋体" w:hAnsi="宋体"/>
          <w:szCs w:val="21"/>
        </w:rPr>
        <w:t>1个工作日并且最长不超过20个工作日，开放期的具体时间以基金管理人届时公告为准。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213D31" w:rsidRDefault="00213D31">
      <w:pPr>
        <w:spacing w:line="360" w:lineRule="auto"/>
        <w:ind w:firstLineChars="200" w:firstLine="420"/>
        <w:jc w:val="left"/>
        <w:rPr>
          <w:rFonts w:ascii="宋体" w:hAnsi="宋体"/>
          <w:szCs w:val="21"/>
        </w:rPr>
      </w:pPr>
      <w:r>
        <w:rPr>
          <w:rFonts w:ascii="宋体" w:hAnsi="宋体" w:hint="eastAsia"/>
          <w:szCs w:val="21"/>
        </w:rPr>
        <w:t>权益登记日申购或转换转入的基金份额不享有本次分红权益，赎回或转换转出的基金份额享有本次分红权益。</w:t>
      </w:r>
    </w:p>
    <w:p w:rsidR="00213D31" w:rsidRDefault="00213D31">
      <w:pPr>
        <w:spacing w:line="360" w:lineRule="auto"/>
        <w:ind w:firstLineChars="200" w:firstLine="420"/>
        <w:jc w:val="left"/>
        <w:rPr>
          <w:rFonts w:ascii="宋体" w:hAnsi="宋体"/>
          <w:szCs w:val="21"/>
        </w:rPr>
      </w:pPr>
      <w:r>
        <w:rPr>
          <w:rFonts w:ascii="宋体" w:hAnsi="宋体" w:hint="eastAsia"/>
          <w:szCs w:val="21"/>
        </w:rPr>
        <w:t>投资者通过任一销售机构按基金交易代码提交的分红方式变更申请，只对投资者在该销售机构指定交易账户下的基金份额有效，并不改变投资者在其他销售机构基金份额的分红方式。如投资者希望变更在其他销售机构基金份额的分红方式，需按基金交易代码通过其他销售机构交易账户提交变更分红方式的业务申请。</w:t>
      </w:r>
    </w:p>
    <w:p w:rsidR="00213D31" w:rsidRDefault="00213D31">
      <w:pPr>
        <w:spacing w:line="360" w:lineRule="auto"/>
        <w:ind w:firstLineChars="200" w:firstLine="420"/>
        <w:jc w:val="left"/>
        <w:rPr>
          <w:rFonts w:ascii="宋体" w:hAnsi="宋体"/>
          <w:szCs w:val="21"/>
        </w:rPr>
      </w:pPr>
      <w:r>
        <w:rPr>
          <w:rFonts w:ascii="宋体" w:hAnsi="宋体" w:hint="eastAsia"/>
          <w:szCs w:val="21"/>
        </w:rPr>
        <w:t>投资者可通过本公司网站（</w:t>
      </w:r>
      <w:r>
        <w:rPr>
          <w:rFonts w:ascii="宋体" w:hAnsi="宋体"/>
          <w:szCs w:val="21"/>
        </w:rPr>
        <w:t>www.avicfund.cn）或客户服务电话（400-666-2186）查询分红方式是否正确，如不正确或希望变更分红方式的，请于权益登记日之前（不含权益登记日）到销售网点办理变更手续。本次分红方式将以投资者在权益登记日之前（不含权益登记日）最后一次选择的分红方式为准。</w:t>
      </w:r>
    </w:p>
    <w:p w:rsidR="00213D31" w:rsidRDefault="00213D31">
      <w:pPr>
        <w:spacing w:line="360" w:lineRule="auto"/>
        <w:ind w:firstLineChars="200" w:firstLine="420"/>
        <w:jc w:val="left"/>
        <w:rPr>
          <w:rFonts w:ascii="宋体" w:hAnsi="宋体"/>
          <w:szCs w:val="21"/>
        </w:rPr>
      </w:pPr>
      <w:r>
        <w:rPr>
          <w:rFonts w:ascii="宋体" w:hAnsi="宋体" w:hint="eastAsia"/>
          <w:szCs w:val="21"/>
        </w:rPr>
        <w:t>投资者可通过本公司网站（</w:t>
      </w:r>
      <w:r>
        <w:rPr>
          <w:rFonts w:ascii="宋体" w:hAnsi="宋体"/>
          <w:szCs w:val="21"/>
        </w:rPr>
        <w:t>www.avicfund.cn）或客户服务电话（400-666-2186）了解本基金相关情况。投资者也可以前往本基金有关销售机构进行咨询。本基金的销售机构详见基金管理人官网的公示。</w:t>
      </w:r>
    </w:p>
    <w:p w:rsidR="00213D31" w:rsidRDefault="00213D31">
      <w:pPr>
        <w:spacing w:line="360" w:lineRule="auto"/>
        <w:ind w:firstLineChars="200" w:firstLine="420"/>
        <w:jc w:val="left"/>
        <w:rPr>
          <w:rFonts w:ascii="宋体" w:hAnsi="宋体"/>
          <w:szCs w:val="21"/>
        </w:rPr>
      </w:pPr>
      <w:r>
        <w:rPr>
          <w:rFonts w:ascii="宋体" w:hAnsi="宋体" w:hint="eastAsia"/>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投资有风险，敬请投资人认真阅读本基金的《基金合同》、《招募说明书》及《基金产品资料概要》等相关法律文件，并选择适合自身风险承受能力的投资品种进行投资。</w:t>
      </w:r>
    </w:p>
    <w:p w:rsidR="00D44829" w:rsidRDefault="00213D31">
      <w:pPr>
        <w:spacing w:line="360" w:lineRule="auto"/>
        <w:ind w:firstLineChars="200" w:firstLine="420"/>
        <w:jc w:val="left"/>
        <w:rPr>
          <w:rFonts w:ascii="宋体" w:hAnsi="宋体"/>
          <w:szCs w:val="21"/>
        </w:rPr>
      </w:pPr>
      <w:r>
        <w:rPr>
          <w:rFonts w:ascii="宋体" w:hAnsi="宋体" w:hint="eastAsia"/>
          <w:szCs w:val="21"/>
        </w:rPr>
        <w:t>特此公告。</w:t>
      </w:r>
    </w:p>
    <w:p w:rsidR="00D44829" w:rsidRDefault="00D44829">
      <w:pPr>
        <w:spacing w:line="360" w:lineRule="auto"/>
        <w:ind w:firstLineChars="200" w:firstLine="420"/>
        <w:jc w:val="left"/>
        <w:rPr>
          <w:rFonts w:ascii="宋体" w:hAnsi="宋体"/>
          <w:szCs w:val="21"/>
        </w:rPr>
      </w:pPr>
    </w:p>
    <w:p w:rsidR="00D44829" w:rsidRDefault="00D44829">
      <w:pPr>
        <w:spacing w:line="360" w:lineRule="auto"/>
        <w:ind w:firstLineChars="200" w:firstLine="420"/>
        <w:jc w:val="left"/>
        <w:rPr>
          <w:rFonts w:ascii="宋体" w:hAnsi="宋体"/>
          <w:szCs w:val="21"/>
        </w:rPr>
      </w:pPr>
    </w:p>
    <w:p w:rsidR="00213D31" w:rsidRDefault="00213D31">
      <w:pPr>
        <w:spacing w:line="360" w:lineRule="auto"/>
        <w:ind w:firstLineChars="200" w:firstLine="480"/>
        <w:jc w:val="right"/>
        <w:rPr>
          <w:rFonts w:ascii="宋体" w:hAnsi="宋体"/>
          <w:sz w:val="24"/>
          <w:szCs w:val="30"/>
        </w:rPr>
      </w:pPr>
      <w:r>
        <w:rPr>
          <w:rFonts w:ascii="宋体" w:hAnsi="宋体" w:hint="eastAsia"/>
          <w:sz w:val="24"/>
          <w:szCs w:val="30"/>
        </w:rPr>
        <w:t>中航基金管理有限公司</w:t>
      </w:r>
    </w:p>
    <w:p w:rsidR="00D44829" w:rsidRDefault="00213D31">
      <w:pPr>
        <w:spacing w:line="360" w:lineRule="auto"/>
        <w:ind w:firstLineChars="200" w:firstLine="480"/>
        <w:jc w:val="right"/>
        <w:rPr>
          <w:rFonts w:ascii="宋体" w:hAnsi="宋体"/>
          <w:szCs w:val="21"/>
        </w:rPr>
      </w:pPr>
      <w:r>
        <w:rPr>
          <w:rFonts w:ascii="宋体" w:hAnsi="宋体"/>
          <w:sz w:val="24"/>
          <w:szCs w:val="30"/>
        </w:rPr>
        <w:t>2025年3月22日</w:t>
      </w:r>
    </w:p>
    <w:sectPr w:rsidR="00D44829">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7A8" w:rsidRDefault="008D17A8" w:rsidP="00D71936">
      <w:r>
        <w:separator/>
      </w:r>
    </w:p>
  </w:endnote>
  <w:endnote w:type="continuationSeparator" w:id="0">
    <w:p w:rsidR="008D17A8" w:rsidRDefault="008D17A8" w:rsidP="00D71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31" w:rsidRDefault="00213D31" w:rsidP="00213D31">
    <w:pPr>
      <w:pStyle w:val="a5"/>
      <w:jc w:val="center"/>
    </w:pPr>
    <w:r>
      <w:rPr>
        <w:rFonts w:hint="eastAsia"/>
      </w:rPr>
      <w:t>第</w:t>
    </w:r>
    <w:r>
      <w:rPr>
        <w:rFonts w:hint="eastAsia"/>
      </w:rPr>
      <w:t xml:space="preserve"> </w:t>
    </w:r>
    <w:fldSimple w:instr=" PAGE   \* MERGEFORMAT ">
      <w:r w:rsidR="00797F67">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797F67">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7A8" w:rsidRDefault="008D17A8" w:rsidP="00D71936">
      <w:r>
        <w:separator/>
      </w:r>
    </w:p>
  </w:footnote>
  <w:footnote w:type="continuationSeparator" w:id="0">
    <w:p w:rsidR="008D17A8" w:rsidRDefault="008D17A8" w:rsidP="00D7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31" w:rsidRDefault="00213D31" w:rsidP="00213D31">
    <w:pPr>
      <w:pStyle w:val="a6"/>
      <w:jc w:val="right"/>
    </w:pPr>
    <w:r>
      <w:rPr>
        <w:rFonts w:hint="eastAsia"/>
      </w:rPr>
      <w:t>中航瑞夏一年定期开放债券型发起式证券投资基金</w:t>
    </w:r>
    <w:r>
      <w:rPr>
        <w:rFonts w:hint="eastAsia"/>
      </w:rPr>
      <w:t>2025</w:t>
    </w:r>
    <w:r>
      <w:rPr>
        <w:rFonts w:hint="eastAsia"/>
      </w:rPr>
      <w:t>年分红公告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82531"/>
    <w:multiLevelType w:val="hybridMultilevel"/>
    <w:tmpl w:val="20FE2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830D7"/>
    <w:rsid w:val="00137F24"/>
    <w:rsid w:val="001F4FBE"/>
    <w:rsid w:val="00213D31"/>
    <w:rsid w:val="002C3FCA"/>
    <w:rsid w:val="00346828"/>
    <w:rsid w:val="00383A50"/>
    <w:rsid w:val="00406288"/>
    <w:rsid w:val="00515F7E"/>
    <w:rsid w:val="00675F3E"/>
    <w:rsid w:val="00750DE7"/>
    <w:rsid w:val="00797F67"/>
    <w:rsid w:val="007B01B0"/>
    <w:rsid w:val="007B0AAC"/>
    <w:rsid w:val="008968ED"/>
    <w:rsid w:val="008D17A8"/>
    <w:rsid w:val="00B04106"/>
    <w:rsid w:val="00B739EC"/>
    <w:rsid w:val="00C70527"/>
    <w:rsid w:val="00C71004"/>
    <w:rsid w:val="00CD0BC7"/>
    <w:rsid w:val="00CD4973"/>
    <w:rsid w:val="00D2664D"/>
    <w:rsid w:val="00D44829"/>
    <w:rsid w:val="00D60FE4"/>
    <w:rsid w:val="00D71936"/>
    <w:rsid w:val="00DC0DA1"/>
    <w:rsid w:val="00EA1BB8"/>
    <w:rsid w:val="00F253FA"/>
    <w:rsid w:val="00F523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1380" w:qFormat="1"/>
    <w:lsdException w:name="heading 5" w:locked="1" w:uiPriority="1606" w:unhideWhenUsed="0"/>
    <w:lsdException w:name="heading 6" w:uiPriority="886"/>
    <w:lsdException w:name="heading 7" w:locked="1" w:semiHidden="0" w:uiPriority="866" w:qFormat="1"/>
    <w:lsdException w:name="heading 8" w:semiHidden="0" w:uiPriority="819" w:unhideWhenUsed="0" w:qFormat="1"/>
    <w:lsdException w:name="heading 9" w:semiHidden="0" w:uiPriority="1622"/>
    <w:lsdException w:name="index 1" w:semiHidden="0" w:uiPriority="835" w:unhideWhenUsed="0" w:qFormat="1"/>
    <w:lsdException w:name="index 2" w:semiHidden="0" w:uiPriority="1590"/>
    <w:lsdException w:name="index 3" w:locked="1" w:uiPriority="787"/>
    <w:lsdException w:name="index 4" w:semiHidden="0" w:uiPriority="1635"/>
    <w:lsdException w:name="index 5" w:uiPriority="870" w:unhideWhenUsed="0"/>
    <w:lsdException w:name="index 6" w:uiPriority="1622" w:unhideWhenUsed="0"/>
    <w:lsdException w:name="index 7" w:semiHidden="0" w:uiPriority="883" w:unhideWhenUsed="0"/>
    <w:lsdException w:name="index 8" w:locked="1" w:semiHidden="0" w:uiPriority="514" w:qFormat="1"/>
    <w:lsdException w:name="index 9" w:locked="1" w:semiHidden="0" w:uiPriority="1236" w:unhideWhenUsed="0"/>
    <w:lsdException w:name="toc 1" w:locked="1" w:semiHidden="0" w:uiPriority="1171" w:unhideWhenUsed="0" w:qFormat="1"/>
    <w:lsdException w:name="toc 2" w:locked="1" w:uiPriority="818" w:qFormat="1"/>
    <w:lsdException w:name="toc 3" w:locked="1" w:semiHidden="0" w:uiPriority="1365" w:unhideWhenUsed="0" w:qFormat="1"/>
    <w:lsdException w:name="toc 4" w:locked="1" w:uiPriority="1653" w:unhideWhenUsed="0"/>
    <w:lsdException w:name="toc 5" w:semiHidden="0" w:uiPriority="1924" w:qFormat="1"/>
    <w:lsdException w:name="toc 6" w:locked="1" w:semiHidden="0" w:uiPriority="1239" w:unhideWhenUsed="0" w:qFormat="1"/>
    <w:lsdException w:name="toc 7" w:semiHidden="0" w:uiPriority="1671" w:unhideWhenUsed="0"/>
    <w:lsdException w:name="toc 8" w:uiPriority="1654"/>
    <w:lsdException w:name="toc 9" w:uiPriority="1318" w:unhideWhenUsed="0" w:qFormat="1"/>
    <w:lsdException w:name="Normal Indent" w:locked="1" w:semiHidden="0" w:uiPriority="903"/>
    <w:lsdException w:name="footnote text" w:semiHidden="0" w:uiPriority="1045"/>
    <w:lsdException w:name="annotation text" w:locked="1" w:semiHidden="0" w:uiPriority="97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2Char">
    <w:name w:val="标题 2 Char"/>
    <w:link w:val="2"/>
    <w:rPr>
      <w:rFonts w:ascii="Arial" w:eastAsia="黑体" w:hAnsi="Arial"/>
      <w:b/>
      <w:kern w:val="2"/>
      <w:sz w:val="32"/>
    </w:rPr>
  </w:style>
  <w:style w:type="character" w:customStyle="1" w:styleId="Char">
    <w:name w:val="脚注文本 Char"/>
    <w:link w:val="a4"/>
    <w:rPr>
      <w:rFonts w:ascii="Times New Roman" w:hAnsi="Times New Roman"/>
      <w:kern w:val="2"/>
      <w:sz w:val="18"/>
    </w:rPr>
  </w:style>
  <w:style w:type="character" w:customStyle="1" w:styleId="Char0">
    <w:name w:val="页脚 Char"/>
    <w:link w:val="a5"/>
    <w:rPr>
      <w:kern w:val="2"/>
      <w:sz w:val="18"/>
      <w:szCs w:val="18"/>
    </w:rPr>
  </w:style>
  <w:style w:type="character" w:customStyle="1" w:styleId="Char1">
    <w:name w:val="页眉 Char"/>
    <w:link w:val="a6"/>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rPr>
  </w:style>
  <w:style w:type="paragraph" w:styleId="a7">
    <w:name w:val="Document Map"/>
    <w:basedOn w:val="a"/>
    <w:pPr>
      <w:shd w:val="clear" w:color="auto" w:fill="000080"/>
    </w:pPr>
  </w:style>
  <w:style w:type="paragraph" w:styleId="a5">
    <w:name w:val="footer"/>
    <w:basedOn w:val="a"/>
    <w:link w:val="Char0"/>
    <w:pPr>
      <w:tabs>
        <w:tab w:val="center" w:pos="4153"/>
        <w:tab w:val="right" w:pos="8306"/>
      </w:tabs>
      <w:snapToGrid w:val="0"/>
      <w:jc w:val="left"/>
    </w:pPr>
    <w:rPr>
      <w:sz w:val="18"/>
      <w:szCs w:val="18"/>
      <w:lang/>
    </w:rPr>
  </w:style>
  <w:style w:type="paragraph" w:styleId="a4">
    <w:name w:val="footnote text"/>
    <w:basedOn w:val="a"/>
    <w:link w:val="Char"/>
    <w:pPr>
      <w:snapToGrid w:val="0"/>
      <w:jc w:val="left"/>
    </w:pPr>
    <w:rPr>
      <w:rFonts w:ascii="Times New Roman" w:hAnsi="Times New Roman"/>
      <w:sz w:val="18"/>
      <w:szCs w:val="20"/>
      <w:lang/>
    </w:rPr>
  </w:style>
  <w:style w:type="paragraph" w:customStyle="1" w:styleId="Char2">
    <w:name w:val=" Char"/>
    <w:basedOn w:val="a"/>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Pages>
  <Words>318</Words>
  <Characters>1814</Characters>
  <Application>Microsoft Office Word</Application>
  <DocSecurity>4</DocSecurity>
  <PresentationFormat/>
  <Lines>15</Lines>
  <Paragraphs>4</Paragraphs>
  <Slides>0</Slides>
  <Notes>0</Notes>
  <HiddenSlides>0</HiddenSlides>
  <MMClips>0</MMClips>
  <ScaleCrop>false</ScaleCrop>
  <Manager/>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cp:lastPrinted>1899-12-30T00:00:00Z</cp:lastPrinted>
  <dcterms:created xsi:type="dcterms:W3CDTF">2025-03-21T16:01:00Z</dcterms:created>
  <dcterms:modified xsi:type="dcterms:W3CDTF">2025-03-21T16:01:00Z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