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22" w:rsidRPr="00EC25D6" w:rsidRDefault="004B5922" w:rsidP="00A5019E">
      <w:pPr>
        <w:tabs>
          <w:tab w:val="left" w:pos="2268"/>
        </w:tabs>
        <w:overflowPunct w:val="0"/>
        <w:autoSpaceDE w:val="0"/>
        <w:autoSpaceDN w:val="0"/>
        <w:snapToGrid w:val="0"/>
        <w:spacing w:line="360" w:lineRule="auto"/>
        <w:jc w:val="center"/>
        <w:rPr>
          <w:rFonts w:eastAsiaTheme="majorEastAsia"/>
          <w:sz w:val="28"/>
          <w:szCs w:val="28"/>
        </w:rPr>
      </w:pPr>
    </w:p>
    <w:p w:rsidR="004B5922" w:rsidRPr="00EC25D6" w:rsidRDefault="004B5922" w:rsidP="00A5019E">
      <w:pPr>
        <w:tabs>
          <w:tab w:val="left" w:pos="2268"/>
        </w:tabs>
        <w:overflowPunct w:val="0"/>
        <w:autoSpaceDE w:val="0"/>
        <w:autoSpaceDN w:val="0"/>
        <w:snapToGrid w:val="0"/>
        <w:spacing w:line="360" w:lineRule="auto"/>
        <w:jc w:val="center"/>
        <w:rPr>
          <w:rFonts w:eastAsiaTheme="majorEastAsia"/>
          <w:sz w:val="28"/>
          <w:szCs w:val="28"/>
        </w:rPr>
      </w:pPr>
    </w:p>
    <w:p w:rsidR="003E6510" w:rsidRPr="00EC25D6" w:rsidRDefault="003E6510" w:rsidP="00A5019E">
      <w:pPr>
        <w:tabs>
          <w:tab w:val="left" w:pos="2268"/>
        </w:tabs>
        <w:overflowPunct w:val="0"/>
        <w:autoSpaceDE w:val="0"/>
        <w:autoSpaceDN w:val="0"/>
        <w:snapToGrid w:val="0"/>
        <w:spacing w:line="360" w:lineRule="auto"/>
        <w:jc w:val="center"/>
        <w:rPr>
          <w:rFonts w:eastAsiaTheme="majorEastAsia"/>
          <w:sz w:val="28"/>
          <w:szCs w:val="28"/>
        </w:rPr>
      </w:pPr>
    </w:p>
    <w:p w:rsidR="003E6510" w:rsidRPr="00EC25D6" w:rsidRDefault="003E6510" w:rsidP="00A5019E">
      <w:pPr>
        <w:tabs>
          <w:tab w:val="left" w:pos="2268"/>
        </w:tabs>
        <w:overflowPunct w:val="0"/>
        <w:autoSpaceDE w:val="0"/>
        <w:autoSpaceDN w:val="0"/>
        <w:snapToGrid w:val="0"/>
        <w:spacing w:line="360" w:lineRule="auto"/>
        <w:jc w:val="center"/>
        <w:rPr>
          <w:rFonts w:eastAsiaTheme="majorEastAsia"/>
          <w:sz w:val="28"/>
          <w:szCs w:val="28"/>
        </w:rPr>
      </w:pPr>
    </w:p>
    <w:p w:rsidR="003E6510" w:rsidRPr="00EC25D6" w:rsidRDefault="003E6510" w:rsidP="00A5019E">
      <w:pPr>
        <w:tabs>
          <w:tab w:val="left" w:pos="2268"/>
        </w:tabs>
        <w:overflowPunct w:val="0"/>
        <w:autoSpaceDE w:val="0"/>
        <w:autoSpaceDN w:val="0"/>
        <w:snapToGrid w:val="0"/>
        <w:spacing w:line="360" w:lineRule="auto"/>
        <w:jc w:val="center"/>
        <w:rPr>
          <w:rFonts w:eastAsiaTheme="majorEastAsia"/>
          <w:sz w:val="28"/>
          <w:szCs w:val="28"/>
        </w:rPr>
      </w:pPr>
    </w:p>
    <w:p w:rsidR="002E2E3D" w:rsidRPr="00EC25D6" w:rsidRDefault="006F5C03" w:rsidP="00265C3D">
      <w:pPr>
        <w:overflowPunct w:val="0"/>
        <w:spacing w:line="360" w:lineRule="auto"/>
        <w:jc w:val="center"/>
        <w:rPr>
          <w:rFonts w:eastAsiaTheme="majorEastAsia"/>
          <w:b/>
          <w:sz w:val="32"/>
          <w:szCs w:val="32"/>
        </w:rPr>
      </w:pPr>
      <w:r w:rsidRPr="00EC25D6">
        <w:rPr>
          <w:rFonts w:eastAsiaTheme="majorEastAsia"/>
          <w:b/>
          <w:sz w:val="32"/>
          <w:szCs w:val="32"/>
        </w:rPr>
        <w:t>华夏新锦顺灵活配置混合型证券投资基金</w:t>
      </w:r>
      <w:r w:rsidR="002E2E3D" w:rsidRPr="00EC25D6">
        <w:rPr>
          <w:rFonts w:eastAsiaTheme="majorEastAsia"/>
          <w:b/>
          <w:sz w:val="32"/>
          <w:szCs w:val="32"/>
        </w:rPr>
        <w:t>清算报告</w:t>
      </w:r>
    </w:p>
    <w:p w:rsidR="002E2E3D" w:rsidRPr="00EC25D6" w:rsidRDefault="002E2E3D" w:rsidP="00A5019E">
      <w:pPr>
        <w:overflowPunct w:val="0"/>
        <w:rPr>
          <w:rFonts w:eastAsiaTheme="majorEastAsia"/>
          <w:sz w:val="28"/>
          <w:szCs w:val="28"/>
        </w:rPr>
      </w:pPr>
    </w:p>
    <w:p w:rsidR="002E2E3D" w:rsidRPr="00EC25D6" w:rsidRDefault="002E2E3D" w:rsidP="00A5019E">
      <w:pPr>
        <w:overflowPunct w:val="0"/>
        <w:rPr>
          <w:rFonts w:eastAsiaTheme="majorEastAsia"/>
          <w:sz w:val="28"/>
          <w:szCs w:val="28"/>
        </w:rPr>
      </w:pPr>
    </w:p>
    <w:p w:rsidR="002E2E3D" w:rsidRPr="00EC25D6" w:rsidRDefault="002E2E3D" w:rsidP="00A5019E">
      <w:pPr>
        <w:overflowPunct w:val="0"/>
        <w:rPr>
          <w:rFonts w:eastAsiaTheme="majorEastAsia"/>
          <w:sz w:val="28"/>
          <w:szCs w:val="28"/>
        </w:rPr>
      </w:pPr>
    </w:p>
    <w:p w:rsidR="00D21EC6" w:rsidRPr="00EC25D6" w:rsidRDefault="00D21EC6" w:rsidP="00A5019E">
      <w:pPr>
        <w:pStyle w:val="Default"/>
        <w:overflowPunct w:val="0"/>
        <w:rPr>
          <w:rFonts w:ascii="Times New Roman" w:eastAsiaTheme="majorEastAsia" w:cs="Times New Roman"/>
          <w:color w:val="auto"/>
        </w:rPr>
      </w:pPr>
    </w:p>
    <w:p w:rsidR="004B5922" w:rsidRPr="00EC25D6" w:rsidRDefault="004B5922" w:rsidP="00A5019E">
      <w:pPr>
        <w:pStyle w:val="Default"/>
        <w:overflowPunct w:val="0"/>
        <w:rPr>
          <w:rFonts w:ascii="Times New Roman" w:eastAsiaTheme="majorEastAsia" w:cs="Times New Roman"/>
          <w:color w:val="auto"/>
        </w:rPr>
      </w:pPr>
    </w:p>
    <w:p w:rsidR="004B5922" w:rsidRPr="00EC25D6" w:rsidRDefault="004B5922" w:rsidP="00A5019E">
      <w:pPr>
        <w:pStyle w:val="Default"/>
        <w:overflowPunct w:val="0"/>
        <w:rPr>
          <w:rFonts w:ascii="Times New Roman" w:eastAsiaTheme="majorEastAsia" w:cs="Times New Roman"/>
          <w:color w:val="auto"/>
        </w:rPr>
      </w:pPr>
    </w:p>
    <w:p w:rsidR="004B5922" w:rsidRPr="00EC25D6" w:rsidRDefault="004B5922" w:rsidP="00A5019E">
      <w:pPr>
        <w:pStyle w:val="Default"/>
        <w:overflowPunct w:val="0"/>
        <w:rPr>
          <w:rFonts w:ascii="Times New Roman" w:eastAsiaTheme="majorEastAsia" w:cs="Times New Roman"/>
          <w:color w:val="auto"/>
        </w:rPr>
      </w:pPr>
    </w:p>
    <w:p w:rsidR="004B5922" w:rsidRPr="00EC25D6" w:rsidRDefault="004B5922" w:rsidP="00A5019E">
      <w:pPr>
        <w:pStyle w:val="Default"/>
        <w:overflowPunct w:val="0"/>
        <w:rPr>
          <w:rFonts w:ascii="Times New Roman" w:eastAsiaTheme="majorEastAsia" w:cs="Times New Roman"/>
          <w:color w:val="auto"/>
        </w:rPr>
      </w:pPr>
    </w:p>
    <w:p w:rsidR="004B5922" w:rsidRPr="00EC25D6" w:rsidRDefault="004B5922" w:rsidP="00A5019E">
      <w:pPr>
        <w:pStyle w:val="Default"/>
        <w:overflowPunct w:val="0"/>
        <w:rPr>
          <w:rFonts w:ascii="Times New Roman" w:eastAsiaTheme="majorEastAsia" w:cs="Times New Roman"/>
          <w:color w:val="auto"/>
        </w:rPr>
      </w:pPr>
    </w:p>
    <w:p w:rsidR="004B5922" w:rsidRPr="00EC25D6" w:rsidRDefault="004B5922" w:rsidP="00A5019E">
      <w:pPr>
        <w:pStyle w:val="Default"/>
        <w:overflowPunct w:val="0"/>
        <w:rPr>
          <w:rFonts w:ascii="Times New Roman" w:eastAsiaTheme="majorEastAsia" w:cs="Times New Roman"/>
          <w:color w:val="auto"/>
        </w:rPr>
      </w:pPr>
    </w:p>
    <w:p w:rsidR="00D21EC6" w:rsidRPr="00EC25D6" w:rsidRDefault="00D21EC6" w:rsidP="00A5019E">
      <w:pPr>
        <w:pStyle w:val="Default"/>
        <w:overflowPunct w:val="0"/>
        <w:rPr>
          <w:rFonts w:ascii="Times New Roman" w:eastAsiaTheme="majorEastAsia" w:cs="Times New Roman"/>
          <w:color w:val="auto"/>
        </w:rPr>
      </w:pPr>
    </w:p>
    <w:p w:rsidR="00D21EC6" w:rsidRPr="00EC25D6" w:rsidRDefault="00D21EC6" w:rsidP="00A5019E">
      <w:pPr>
        <w:pStyle w:val="Default"/>
        <w:overflowPunct w:val="0"/>
        <w:spacing w:line="360" w:lineRule="auto"/>
        <w:ind w:leftChars="946" w:left="1987"/>
        <w:rPr>
          <w:rFonts w:ascii="Times New Roman" w:eastAsiaTheme="majorEastAsia" w:cs="Times New Roman"/>
          <w:color w:val="auto"/>
          <w:sz w:val="28"/>
          <w:szCs w:val="28"/>
        </w:rPr>
      </w:pPr>
      <w:r w:rsidRPr="00EC25D6">
        <w:rPr>
          <w:rFonts w:ascii="Times New Roman" w:eastAsiaTheme="majorEastAsia" w:cs="Times New Roman"/>
          <w:color w:val="auto"/>
          <w:sz w:val="28"/>
          <w:szCs w:val="28"/>
        </w:rPr>
        <w:t>基金管理人：华夏基金管理有限公司</w:t>
      </w:r>
    </w:p>
    <w:p w:rsidR="00D21EC6" w:rsidRPr="00EC25D6" w:rsidRDefault="00D21EC6" w:rsidP="00A5019E">
      <w:pPr>
        <w:pStyle w:val="Default"/>
        <w:overflowPunct w:val="0"/>
        <w:spacing w:line="360" w:lineRule="auto"/>
        <w:ind w:leftChars="946" w:left="1987"/>
        <w:rPr>
          <w:rFonts w:ascii="Times New Roman" w:eastAsiaTheme="majorEastAsia" w:cs="Times New Roman"/>
          <w:color w:val="auto"/>
          <w:sz w:val="28"/>
          <w:szCs w:val="28"/>
        </w:rPr>
      </w:pPr>
      <w:r w:rsidRPr="00EC25D6">
        <w:rPr>
          <w:rFonts w:ascii="Times New Roman" w:eastAsiaTheme="majorEastAsia" w:cs="Times New Roman"/>
          <w:color w:val="auto"/>
          <w:sz w:val="28"/>
          <w:szCs w:val="28"/>
        </w:rPr>
        <w:t>基金托管人：</w:t>
      </w:r>
      <w:r w:rsidR="006F5C03" w:rsidRPr="00EC25D6">
        <w:rPr>
          <w:rFonts w:ascii="Times New Roman" w:eastAsiaTheme="majorEastAsia" w:cs="Times New Roman"/>
          <w:color w:val="auto"/>
          <w:sz w:val="28"/>
          <w:szCs w:val="28"/>
        </w:rPr>
        <w:t>中国建设银行股份有限公司</w:t>
      </w:r>
    </w:p>
    <w:p w:rsidR="00B66163" w:rsidRPr="00EC25D6" w:rsidRDefault="00B66163" w:rsidP="00D97ADD">
      <w:pPr>
        <w:pStyle w:val="Default"/>
        <w:overflowPunct w:val="0"/>
        <w:spacing w:line="360" w:lineRule="auto"/>
        <w:ind w:leftChars="946" w:left="1987"/>
        <w:rPr>
          <w:rFonts w:ascii="Times New Roman" w:eastAsiaTheme="majorEastAsia" w:cs="Times New Roman"/>
          <w:color w:val="auto"/>
          <w:sz w:val="28"/>
          <w:szCs w:val="28"/>
        </w:rPr>
      </w:pPr>
      <w:r w:rsidRPr="00EC25D6">
        <w:rPr>
          <w:rFonts w:ascii="Times New Roman" w:eastAsiaTheme="majorEastAsia" w:cs="Times New Roman"/>
          <w:color w:val="auto"/>
          <w:sz w:val="28"/>
          <w:szCs w:val="28"/>
        </w:rPr>
        <w:t>清算报告出具日：</w:t>
      </w:r>
      <w:r w:rsidR="00D97ADD" w:rsidRPr="00EC25D6">
        <w:rPr>
          <w:rFonts w:ascii="Times New Roman" w:eastAsiaTheme="majorEastAsia" w:cs="Times New Roman"/>
          <w:color w:val="auto"/>
          <w:sz w:val="28"/>
          <w:szCs w:val="28"/>
        </w:rPr>
        <w:t>二〇二五年</w:t>
      </w:r>
      <w:r w:rsidR="006F5C03" w:rsidRPr="00EC25D6">
        <w:rPr>
          <w:rFonts w:ascii="Times New Roman" w:eastAsiaTheme="majorEastAsia" w:cs="Times New Roman"/>
          <w:color w:val="auto"/>
          <w:sz w:val="28"/>
          <w:szCs w:val="28"/>
        </w:rPr>
        <w:t>三</w:t>
      </w:r>
      <w:r w:rsidR="00D97ADD" w:rsidRPr="00EC25D6">
        <w:rPr>
          <w:rFonts w:ascii="Times New Roman" w:eastAsiaTheme="majorEastAsia" w:cs="Times New Roman"/>
          <w:color w:val="auto"/>
          <w:sz w:val="28"/>
          <w:szCs w:val="28"/>
        </w:rPr>
        <w:t>月</w:t>
      </w:r>
      <w:r w:rsidR="00FC0208" w:rsidRPr="00EC25D6">
        <w:rPr>
          <w:rFonts w:ascii="Times New Roman" w:eastAsiaTheme="majorEastAsia" w:cs="Times New Roman"/>
          <w:color w:val="auto"/>
          <w:sz w:val="28"/>
          <w:szCs w:val="28"/>
        </w:rPr>
        <w:t>十四</w:t>
      </w:r>
      <w:r w:rsidR="00D97ADD" w:rsidRPr="00EC25D6">
        <w:rPr>
          <w:rFonts w:ascii="Times New Roman" w:eastAsiaTheme="majorEastAsia" w:cs="Times New Roman"/>
          <w:color w:val="auto"/>
          <w:sz w:val="28"/>
          <w:szCs w:val="28"/>
        </w:rPr>
        <w:t>日</w:t>
      </w:r>
    </w:p>
    <w:p w:rsidR="00F47028" w:rsidRPr="00EC25D6" w:rsidRDefault="00F47028" w:rsidP="00A5019E">
      <w:pPr>
        <w:pStyle w:val="Default"/>
        <w:overflowPunct w:val="0"/>
        <w:spacing w:line="360" w:lineRule="auto"/>
        <w:ind w:leftChars="946" w:left="1987"/>
        <w:rPr>
          <w:rFonts w:ascii="Times New Roman" w:eastAsiaTheme="majorEastAsia" w:cs="Times New Roman"/>
          <w:color w:val="auto"/>
          <w:sz w:val="28"/>
          <w:szCs w:val="28"/>
        </w:rPr>
      </w:pPr>
      <w:r w:rsidRPr="00EC25D6">
        <w:rPr>
          <w:rFonts w:ascii="Times New Roman" w:eastAsiaTheme="majorEastAsia" w:cs="Times New Roman"/>
          <w:color w:val="auto"/>
          <w:sz w:val="28"/>
          <w:szCs w:val="28"/>
        </w:rPr>
        <w:t>清算报告公告日：</w:t>
      </w:r>
      <w:r w:rsidR="00D97ADD" w:rsidRPr="00EC25D6">
        <w:rPr>
          <w:rFonts w:ascii="Times New Roman" w:eastAsiaTheme="majorEastAsia" w:cs="Times New Roman"/>
          <w:color w:val="auto"/>
          <w:sz w:val="28"/>
          <w:szCs w:val="28"/>
        </w:rPr>
        <w:t>二〇二五年</w:t>
      </w:r>
      <w:r w:rsidR="00FC0208" w:rsidRPr="00EC25D6">
        <w:rPr>
          <w:rFonts w:ascii="Times New Roman" w:eastAsiaTheme="majorEastAsia" w:cs="Times New Roman"/>
          <w:color w:val="auto"/>
          <w:sz w:val="28"/>
          <w:szCs w:val="28"/>
        </w:rPr>
        <w:t>三</w:t>
      </w:r>
      <w:r w:rsidR="00D97ADD" w:rsidRPr="00EC25D6">
        <w:rPr>
          <w:rFonts w:ascii="Times New Roman" w:eastAsiaTheme="majorEastAsia" w:cs="Times New Roman"/>
          <w:color w:val="auto"/>
          <w:sz w:val="28"/>
          <w:szCs w:val="28"/>
        </w:rPr>
        <w:t>月</w:t>
      </w:r>
      <w:r w:rsidR="00FC0208" w:rsidRPr="00EC25D6">
        <w:rPr>
          <w:rFonts w:ascii="Times New Roman" w:eastAsiaTheme="majorEastAsia" w:cs="Times New Roman"/>
          <w:color w:val="auto"/>
          <w:sz w:val="28"/>
          <w:szCs w:val="28"/>
        </w:rPr>
        <w:t>二十一</w:t>
      </w:r>
      <w:r w:rsidR="00D97ADD" w:rsidRPr="00EC25D6">
        <w:rPr>
          <w:rFonts w:ascii="Times New Roman" w:eastAsiaTheme="majorEastAsia" w:cs="Times New Roman"/>
          <w:color w:val="auto"/>
          <w:sz w:val="28"/>
          <w:szCs w:val="28"/>
        </w:rPr>
        <w:t>日</w:t>
      </w:r>
    </w:p>
    <w:p w:rsidR="00F406F3" w:rsidRPr="00EC25D6" w:rsidRDefault="00F406F3" w:rsidP="00A5019E">
      <w:pPr>
        <w:pStyle w:val="Default"/>
        <w:overflowPunct w:val="0"/>
        <w:spacing w:line="360" w:lineRule="auto"/>
        <w:ind w:leftChars="946" w:left="1987"/>
        <w:rPr>
          <w:rFonts w:ascii="Times New Roman" w:eastAsiaTheme="majorEastAsia" w:cs="Times New Roman"/>
          <w:color w:val="auto"/>
          <w:sz w:val="28"/>
          <w:szCs w:val="28"/>
        </w:rPr>
      </w:pPr>
    </w:p>
    <w:p w:rsidR="002E2E3D" w:rsidRPr="00EC25D6" w:rsidRDefault="000F6087" w:rsidP="00A5019E">
      <w:pPr>
        <w:tabs>
          <w:tab w:val="center" w:pos="4526"/>
          <w:tab w:val="left" w:pos="6610"/>
        </w:tabs>
        <w:overflowPunct w:val="0"/>
        <w:spacing w:before="100" w:after="100" w:line="360" w:lineRule="auto"/>
        <w:jc w:val="left"/>
        <w:rPr>
          <w:rFonts w:eastAsiaTheme="majorEastAsia"/>
          <w:b/>
          <w:bCs/>
          <w:sz w:val="28"/>
          <w:szCs w:val="28"/>
        </w:rPr>
      </w:pPr>
      <w:r w:rsidRPr="00EC25D6">
        <w:rPr>
          <w:rFonts w:eastAsiaTheme="majorEastAsia"/>
          <w:sz w:val="28"/>
          <w:szCs w:val="28"/>
        </w:rPr>
        <w:br w:type="page"/>
      </w:r>
      <w:r w:rsidR="004F6138" w:rsidRPr="00EC25D6">
        <w:rPr>
          <w:rFonts w:eastAsiaTheme="majorEastAsia"/>
          <w:sz w:val="28"/>
          <w:szCs w:val="28"/>
        </w:rPr>
        <w:lastRenderedPageBreak/>
        <w:tab/>
      </w:r>
      <w:r w:rsidR="0089481E" w:rsidRPr="00EC25D6">
        <w:rPr>
          <w:rFonts w:eastAsiaTheme="majorEastAsia"/>
          <w:b/>
          <w:bCs/>
          <w:sz w:val="28"/>
          <w:szCs w:val="28"/>
        </w:rPr>
        <w:t>目录</w:t>
      </w:r>
      <w:r w:rsidR="004F6138" w:rsidRPr="00EC25D6">
        <w:rPr>
          <w:rFonts w:eastAsiaTheme="majorEastAsia"/>
          <w:b/>
          <w:bCs/>
          <w:sz w:val="28"/>
          <w:szCs w:val="28"/>
        </w:rPr>
        <w:tab/>
      </w:r>
    </w:p>
    <w:p w:rsidR="00415716" w:rsidRPr="00EC25D6" w:rsidRDefault="001E473B" w:rsidP="00326032">
      <w:pPr>
        <w:pStyle w:val="10"/>
        <w:rPr>
          <w:noProof/>
          <w:lang w:bidi="th-TH"/>
        </w:rPr>
      </w:pPr>
      <w:r w:rsidRPr="001E473B">
        <w:rPr>
          <w:sz w:val="28"/>
          <w:szCs w:val="28"/>
        </w:rPr>
        <w:fldChar w:fldCharType="begin"/>
      </w:r>
      <w:r w:rsidR="000F6087" w:rsidRPr="00EC25D6">
        <w:rPr>
          <w:sz w:val="28"/>
          <w:szCs w:val="28"/>
        </w:rPr>
        <w:instrText xml:space="preserve"> TOC \o "1-1" \h \z \u </w:instrText>
      </w:r>
      <w:r w:rsidRPr="001E473B">
        <w:rPr>
          <w:sz w:val="28"/>
          <w:szCs w:val="28"/>
        </w:rPr>
        <w:fldChar w:fldCharType="separate"/>
      </w:r>
      <w:hyperlink w:anchor="_Toc447194467" w:history="1">
        <w:r w:rsidR="00415716" w:rsidRPr="00EC25D6">
          <w:rPr>
            <w:rStyle w:val="af"/>
            <w:rFonts w:eastAsiaTheme="majorEastAsia"/>
            <w:noProof/>
            <w:color w:val="auto"/>
            <w:sz w:val="24"/>
          </w:rPr>
          <w:t>重要提示</w:t>
        </w:r>
        <w:r w:rsidR="00415716" w:rsidRPr="00EC25D6">
          <w:rPr>
            <w:noProof/>
            <w:webHidden/>
          </w:rPr>
          <w:tab/>
        </w:r>
        <w:r w:rsidRPr="00EC25D6">
          <w:rPr>
            <w:noProof/>
            <w:webHidden/>
          </w:rPr>
          <w:fldChar w:fldCharType="begin"/>
        </w:r>
        <w:r w:rsidR="00415716" w:rsidRPr="00EC25D6">
          <w:rPr>
            <w:noProof/>
            <w:webHidden/>
          </w:rPr>
          <w:instrText xml:space="preserve"> PAGEREF _Toc447194467 \h </w:instrText>
        </w:r>
        <w:r w:rsidRPr="00EC25D6">
          <w:rPr>
            <w:noProof/>
            <w:webHidden/>
          </w:rPr>
        </w:r>
        <w:r w:rsidRPr="00EC25D6">
          <w:rPr>
            <w:noProof/>
            <w:webHidden/>
          </w:rPr>
          <w:fldChar w:fldCharType="separate"/>
        </w:r>
        <w:r w:rsidR="00EC25D6">
          <w:rPr>
            <w:noProof/>
            <w:webHidden/>
          </w:rPr>
          <w:t>3</w:t>
        </w:r>
        <w:r w:rsidRPr="00EC25D6">
          <w:rPr>
            <w:noProof/>
            <w:webHidden/>
          </w:rPr>
          <w:fldChar w:fldCharType="end"/>
        </w:r>
      </w:hyperlink>
    </w:p>
    <w:p w:rsidR="00415716" w:rsidRPr="00EC25D6" w:rsidRDefault="001E473B" w:rsidP="00326032">
      <w:pPr>
        <w:pStyle w:val="10"/>
        <w:rPr>
          <w:noProof/>
          <w:lang w:bidi="th-TH"/>
        </w:rPr>
      </w:pPr>
      <w:hyperlink w:anchor="_Toc447194468" w:history="1">
        <w:r w:rsidR="00415716" w:rsidRPr="00EC25D6">
          <w:rPr>
            <w:rStyle w:val="af"/>
            <w:rFonts w:eastAsiaTheme="majorEastAsia"/>
            <w:noProof/>
            <w:color w:val="auto"/>
            <w:sz w:val="24"/>
          </w:rPr>
          <w:t>一、基金概况</w:t>
        </w:r>
        <w:r w:rsidR="00415716" w:rsidRPr="00EC25D6">
          <w:rPr>
            <w:noProof/>
            <w:webHidden/>
          </w:rPr>
          <w:tab/>
        </w:r>
        <w:r w:rsidRPr="00EC25D6">
          <w:rPr>
            <w:noProof/>
            <w:webHidden/>
          </w:rPr>
          <w:fldChar w:fldCharType="begin"/>
        </w:r>
        <w:r w:rsidR="00415716" w:rsidRPr="00EC25D6">
          <w:rPr>
            <w:noProof/>
            <w:webHidden/>
          </w:rPr>
          <w:instrText xml:space="preserve"> PAGEREF _Toc447194468 \h </w:instrText>
        </w:r>
        <w:r w:rsidRPr="00EC25D6">
          <w:rPr>
            <w:noProof/>
            <w:webHidden/>
          </w:rPr>
        </w:r>
        <w:r w:rsidRPr="00EC25D6">
          <w:rPr>
            <w:noProof/>
            <w:webHidden/>
          </w:rPr>
          <w:fldChar w:fldCharType="separate"/>
        </w:r>
        <w:r w:rsidR="00EC25D6">
          <w:rPr>
            <w:noProof/>
            <w:webHidden/>
          </w:rPr>
          <w:t>3</w:t>
        </w:r>
        <w:r w:rsidRPr="00EC25D6">
          <w:rPr>
            <w:noProof/>
            <w:webHidden/>
          </w:rPr>
          <w:fldChar w:fldCharType="end"/>
        </w:r>
      </w:hyperlink>
    </w:p>
    <w:p w:rsidR="00415716" w:rsidRPr="00EC25D6" w:rsidRDefault="001E473B" w:rsidP="00326032">
      <w:pPr>
        <w:pStyle w:val="10"/>
        <w:rPr>
          <w:noProof/>
          <w:lang w:bidi="th-TH"/>
        </w:rPr>
      </w:pPr>
      <w:hyperlink w:anchor="_Toc447194469" w:history="1">
        <w:r w:rsidR="00415716" w:rsidRPr="00EC25D6">
          <w:rPr>
            <w:rStyle w:val="af"/>
            <w:rFonts w:eastAsiaTheme="majorEastAsia"/>
            <w:noProof/>
            <w:color w:val="auto"/>
            <w:sz w:val="24"/>
          </w:rPr>
          <w:t>二、基金运作情况</w:t>
        </w:r>
        <w:r w:rsidR="00415716" w:rsidRPr="00EC25D6">
          <w:rPr>
            <w:noProof/>
            <w:webHidden/>
          </w:rPr>
          <w:tab/>
        </w:r>
        <w:r w:rsidRPr="00EC25D6">
          <w:rPr>
            <w:noProof/>
            <w:webHidden/>
          </w:rPr>
          <w:fldChar w:fldCharType="begin"/>
        </w:r>
        <w:r w:rsidR="00415716" w:rsidRPr="00EC25D6">
          <w:rPr>
            <w:noProof/>
            <w:webHidden/>
          </w:rPr>
          <w:instrText xml:space="preserve"> PAGEREF _Toc447194469 \h </w:instrText>
        </w:r>
        <w:r w:rsidRPr="00EC25D6">
          <w:rPr>
            <w:noProof/>
            <w:webHidden/>
          </w:rPr>
        </w:r>
        <w:r w:rsidRPr="00EC25D6">
          <w:rPr>
            <w:noProof/>
            <w:webHidden/>
          </w:rPr>
          <w:fldChar w:fldCharType="separate"/>
        </w:r>
        <w:r w:rsidR="00EC25D6">
          <w:rPr>
            <w:noProof/>
            <w:webHidden/>
          </w:rPr>
          <w:t>3</w:t>
        </w:r>
        <w:r w:rsidRPr="00EC25D6">
          <w:rPr>
            <w:noProof/>
            <w:webHidden/>
          </w:rPr>
          <w:fldChar w:fldCharType="end"/>
        </w:r>
      </w:hyperlink>
    </w:p>
    <w:p w:rsidR="00415716" w:rsidRPr="00EC25D6" w:rsidRDefault="001E473B" w:rsidP="00326032">
      <w:pPr>
        <w:pStyle w:val="10"/>
        <w:rPr>
          <w:noProof/>
          <w:lang w:bidi="th-TH"/>
        </w:rPr>
      </w:pPr>
      <w:hyperlink w:anchor="_Toc447194470" w:history="1">
        <w:r w:rsidR="00415716" w:rsidRPr="00EC25D6">
          <w:rPr>
            <w:rStyle w:val="af"/>
            <w:rFonts w:eastAsiaTheme="majorEastAsia"/>
            <w:noProof/>
            <w:color w:val="auto"/>
            <w:sz w:val="24"/>
          </w:rPr>
          <w:t>三、财务会计报告</w:t>
        </w:r>
        <w:r w:rsidR="00415716" w:rsidRPr="00EC25D6">
          <w:rPr>
            <w:noProof/>
            <w:webHidden/>
          </w:rPr>
          <w:tab/>
        </w:r>
        <w:r w:rsidRPr="00EC25D6">
          <w:rPr>
            <w:noProof/>
            <w:webHidden/>
          </w:rPr>
          <w:fldChar w:fldCharType="begin"/>
        </w:r>
        <w:r w:rsidR="00415716" w:rsidRPr="00EC25D6">
          <w:rPr>
            <w:noProof/>
            <w:webHidden/>
          </w:rPr>
          <w:instrText xml:space="preserve"> PAGEREF _Toc447194470 \h </w:instrText>
        </w:r>
        <w:r w:rsidRPr="00EC25D6">
          <w:rPr>
            <w:noProof/>
            <w:webHidden/>
          </w:rPr>
        </w:r>
        <w:r w:rsidRPr="00EC25D6">
          <w:rPr>
            <w:noProof/>
            <w:webHidden/>
          </w:rPr>
          <w:fldChar w:fldCharType="separate"/>
        </w:r>
        <w:r w:rsidR="00EC25D6">
          <w:rPr>
            <w:noProof/>
            <w:webHidden/>
          </w:rPr>
          <w:t>4</w:t>
        </w:r>
        <w:r w:rsidRPr="00EC25D6">
          <w:rPr>
            <w:noProof/>
            <w:webHidden/>
          </w:rPr>
          <w:fldChar w:fldCharType="end"/>
        </w:r>
      </w:hyperlink>
    </w:p>
    <w:p w:rsidR="00415716" w:rsidRPr="00EC25D6" w:rsidRDefault="001E473B" w:rsidP="00326032">
      <w:pPr>
        <w:pStyle w:val="10"/>
        <w:rPr>
          <w:noProof/>
          <w:lang w:bidi="th-TH"/>
        </w:rPr>
      </w:pPr>
      <w:hyperlink w:anchor="_Toc447194471" w:history="1">
        <w:r w:rsidR="00415716" w:rsidRPr="00EC25D6">
          <w:rPr>
            <w:rStyle w:val="af"/>
            <w:rFonts w:eastAsiaTheme="majorEastAsia"/>
            <w:noProof/>
            <w:color w:val="auto"/>
            <w:sz w:val="24"/>
          </w:rPr>
          <w:t>四、清算情况</w:t>
        </w:r>
        <w:r w:rsidR="00415716" w:rsidRPr="00EC25D6">
          <w:rPr>
            <w:noProof/>
            <w:webHidden/>
          </w:rPr>
          <w:tab/>
        </w:r>
        <w:r w:rsidRPr="00EC25D6">
          <w:rPr>
            <w:noProof/>
            <w:webHidden/>
          </w:rPr>
          <w:fldChar w:fldCharType="begin"/>
        </w:r>
        <w:r w:rsidR="00415716" w:rsidRPr="00EC25D6">
          <w:rPr>
            <w:noProof/>
            <w:webHidden/>
          </w:rPr>
          <w:instrText xml:space="preserve"> PAGEREF _Toc447194471 \h </w:instrText>
        </w:r>
        <w:r w:rsidRPr="00EC25D6">
          <w:rPr>
            <w:noProof/>
            <w:webHidden/>
          </w:rPr>
        </w:r>
        <w:r w:rsidRPr="00EC25D6">
          <w:rPr>
            <w:noProof/>
            <w:webHidden/>
          </w:rPr>
          <w:fldChar w:fldCharType="separate"/>
        </w:r>
        <w:r w:rsidR="00EC25D6">
          <w:rPr>
            <w:noProof/>
            <w:webHidden/>
          </w:rPr>
          <w:t>6</w:t>
        </w:r>
        <w:r w:rsidRPr="00EC25D6">
          <w:rPr>
            <w:noProof/>
            <w:webHidden/>
          </w:rPr>
          <w:fldChar w:fldCharType="end"/>
        </w:r>
      </w:hyperlink>
    </w:p>
    <w:p w:rsidR="00415716" w:rsidRPr="00EC25D6" w:rsidRDefault="001E473B" w:rsidP="00326032">
      <w:pPr>
        <w:pStyle w:val="10"/>
        <w:rPr>
          <w:noProof/>
          <w:szCs w:val="28"/>
          <w:lang w:bidi="th-TH"/>
        </w:rPr>
      </w:pPr>
      <w:hyperlink w:anchor="_Toc447194472" w:history="1">
        <w:r w:rsidR="00415716" w:rsidRPr="00EC25D6">
          <w:rPr>
            <w:rStyle w:val="af"/>
            <w:rFonts w:eastAsiaTheme="majorEastAsia"/>
            <w:noProof/>
            <w:color w:val="auto"/>
            <w:sz w:val="24"/>
          </w:rPr>
          <w:t>五、备查文件</w:t>
        </w:r>
        <w:r w:rsidR="00415716" w:rsidRPr="00EC25D6">
          <w:rPr>
            <w:noProof/>
            <w:webHidden/>
          </w:rPr>
          <w:tab/>
        </w:r>
        <w:r w:rsidRPr="00EC25D6">
          <w:rPr>
            <w:noProof/>
            <w:webHidden/>
          </w:rPr>
          <w:fldChar w:fldCharType="begin"/>
        </w:r>
        <w:r w:rsidR="00415716" w:rsidRPr="00EC25D6">
          <w:rPr>
            <w:noProof/>
            <w:webHidden/>
          </w:rPr>
          <w:instrText xml:space="preserve"> PAGEREF _Toc447194472 \h </w:instrText>
        </w:r>
        <w:r w:rsidRPr="00EC25D6">
          <w:rPr>
            <w:noProof/>
            <w:webHidden/>
          </w:rPr>
        </w:r>
        <w:r w:rsidRPr="00EC25D6">
          <w:rPr>
            <w:noProof/>
            <w:webHidden/>
          </w:rPr>
          <w:fldChar w:fldCharType="separate"/>
        </w:r>
        <w:r w:rsidR="00EC25D6">
          <w:rPr>
            <w:noProof/>
            <w:webHidden/>
          </w:rPr>
          <w:t>9</w:t>
        </w:r>
        <w:r w:rsidRPr="00EC25D6">
          <w:rPr>
            <w:noProof/>
            <w:webHidden/>
          </w:rPr>
          <w:fldChar w:fldCharType="end"/>
        </w:r>
      </w:hyperlink>
    </w:p>
    <w:p w:rsidR="002E2E3D" w:rsidRPr="00EC25D6" w:rsidRDefault="001E473B" w:rsidP="00A5019E">
      <w:pPr>
        <w:overflowPunct w:val="0"/>
        <w:rPr>
          <w:rFonts w:eastAsiaTheme="majorEastAsia"/>
          <w:sz w:val="28"/>
          <w:szCs w:val="28"/>
        </w:rPr>
      </w:pPr>
      <w:r w:rsidRPr="00EC25D6">
        <w:rPr>
          <w:rFonts w:eastAsiaTheme="majorEastAsia"/>
          <w:sz w:val="28"/>
          <w:szCs w:val="28"/>
        </w:rPr>
        <w:fldChar w:fldCharType="end"/>
      </w:r>
    </w:p>
    <w:p w:rsidR="002E2E3D" w:rsidRPr="00EC25D6" w:rsidRDefault="002E2E3D" w:rsidP="00A5019E">
      <w:pPr>
        <w:overflowPunct w:val="0"/>
        <w:rPr>
          <w:rFonts w:eastAsiaTheme="majorEastAsia"/>
          <w:sz w:val="28"/>
          <w:szCs w:val="28"/>
        </w:rPr>
      </w:pPr>
    </w:p>
    <w:p w:rsidR="002E2E3D" w:rsidRPr="00EC25D6" w:rsidRDefault="002E2E3D" w:rsidP="00A5019E">
      <w:pPr>
        <w:overflowPunct w:val="0"/>
        <w:rPr>
          <w:rFonts w:eastAsiaTheme="majorEastAsia"/>
          <w:sz w:val="28"/>
          <w:szCs w:val="28"/>
        </w:rPr>
      </w:pPr>
    </w:p>
    <w:p w:rsidR="002E2E3D" w:rsidRPr="00EC25D6" w:rsidRDefault="002E2E3D" w:rsidP="00A5019E">
      <w:pPr>
        <w:overflowPunct w:val="0"/>
        <w:rPr>
          <w:rFonts w:eastAsiaTheme="majorEastAsia"/>
          <w:sz w:val="28"/>
          <w:szCs w:val="28"/>
        </w:rPr>
      </w:pPr>
    </w:p>
    <w:p w:rsidR="002E2E3D" w:rsidRPr="00EC25D6" w:rsidRDefault="002E2E3D" w:rsidP="00A5019E">
      <w:pPr>
        <w:overflowPunct w:val="0"/>
        <w:rPr>
          <w:rFonts w:eastAsiaTheme="majorEastAsia"/>
          <w:sz w:val="28"/>
          <w:szCs w:val="28"/>
        </w:rPr>
      </w:pPr>
    </w:p>
    <w:p w:rsidR="0089481E" w:rsidRPr="00EC25D6" w:rsidRDefault="0089481E" w:rsidP="00A5019E">
      <w:pPr>
        <w:overflowPunct w:val="0"/>
        <w:rPr>
          <w:rFonts w:eastAsiaTheme="majorEastAsia"/>
          <w:sz w:val="28"/>
          <w:szCs w:val="28"/>
        </w:rPr>
      </w:pPr>
    </w:p>
    <w:p w:rsidR="00D21EC6" w:rsidRPr="00EC25D6" w:rsidRDefault="003E6510" w:rsidP="00A5019E">
      <w:pPr>
        <w:pStyle w:val="1"/>
        <w:overflowPunct w:val="0"/>
        <w:spacing w:before="100" w:after="100" w:line="360" w:lineRule="auto"/>
        <w:jc w:val="center"/>
        <w:rPr>
          <w:rStyle w:val="2CharCharChar"/>
          <w:rFonts w:ascii="Times New Roman" w:eastAsiaTheme="majorEastAsia" w:hAnsi="Times New Roman"/>
          <w:b/>
          <w:bCs w:val="0"/>
          <w:szCs w:val="24"/>
        </w:rPr>
      </w:pPr>
      <w:r w:rsidRPr="00EC25D6">
        <w:rPr>
          <w:rFonts w:eastAsiaTheme="majorEastAsia"/>
          <w:sz w:val="28"/>
          <w:szCs w:val="28"/>
        </w:rPr>
        <w:br w:type="page"/>
      </w:r>
      <w:bookmarkStart w:id="0" w:name="_Toc446416130"/>
      <w:bookmarkStart w:id="1" w:name="_Toc447180231"/>
      <w:bookmarkStart w:id="2" w:name="_Toc447194467"/>
      <w:r w:rsidR="00D21EC6" w:rsidRPr="00EC25D6">
        <w:rPr>
          <w:rStyle w:val="2CharCharChar"/>
          <w:rFonts w:ascii="Times New Roman" w:eastAsiaTheme="majorEastAsia" w:hAnsi="Times New Roman"/>
          <w:b/>
          <w:bCs w:val="0"/>
          <w:szCs w:val="24"/>
        </w:rPr>
        <w:lastRenderedPageBreak/>
        <w:t>重要提示</w:t>
      </w:r>
      <w:bookmarkEnd w:id="0"/>
      <w:bookmarkEnd w:id="1"/>
      <w:bookmarkEnd w:id="2"/>
    </w:p>
    <w:p w:rsidR="00E95515" w:rsidRPr="00EC25D6" w:rsidRDefault="00FC0208" w:rsidP="00A5019E">
      <w:pPr>
        <w:overflowPunct w:val="0"/>
        <w:autoSpaceDE w:val="0"/>
        <w:autoSpaceDN w:val="0"/>
        <w:snapToGrid w:val="0"/>
        <w:spacing w:line="360" w:lineRule="auto"/>
        <w:ind w:firstLineChars="200" w:firstLine="480"/>
        <w:rPr>
          <w:rFonts w:eastAsiaTheme="majorEastAsia"/>
          <w:sz w:val="24"/>
        </w:rPr>
      </w:pPr>
      <w:r w:rsidRPr="00EC25D6">
        <w:rPr>
          <w:sz w:val="24"/>
        </w:rPr>
        <w:t>华夏新锦顺灵活配置混合型证券投资基金</w:t>
      </w:r>
      <w:r w:rsidR="009854AD" w:rsidRPr="00EC25D6">
        <w:rPr>
          <w:rFonts w:eastAsiaTheme="majorEastAsia"/>
          <w:sz w:val="24"/>
        </w:rPr>
        <w:t>（以下简称</w:t>
      </w:r>
      <w:r w:rsidR="009854AD" w:rsidRPr="00EC25D6">
        <w:rPr>
          <w:rFonts w:eastAsiaTheme="majorEastAsia"/>
          <w:sz w:val="24"/>
        </w:rPr>
        <w:t>“</w:t>
      </w:r>
      <w:r w:rsidR="009854AD" w:rsidRPr="00EC25D6">
        <w:rPr>
          <w:rFonts w:eastAsiaTheme="majorEastAsia"/>
          <w:sz w:val="24"/>
        </w:rPr>
        <w:t>本基金</w:t>
      </w:r>
      <w:r w:rsidR="009854AD" w:rsidRPr="00EC25D6">
        <w:rPr>
          <w:rFonts w:eastAsiaTheme="majorEastAsia"/>
          <w:sz w:val="24"/>
        </w:rPr>
        <w:t>”</w:t>
      </w:r>
      <w:r w:rsidR="009854AD" w:rsidRPr="00EC25D6">
        <w:rPr>
          <w:rFonts w:eastAsiaTheme="majorEastAsia"/>
          <w:sz w:val="24"/>
        </w:rPr>
        <w:t>）</w:t>
      </w:r>
      <w:r w:rsidR="00D97ADD" w:rsidRPr="00EC25D6">
        <w:rPr>
          <w:rFonts w:eastAsiaTheme="majorEastAsia"/>
          <w:sz w:val="24"/>
        </w:rPr>
        <w:t>已</w:t>
      </w:r>
      <w:r w:rsidR="000177DA" w:rsidRPr="00EC25D6">
        <w:rPr>
          <w:rFonts w:eastAsiaTheme="majorEastAsia"/>
          <w:sz w:val="24"/>
        </w:rPr>
        <w:t>经</w:t>
      </w:r>
      <w:r w:rsidRPr="00EC25D6">
        <w:rPr>
          <w:rFonts w:eastAsiaTheme="majorEastAsia"/>
          <w:sz w:val="24"/>
        </w:rPr>
        <w:t>中国证监会</w:t>
      </w:r>
      <w:r w:rsidRPr="00EC25D6">
        <w:rPr>
          <w:rFonts w:eastAsiaTheme="majorEastAsia"/>
          <w:sz w:val="24"/>
        </w:rPr>
        <w:t>2016</w:t>
      </w:r>
      <w:r w:rsidRPr="00EC25D6">
        <w:rPr>
          <w:rFonts w:eastAsiaTheme="majorEastAsia"/>
          <w:sz w:val="24"/>
        </w:rPr>
        <w:t>年</w:t>
      </w:r>
      <w:r w:rsidRPr="00EC25D6">
        <w:rPr>
          <w:rFonts w:eastAsiaTheme="majorEastAsia"/>
          <w:sz w:val="24"/>
        </w:rPr>
        <w:t>11</w:t>
      </w:r>
      <w:r w:rsidRPr="00EC25D6">
        <w:rPr>
          <w:rFonts w:eastAsiaTheme="majorEastAsia"/>
          <w:sz w:val="24"/>
        </w:rPr>
        <w:t>月</w:t>
      </w:r>
      <w:r w:rsidRPr="00EC25D6">
        <w:rPr>
          <w:rFonts w:eastAsiaTheme="majorEastAsia"/>
          <w:sz w:val="24"/>
        </w:rPr>
        <w:t>23</w:t>
      </w:r>
      <w:r w:rsidRPr="00EC25D6">
        <w:rPr>
          <w:rFonts w:eastAsiaTheme="majorEastAsia"/>
          <w:sz w:val="24"/>
        </w:rPr>
        <w:t>日证监许可</w:t>
      </w:r>
      <w:r w:rsidRPr="00EC25D6">
        <w:rPr>
          <w:rFonts w:eastAsiaTheme="majorEastAsia"/>
          <w:sz w:val="24"/>
        </w:rPr>
        <w:t>[2016]2814</w:t>
      </w:r>
      <w:r w:rsidR="000177DA" w:rsidRPr="00EC25D6">
        <w:rPr>
          <w:rFonts w:eastAsiaTheme="majorEastAsia"/>
          <w:sz w:val="24"/>
        </w:rPr>
        <w:t>号文</w:t>
      </w:r>
      <w:r w:rsidR="00D97ADD" w:rsidRPr="00EC25D6">
        <w:rPr>
          <w:rFonts w:eastAsiaTheme="majorEastAsia"/>
          <w:sz w:val="24"/>
        </w:rPr>
        <w:t>准予注册</w:t>
      </w:r>
      <w:r w:rsidR="000177DA" w:rsidRPr="00EC25D6">
        <w:rPr>
          <w:rFonts w:eastAsiaTheme="majorEastAsia"/>
          <w:sz w:val="24"/>
        </w:rPr>
        <w:t>。本基金基金合同</w:t>
      </w:r>
      <w:r w:rsidR="00D97ADD" w:rsidRPr="00EC25D6">
        <w:rPr>
          <w:rFonts w:eastAsiaTheme="majorEastAsia"/>
          <w:sz w:val="24"/>
        </w:rPr>
        <w:t>自</w:t>
      </w:r>
      <w:r w:rsidRPr="00EC25D6">
        <w:rPr>
          <w:rFonts w:eastAsiaTheme="majorEastAsia"/>
          <w:sz w:val="24"/>
        </w:rPr>
        <w:t>2017</w:t>
      </w:r>
      <w:r w:rsidRPr="00EC25D6">
        <w:rPr>
          <w:rFonts w:eastAsiaTheme="majorEastAsia"/>
          <w:sz w:val="24"/>
        </w:rPr>
        <w:t>年</w:t>
      </w:r>
      <w:r w:rsidRPr="00EC25D6">
        <w:rPr>
          <w:rFonts w:eastAsiaTheme="majorEastAsia"/>
          <w:sz w:val="24"/>
        </w:rPr>
        <w:t>2</w:t>
      </w:r>
      <w:r w:rsidRPr="00EC25D6">
        <w:rPr>
          <w:rFonts w:eastAsiaTheme="majorEastAsia"/>
          <w:sz w:val="24"/>
        </w:rPr>
        <w:t>月</w:t>
      </w:r>
      <w:r w:rsidRPr="00EC25D6">
        <w:rPr>
          <w:rFonts w:eastAsiaTheme="majorEastAsia"/>
          <w:sz w:val="24"/>
        </w:rPr>
        <w:t>16</w:t>
      </w:r>
      <w:r w:rsidRPr="00EC25D6">
        <w:rPr>
          <w:rFonts w:eastAsiaTheme="majorEastAsia"/>
          <w:sz w:val="24"/>
        </w:rPr>
        <w:t>日</w:t>
      </w:r>
      <w:r w:rsidR="00D97ADD" w:rsidRPr="00EC25D6">
        <w:rPr>
          <w:rFonts w:eastAsiaTheme="majorEastAsia"/>
          <w:sz w:val="24"/>
        </w:rPr>
        <w:t>起</w:t>
      </w:r>
      <w:r w:rsidR="000177DA" w:rsidRPr="00EC25D6">
        <w:rPr>
          <w:rFonts w:eastAsiaTheme="majorEastAsia"/>
          <w:sz w:val="24"/>
        </w:rPr>
        <w:t>生效</w:t>
      </w:r>
      <w:r w:rsidR="00D97ADD" w:rsidRPr="00EC25D6">
        <w:rPr>
          <w:rFonts w:eastAsiaTheme="majorEastAsia"/>
          <w:sz w:val="24"/>
        </w:rPr>
        <w:t>，</w:t>
      </w:r>
      <w:r w:rsidR="00D605B8" w:rsidRPr="00EC25D6">
        <w:rPr>
          <w:rFonts w:eastAsiaTheme="majorEastAsia"/>
          <w:sz w:val="24"/>
        </w:rPr>
        <w:t>本基金</w:t>
      </w:r>
      <w:r w:rsidR="00691D6E" w:rsidRPr="00EC25D6">
        <w:rPr>
          <w:rFonts w:eastAsiaTheme="majorEastAsia"/>
          <w:sz w:val="24"/>
        </w:rPr>
        <w:t>基金管理人为华夏基金管理有限公司，基金托管人为</w:t>
      </w:r>
      <w:r w:rsidRPr="00EC25D6">
        <w:rPr>
          <w:rFonts w:eastAsiaTheme="majorEastAsia"/>
          <w:sz w:val="24"/>
        </w:rPr>
        <w:t>中国建设银行股份有限公司</w:t>
      </w:r>
      <w:r w:rsidR="00691D6E" w:rsidRPr="00EC25D6">
        <w:rPr>
          <w:rFonts w:eastAsiaTheme="majorEastAsia"/>
          <w:sz w:val="24"/>
        </w:rPr>
        <w:t>。</w:t>
      </w:r>
    </w:p>
    <w:p w:rsidR="00F211D0" w:rsidRPr="00EC25D6" w:rsidRDefault="00CD472C" w:rsidP="00A5019E">
      <w:pPr>
        <w:overflowPunct w:val="0"/>
        <w:autoSpaceDE w:val="0"/>
        <w:autoSpaceDN w:val="0"/>
        <w:snapToGrid w:val="0"/>
        <w:spacing w:line="360" w:lineRule="auto"/>
        <w:ind w:firstLineChars="200" w:firstLine="480"/>
        <w:rPr>
          <w:rFonts w:eastAsiaTheme="majorEastAsia"/>
          <w:sz w:val="24"/>
        </w:rPr>
      </w:pPr>
      <w:r w:rsidRPr="00EC25D6">
        <w:rPr>
          <w:rFonts w:eastAsiaTheme="majorEastAsia"/>
          <w:sz w:val="24"/>
        </w:rPr>
        <w:t>根据《中华人民共和国证券投资基金法》《公开募集证券投资基金运作管理办法》</w:t>
      </w:r>
      <w:r w:rsidR="00B750BD" w:rsidRPr="00EC25D6">
        <w:rPr>
          <w:rFonts w:eastAsiaTheme="majorEastAsia"/>
          <w:sz w:val="24"/>
        </w:rPr>
        <w:t>及</w:t>
      </w:r>
      <w:r w:rsidR="006626F1" w:rsidRPr="00EC25D6">
        <w:rPr>
          <w:rFonts w:eastAsiaTheme="majorEastAsia"/>
          <w:sz w:val="24"/>
        </w:rPr>
        <w:t>基金管理人于</w:t>
      </w:r>
      <w:r w:rsidR="00FC0208" w:rsidRPr="00EC25D6">
        <w:rPr>
          <w:rFonts w:eastAsiaTheme="majorEastAsia"/>
          <w:sz w:val="24"/>
        </w:rPr>
        <w:t>2024</w:t>
      </w:r>
      <w:r w:rsidR="00FC0208" w:rsidRPr="00EC25D6">
        <w:rPr>
          <w:rFonts w:eastAsiaTheme="majorEastAsia"/>
          <w:sz w:val="24"/>
        </w:rPr>
        <w:t>年</w:t>
      </w:r>
      <w:r w:rsidR="00FC0208" w:rsidRPr="00EC25D6">
        <w:rPr>
          <w:rFonts w:eastAsiaTheme="majorEastAsia"/>
          <w:sz w:val="24"/>
        </w:rPr>
        <w:t>12</w:t>
      </w:r>
      <w:r w:rsidR="00B750BD" w:rsidRPr="00EC25D6">
        <w:rPr>
          <w:rFonts w:eastAsiaTheme="majorEastAsia"/>
          <w:sz w:val="24"/>
        </w:rPr>
        <w:t>月</w:t>
      </w:r>
      <w:r w:rsidR="00FC0208" w:rsidRPr="00EC25D6">
        <w:rPr>
          <w:rFonts w:eastAsiaTheme="majorEastAsia"/>
          <w:sz w:val="24"/>
        </w:rPr>
        <w:t>18</w:t>
      </w:r>
      <w:r w:rsidR="00B750BD" w:rsidRPr="00EC25D6">
        <w:rPr>
          <w:rFonts w:eastAsiaTheme="majorEastAsia"/>
          <w:sz w:val="24"/>
        </w:rPr>
        <w:t>日发布的</w:t>
      </w:r>
      <w:r w:rsidR="00416CD8" w:rsidRPr="00EC25D6">
        <w:rPr>
          <w:rFonts w:eastAsiaTheme="majorEastAsia"/>
          <w:sz w:val="24"/>
        </w:rPr>
        <w:t>《</w:t>
      </w:r>
      <w:r w:rsidR="00FC0208" w:rsidRPr="00EC25D6">
        <w:rPr>
          <w:rFonts w:eastAsiaTheme="majorEastAsia"/>
          <w:sz w:val="24"/>
        </w:rPr>
        <w:t>华夏基金管理有限公司关于以通讯方式召开华夏新锦顺灵活配置混合型证券投资基金基金份额持有人大会的公告</w:t>
      </w:r>
      <w:r w:rsidR="00416CD8" w:rsidRPr="00EC25D6">
        <w:rPr>
          <w:rFonts w:eastAsiaTheme="majorEastAsia"/>
          <w:sz w:val="24"/>
        </w:rPr>
        <w:t>》，本基金</w:t>
      </w:r>
      <w:r w:rsidR="00FF4B23" w:rsidRPr="00EC25D6">
        <w:rPr>
          <w:rFonts w:eastAsiaTheme="majorEastAsia"/>
          <w:sz w:val="24"/>
        </w:rPr>
        <w:t>以</w:t>
      </w:r>
      <w:r w:rsidR="00416CD8" w:rsidRPr="00EC25D6">
        <w:rPr>
          <w:rFonts w:eastAsiaTheme="majorEastAsia"/>
          <w:sz w:val="24"/>
        </w:rPr>
        <w:t>通讯方式召开基金份额持有人大会</w:t>
      </w:r>
      <w:r w:rsidR="00ED2599" w:rsidRPr="00EC25D6">
        <w:rPr>
          <w:rFonts w:eastAsiaTheme="majorEastAsia"/>
          <w:sz w:val="24"/>
        </w:rPr>
        <w:t>，</w:t>
      </w:r>
      <w:r w:rsidR="00320E8E" w:rsidRPr="00EC25D6">
        <w:rPr>
          <w:rFonts w:eastAsiaTheme="majorEastAsia"/>
          <w:sz w:val="24"/>
        </w:rPr>
        <w:t>审议</w:t>
      </w:r>
      <w:r w:rsidR="00320E8E" w:rsidRPr="00EC25D6">
        <w:rPr>
          <w:rFonts w:eastAsiaTheme="majorEastAsia"/>
          <w:kern w:val="0"/>
          <w:sz w:val="24"/>
        </w:rPr>
        <w:t>《</w:t>
      </w:r>
      <w:r w:rsidR="00FC0208" w:rsidRPr="00EC25D6">
        <w:rPr>
          <w:sz w:val="24"/>
        </w:rPr>
        <w:t>关于华夏新锦顺灵活配置混合型证券投资基金终止基金合同相关事项的议案</w:t>
      </w:r>
      <w:r w:rsidR="00320E8E" w:rsidRPr="00EC25D6">
        <w:rPr>
          <w:rFonts w:eastAsiaTheme="majorEastAsia"/>
          <w:kern w:val="0"/>
          <w:sz w:val="24"/>
        </w:rPr>
        <w:t>》，上述议案</w:t>
      </w:r>
      <w:r w:rsidR="00416CD8" w:rsidRPr="00EC25D6">
        <w:rPr>
          <w:rFonts w:eastAsiaTheme="majorEastAsia"/>
          <w:sz w:val="24"/>
        </w:rPr>
        <w:t>于</w:t>
      </w:r>
      <w:r w:rsidR="00FC0208" w:rsidRPr="00EC25D6">
        <w:rPr>
          <w:sz w:val="24"/>
        </w:rPr>
        <w:t>2025</w:t>
      </w:r>
      <w:r w:rsidR="00FC0208" w:rsidRPr="00EC25D6">
        <w:rPr>
          <w:sz w:val="24"/>
        </w:rPr>
        <w:t>年</w:t>
      </w:r>
      <w:r w:rsidR="00FC0208" w:rsidRPr="00EC25D6">
        <w:rPr>
          <w:sz w:val="24"/>
        </w:rPr>
        <w:t>1</w:t>
      </w:r>
      <w:r w:rsidR="00FC0208" w:rsidRPr="00EC25D6">
        <w:rPr>
          <w:sz w:val="24"/>
        </w:rPr>
        <w:t>月</w:t>
      </w:r>
      <w:r w:rsidR="00FC0208" w:rsidRPr="00EC25D6">
        <w:rPr>
          <w:sz w:val="24"/>
        </w:rPr>
        <w:t>21</w:t>
      </w:r>
      <w:r w:rsidR="00FC0208" w:rsidRPr="00EC25D6">
        <w:rPr>
          <w:sz w:val="24"/>
        </w:rPr>
        <w:t>日</w:t>
      </w:r>
      <w:r w:rsidR="00204641" w:rsidRPr="00EC25D6">
        <w:rPr>
          <w:rFonts w:eastAsiaTheme="majorEastAsia"/>
          <w:sz w:val="24"/>
        </w:rPr>
        <w:t>获得</w:t>
      </w:r>
      <w:r w:rsidR="00416CD8" w:rsidRPr="00EC25D6">
        <w:rPr>
          <w:rFonts w:eastAsiaTheme="majorEastAsia"/>
          <w:sz w:val="24"/>
        </w:rPr>
        <w:t>通过</w:t>
      </w:r>
      <w:r w:rsidR="00204641" w:rsidRPr="00EC25D6">
        <w:rPr>
          <w:rFonts w:eastAsiaTheme="majorEastAsia"/>
          <w:sz w:val="24"/>
        </w:rPr>
        <w:t>，</w:t>
      </w:r>
      <w:r w:rsidR="00204641" w:rsidRPr="00EC25D6">
        <w:rPr>
          <w:rFonts w:eastAsiaTheme="majorEastAsia"/>
          <w:kern w:val="0"/>
          <w:sz w:val="24"/>
        </w:rPr>
        <w:t>持有人大会决议自</w:t>
      </w:r>
      <w:r w:rsidR="000140D6" w:rsidRPr="00EC25D6">
        <w:rPr>
          <w:rFonts w:eastAsiaTheme="majorEastAsia"/>
          <w:kern w:val="0"/>
          <w:sz w:val="24"/>
        </w:rPr>
        <w:t>同</w:t>
      </w:r>
      <w:r w:rsidR="00204641" w:rsidRPr="00EC25D6">
        <w:rPr>
          <w:rFonts w:eastAsiaTheme="majorEastAsia"/>
          <w:kern w:val="0"/>
          <w:sz w:val="24"/>
        </w:rPr>
        <w:t>日起生效</w:t>
      </w:r>
      <w:r w:rsidR="00416CD8" w:rsidRPr="00EC25D6">
        <w:rPr>
          <w:rFonts w:eastAsiaTheme="majorEastAsia"/>
          <w:sz w:val="24"/>
        </w:rPr>
        <w:t>。</w:t>
      </w:r>
      <w:r w:rsidR="006F5208" w:rsidRPr="00EC25D6">
        <w:rPr>
          <w:rFonts w:eastAsiaTheme="majorEastAsia"/>
          <w:sz w:val="24"/>
        </w:rPr>
        <w:t>根据</w:t>
      </w:r>
      <w:r w:rsidR="00634B2F" w:rsidRPr="00EC25D6">
        <w:rPr>
          <w:rFonts w:eastAsiaTheme="majorEastAsia"/>
          <w:sz w:val="24"/>
        </w:rPr>
        <w:t>基金管理人于</w:t>
      </w:r>
      <w:r w:rsidR="00FC0208" w:rsidRPr="00EC25D6">
        <w:rPr>
          <w:rFonts w:eastAsiaTheme="majorEastAsia"/>
          <w:sz w:val="24"/>
        </w:rPr>
        <w:t>2025</w:t>
      </w:r>
      <w:r w:rsidR="00634B2F" w:rsidRPr="00EC25D6">
        <w:rPr>
          <w:rFonts w:eastAsiaTheme="majorEastAsia"/>
          <w:sz w:val="24"/>
        </w:rPr>
        <w:t>年</w:t>
      </w:r>
      <w:r w:rsidR="00FC0592" w:rsidRPr="00EC25D6">
        <w:rPr>
          <w:rFonts w:eastAsiaTheme="majorEastAsia"/>
          <w:sz w:val="24"/>
        </w:rPr>
        <w:t>1</w:t>
      </w:r>
      <w:r w:rsidR="00634B2F" w:rsidRPr="00EC25D6">
        <w:rPr>
          <w:rFonts w:eastAsiaTheme="majorEastAsia"/>
          <w:sz w:val="24"/>
        </w:rPr>
        <w:t>月</w:t>
      </w:r>
      <w:r w:rsidR="00FC0208" w:rsidRPr="00EC25D6">
        <w:rPr>
          <w:rFonts w:eastAsiaTheme="majorEastAsia"/>
          <w:sz w:val="24"/>
        </w:rPr>
        <w:t>22</w:t>
      </w:r>
      <w:r w:rsidR="00634B2F" w:rsidRPr="00EC25D6">
        <w:rPr>
          <w:rFonts w:eastAsiaTheme="majorEastAsia"/>
          <w:sz w:val="24"/>
        </w:rPr>
        <w:t>日发布的</w:t>
      </w:r>
      <w:r w:rsidR="006F5208" w:rsidRPr="00EC25D6">
        <w:rPr>
          <w:rFonts w:eastAsiaTheme="majorEastAsia"/>
          <w:sz w:val="24"/>
        </w:rPr>
        <w:t>《</w:t>
      </w:r>
      <w:r w:rsidR="00FC0208" w:rsidRPr="00EC25D6">
        <w:rPr>
          <w:sz w:val="24"/>
        </w:rPr>
        <w:t>华夏新锦顺灵活配置混合型证券投资基金基金份额持有人大会表决结果暨决议生效公告</w:t>
      </w:r>
      <w:r w:rsidR="006F5208" w:rsidRPr="00EC25D6">
        <w:rPr>
          <w:rFonts w:eastAsiaTheme="majorEastAsia"/>
          <w:sz w:val="24"/>
        </w:rPr>
        <w:t>》</w:t>
      </w:r>
      <w:r w:rsidR="002D3798" w:rsidRPr="00EC25D6">
        <w:rPr>
          <w:rFonts w:eastAsiaTheme="majorEastAsia"/>
          <w:sz w:val="24"/>
        </w:rPr>
        <w:t>，</w:t>
      </w:r>
      <w:r w:rsidR="00416CD8" w:rsidRPr="00EC25D6">
        <w:rPr>
          <w:rFonts w:eastAsiaTheme="majorEastAsia"/>
          <w:kern w:val="0"/>
          <w:sz w:val="24"/>
        </w:rPr>
        <w:t>本基金以</w:t>
      </w:r>
      <w:r w:rsidR="00FC0208" w:rsidRPr="00EC25D6">
        <w:rPr>
          <w:sz w:val="24"/>
        </w:rPr>
        <w:t>2025</w:t>
      </w:r>
      <w:r w:rsidR="00FC0208" w:rsidRPr="00EC25D6">
        <w:rPr>
          <w:sz w:val="24"/>
        </w:rPr>
        <w:t>年</w:t>
      </w:r>
      <w:r w:rsidR="00FC0208" w:rsidRPr="00EC25D6">
        <w:rPr>
          <w:sz w:val="24"/>
        </w:rPr>
        <w:t>1</w:t>
      </w:r>
      <w:r w:rsidR="00FC0208" w:rsidRPr="00EC25D6">
        <w:rPr>
          <w:sz w:val="24"/>
        </w:rPr>
        <w:t>月</w:t>
      </w:r>
      <w:r w:rsidR="00FC0208" w:rsidRPr="00EC25D6">
        <w:rPr>
          <w:sz w:val="24"/>
        </w:rPr>
        <w:t>23</w:t>
      </w:r>
      <w:r w:rsidR="00FC0208" w:rsidRPr="00EC25D6">
        <w:rPr>
          <w:sz w:val="24"/>
        </w:rPr>
        <w:t>日</w:t>
      </w:r>
      <w:r w:rsidR="00416CD8" w:rsidRPr="00EC25D6">
        <w:rPr>
          <w:rFonts w:eastAsiaTheme="majorEastAsia"/>
          <w:sz w:val="24"/>
        </w:rPr>
        <w:t>为最后运作日，</w:t>
      </w:r>
      <w:r w:rsidR="00416CD8" w:rsidRPr="00EC25D6">
        <w:rPr>
          <w:rFonts w:eastAsiaTheme="majorEastAsia"/>
          <w:kern w:val="0"/>
          <w:sz w:val="24"/>
          <w:szCs w:val="21"/>
        </w:rPr>
        <w:t>自</w:t>
      </w:r>
      <w:r w:rsidR="00FC0208" w:rsidRPr="00EC25D6">
        <w:rPr>
          <w:color w:val="000000"/>
          <w:kern w:val="0"/>
          <w:sz w:val="24"/>
          <w:szCs w:val="21"/>
        </w:rPr>
        <w:t>2025</w:t>
      </w:r>
      <w:r w:rsidR="00FC0208" w:rsidRPr="00EC25D6">
        <w:rPr>
          <w:color w:val="000000"/>
          <w:kern w:val="0"/>
          <w:sz w:val="24"/>
          <w:szCs w:val="21"/>
        </w:rPr>
        <w:t>年</w:t>
      </w:r>
      <w:r w:rsidR="00FC0208" w:rsidRPr="00EC25D6">
        <w:rPr>
          <w:color w:val="000000"/>
          <w:kern w:val="0"/>
          <w:sz w:val="24"/>
          <w:szCs w:val="21"/>
        </w:rPr>
        <w:t>1</w:t>
      </w:r>
      <w:r w:rsidR="00FC0208" w:rsidRPr="00EC25D6">
        <w:rPr>
          <w:color w:val="000000"/>
          <w:kern w:val="0"/>
          <w:sz w:val="24"/>
          <w:szCs w:val="21"/>
        </w:rPr>
        <w:t>月</w:t>
      </w:r>
      <w:r w:rsidR="00FC0208" w:rsidRPr="00EC25D6">
        <w:rPr>
          <w:color w:val="000000"/>
          <w:kern w:val="0"/>
          <w:sz w:val="24"/>
          <w:szCs w:val="21"/>
        </w:rPr>
        <w:t>24</w:t>
      </w:r>
      <w:r w:rsidR="00FC0208" w:rsidRPr="00EC25D6">
        <w:rPr>
          <w:color w:val="000000"/>
          <w:kern w:val="0"/>
          <w:sz w:val="24"/>
          <w:szCs w:val="21"/>
        </w:rPr>
        <w:t>日</w:t>
      </w:r>
      <w:r w:rsidR="00416CD8" w:rsidRPr="00EC25D6">
        <w:rPr>
          <w:rFonts w:eastAsiaTheme="majorEastAsia"/>
          <w:kern w:val="0"/>
          <w:sz w:val="24"/>
          <w:szCs w:val="21"/>
        </w:rPr>
        <w:t>起，本基金进入基金财产清算程序。</w:t>
      </w:r>
    </w:p>
    <w:p w:rsidR="00E95515" w:rsidRPr="00EC25D6" w:rsidRDefault="000846F6" w:rsidP="00A5019E">
      <w:pPr>
        <w:overflowPunct w:val="0"/>
        <w:autoSpaceDE w:val="0"/>
        <w:autoSpaceDN w:val="0"/>
        <w:snapToGrid w:val="0"/>
        <w:spacing w:line="360" w:lineRule="auto"/>
        <w:ind w:firstLineChars="200" w:firstLine="480"/>
        <w:rPr>
          <w:rFonts w:eastAsiaTheme="majorEastAsia"/>
          <w:sz w:val="24"/>
        </w:rPr>
      </w:pPr>
      <w:r w:rsidRPr="00EC25D6">
        <w:rPr>
          <w:rFonts w:eastAsiaTheme="majorEastAsia"/>
          <w:sz w:val="24"/>
        </w:rPr>
        <w:t>基金管理人、基金托管人、</w:t>
      </w:r>
      <w:r w:rsidR="00117D39" w:rsidRPr="00EC25D6">
        <w:rPr>
          <w:rFonts w:eastAsiaTheme="majorEastAsia"/>
          <w:sz w:val="24"/>
        </w:rPr>
        <w:t>毕马威华振会计师事务所</w:t>
      </w:r>
      <w:r w:rsidR="00117D39" w:rsidRPr="00EC25D6">
        <w:rPr>
          <w:rFonts w:eastAsiaTheme="majorEastAsia"/>
          <w:sz w:val="24"/>
        </w:rPr>
        <w:t xml:space="preserve"> (</w:t>
      </w:r>
      <w:r w:rsidR="00117D39" w:rsidRPr="00EC25D6">
        <w:rPr>
          <w:rFonts w:eastAsiaTheme="majorEastAsia"/>
          <w:sz w:val="24"/>
        </w:rPr>
        <w:t>特殊普通合伙</w:t>
      </w:r>
      <w:r w:rsidR="00117D39" w:rsidRPr="00EC25D6">
        <w:rPr>
          <w:rFonts w:eastAsiaTheme="majorEastAsia"/>
          <w:sz w:val="24"/>
        </w:rPr>
        <w:t>)</w:t>
      </w:r>
      <w:r w:rsidRPr="00EC25D6">
        <w:rPr>
          <w:rFonts w:eastAsiaTheme="majorEastAsia"/>
          <w:sz w:val="24"/>
        </w:rPr>
        <w:t>和北京市天元律师事务所成立基金财产清算组履行基金财产清算程序，由</w:t>
      </w:r>
      <w:r w:rsidR="00117D39" w:rsidRPr="00EC25D6">
        <w:rPr>
          <w:rFonts w:eastAsiaTheme="majorEastAsia"/>
          <w:sz w:val="24"/>
        </w:rPr>
        <w:t>毕马威华振会计师事务所</w:t>
      </w:r>
      <w:r w:rsidR="00117D39" w:rsidRPr="00EC25D6">
        <w:rPr>
          <w:rFonts w:eastAsiaTheme="majorEastAsia"/>
          <w:sz w:val="24"/>
        </w:rPr>
        <w:t xml:space="preserve"> (</w:t>
      </w:r>
      <w:r w:rsidR="00117D39" w:rsidRPr="00EC25D6">
        <w:rPr>
          <w:rFonts w:eastAsiaTheme="majorEastAsia"/>
          <w:sz w:val="24"/>
        </w:rPr>
        <w:t>特殊普通合伙</w:t>
      </w:r>
      <w:r w:rsidR="00117D39" w:rsidRPr="00EC25D6">
        <w:rPr>
          <w:rFonts w:eastAsiaTheme="majorEastAsia"/>
          <w:sz w:val="24"/>
        </w:rPr>
        <w:t>)</w:t>
      </w:r>
      <w:r w:rsidRPr="00EC25D6">
        <w:rPr>
          <w:rFonts w:eastAsiaTheme="majorEastAsia"/>
          <w:sz w:val="24"/>
        </w:rPr>
        <w:t>对本基金进行清算审计，</w:t>
      </w:r>
      <w:r w:rsidR="00A2317C" w:rsidRPr="00EC25D6">
        <w:rPr>
          <w:rFonts w:eastAsiaTheme="majorEastAsia"/>
          <w:sz w:val="24"/>
        </w:rPr>
        <w:t>由</w:t>
      </w:r>
      <w:r w:rsidRPr="00EC25D6">
        <w:rPr>
          <w:rFonts w:eastAsiaTheme="majorEastAsia"/>
          <w:sz w:val="24"/>
        </w:rPr>
        <w:t>北京市天元律师事务所对清算事宜出具法律意见。</w:t>
      </w:r>
    </w:p>
    <w:p w:rsidR="00F60BB1" w:rsidRPr="00EC25D6" w:rsidRDefault="00415716"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3" w:name="_Toc447194468"/>
      <w:r w:rsidRPr="00EC25D6">
        <w:rPr>
          <w:rStyle w:val="2CharCharChar"/>
          <w:rFonts w:ascii="Times New Roman" w:eastAsiaTheme="majorEastAsia" w:hAnsi="Times New Roman"/>
          <w:b/>
          <w:szCs w:val="24"/>
        </w:rPr>
        <w:t>一、</w:t>
      </w:r>
      <w:r w:rsidRPr="00EC25D6">
        <w:rPr>
          <w:rStyle w:val="2CharCharChar"/>
          <w:rFonts w:ascii="Times New Roman" w:eastAsiaTheme="majorEastAsia" w:hAnsi="Times New Roman"/>
          <w:b/>
          <w:bCs w:val="0"/>
          <w:szCs w:val="24"/>
        </w:rPr>
        <w:t>基金概况</w:t>
      </w:r>
      <w:bookmarkEnd w:id="3"/>
    </w:p>
    <w:tbl>
      <w:tblPr>
        <w:tblW w:w="8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684"/>
        <w:gridCol w:w="2684"/>
      </w:tblGrid>
      <w:tr w:rsidR="00681391" w:rsidRPr="00EC25D6" w:rsidTr="00440C16">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基金名称</w:t>
            </w:r>
          </w:p>
        </w:tc>
        <w:tc>
          <w:tcPr>
            <w:tcW w:w="5368" w:type="dxa"/>
            <w:gridSpan w:val="2"/>
            <w:noWrap/>
            <w:vAlign w:val="center"/>
          </w:tcPr>
          <w:p w:rsidR="00F211D0" w:rsidRPr="00EC25D6" w:rsidRDefault="00833433" w:rsidP="00A5019E">
            <w:pPr>
              <w:overflowPunct w:val="0"/>
              <w:adjustRightInd w:val="0"/>
              <w:spacing w:before="29"/>
              <w:ind w:left="17"/>
              <w:rPr>
                <w:rFonts w:eastAsiaTheme="majorEastAsia"/>
                <w:kern w:val="0"/>
                <w:szCs w:val="21"/>
              </w:rPr>
            </w:pPr>
            <w:r w:rsidRPr="00EC25D6">
              <w:rPr>
                <w:rFonts w:eastAsiaTheme="majorEastAsia"/>
              </w:rPr>
              <w:t>华夏新锦顺灵活配置混合型证券投资基金</w:t>
            </w:r>
          </w:p>
        </w:tc>
      </w:tr>
      <w:tr w:rsidR="00681391" w:rsidRPr="00EC25D6" w:rsidTr="00440C16">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基金简称</w:t>
            </w:r>
          </w:p>
        </w:tc>
        <w:tc>
          <w:tcPr>
            <w:tcW w:w="5368" w:type="dxa"/>
            <w:gridSpan w:val="2"/>
            <w:noWrap/>
            <w:vAlign w:val="center"/>
          </w:tcPr>
          <w:p w:rsidR="00F211D0" w:rsidRPr="00EC25D6" w:rsidRDefault="00833433" w:rsidP="00A5019E">
            <w:pPr>
              <w:overflowPunct w:val="0"/>
              <w:adjustRightInd w:val="0"/>
              <w:spacing w:before="29"/>
              <w:ind w:left="17"/>
              <w:rPr>
                <w:rFonts w:eastAsiaTheme="majorEastAsia"/>
                <w:kern w:val="0"/>
                <w:szCs w:val="21"/>
              </w:rPr>
            </w:pPr>
            <w:r w:rsidRPr="00EC25D6">
              <w:t>华夏新锦顺混合</w:t>
            </w:r>
          </w:p>
        </w:tc>
      </w:tr>
      <w:tr w:rsidR="00681391" w:rsidRPr="00EC25D6" w:rsidTr="00440C16">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基金主代码</w:t>
            </w:r>
          </w:p>
        </w:tc>
        <w:tc>
          <w:tcPr>
            <w:tcW w:w="5368" w:type="dxa"/>
            <w:gridSpan w:val="2"/>
            <w:noWrap/>
            <w:vAlign w:val="center"/>
          </w:tcPr>
          <w:p w:rsidR="00F211D0" w:rsidRPr="00EC25D6" w:rsidRDefault="00833433" w:rsidP="00A5019E">
            <w:pPr>
              <w:overflowPunct w:val="0"/>
              <w:jc w:val="left"/>
              <w:rPr>
                <w:rFonts w:eastAsiaTheme="majorEastAsia"/>
                <w:szCs w:val="21"/>
              </w:rPr>
            </w:pPr>
            <w:r w:rsidRPr="00EC25D6">
              <w:t>004046</w:t>
            </w:r>
          </w:p>
        </w:tc>
      </w:tr>
      <w:tr w:rsidR="00681391" w:rsidRPr="00EC25D6" w:rsidTr="00440C16">
        <w:trPr>
          <w:trHeight w:val="379"/>
        </w:trPr>
        <w:tc>
          <w:tcPr>
            <w:tcW w:w="2835" w:type="dxa"/>
            <w:vMerge w:val="restart"/>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各份额类别简称及基金交易代码</w:t>
            </w:r>
          </w:p>
        </w:tc>
        <w:tc>
          <w:tcPr>
            <w:tcW w:w="2684" w:type="dxa"/>
            <w:noWrap/>
            <w:vAlign w:val="center"/>
          </w:tcPr>
          <w:p w:rsidR="00F211D0" w:rsidRPr="00EC25D6" w:rsidRDefault="00833433" w:rsidP="00A5019E">
            <w:pPr>
              <w:overflowPunct w:val="0"/>
              <w:jc w:val="left"/>
              <w:rPr>
                <w:rFonts w:eastAsiaTheme="majorEastAsia"/>
                <w:szCs w:val="21"/>
              </w:rPr>
            </w:pPr>
            <w:r w:rsidRPr="00EC25D6">
              <w:rPr>
                <w:rFonts w:eastAsiaTheme="majorEastAsia"/>
                <w:szCs w:val="21"/>
              </w:rPr>
              <w:t>华夏新锦顺混合</w:t>
            </w:r>
            <w:r w:rsidR="007E2D3A" w:rsidRPr="00EC25D6">
              <w:rPr>
                <w:rFonts w:eastAsiaTheme="majorEastAsia"/>
                <w:szCs w:val="21"/>
              </w:rPr>
              <w:t xml:space="preserve"> A</w:t>
            </w:r>
          </w:p>
        </w:tc>
        <w:tc>
          <w:tcPr>
            <w:tcW w:w="2684" w:type="dxa"/>
            <w:vAlign w:val="center"/>
          </w:tcPr>
          <w:p w:rsidR="00F211D0" w:rsidRPr="00EC25D6" w:rsidRDefault="00833433" w:rsidP="00A5019E">
            <w:pPr>
              <w:overflowPunct w:val="0"/>
              <w:jc w:val="left"/>
              <w:rPr>
                <w:rFonts w:eastAsiaTheme="majorEastAsia"/>
                <w:szCs w:val="21"/>
              </w:rPr>
            </w:pPr>
            <w:r w:rsidRPr="00EC25D6">
              <w:t>华夏新锦顺混合</w:t>
            </w:r>
            <w:r w:rsidR="007E2D3A" w:rsidRPr="00EC25D6">
              <w:t xml:space="preserve"> C</w:t>
            </w:r>
          </w:p>
        </w:tc>
      </w:tr>
      <w:tr w:rsidR="00681391" w:rsidRPr="00EC25D6" w:rsidTr="00440C16">
        <w:trPr>
          <w:trHeight w:val="379"/>
        </w:trPr>
        <w:tc>
          <w:tcPr>
            <w:tcW w:w="2835" w:type="dxa"/>
            <w:vMerge/>
            <w:vAlign w:val="center"/>
          </w:tcPr>
          <w:p w:rsidR="00F211D0" w:rsidRPr="00EC25D6" w:rsidRDefault="00F211D0" w:rsidP="00A5019E">
            <w:pPr>
              <w:pStyle w:val="14"/>
              <w:overflowPunct w:val="0"/>
              <w:rPr>
                <w:rFonts w:eastAsiaTheme="majorEastAsia"/>
                <w:szCs w:val="21"/>
              </w:rPr>
            </w:pPr>
          </w:p>
        </w:tc>
        <w:tc>
          <w:tcPr>
            <w:tcW w:w="2684" w:type="dxa"/>
            <w:noWrap/>
            <w:vAlign w:val="center"/>
          </w:tcPr>
          <w:p w:rsidR="00F211D0" w:rsidRPr="00EC25D6" w:rsidRDefault="00833433" w:rsidP="00A5019E">
            <w:pPr>
              <w:overflowPunct w:val="0"/>
              <w:rPr>
                <w:rFonts w:eastAsiaTheme="majorEastAsia"/>
                <w:szCs w:val="21"/>
              </w:rPr>
            </w:pPr>
            <w:r w:rsidRPr="00EC25D6">
              <w:t>004046</w:t>
            </w:r>
          </w:p>
        </w:tc>
        <w:tc>
          <w:tcPr>
            <w:tcW w:w="2684" w:type="dxa"/>
            <w:vAlign w:val="center"/>
          </w:tcPr>
          <w:p w:rsidR="00F211D0" w:rsidRPr="00EC25D6" w:rsidRDefault="00833433" w:rsidP="00A5019E">
            <w:pPr>
              <w:overflowPunct w:val="0"/>
              <w:rPr>
                <w:rFonts w:eastAsiaTheme="majorEastAsia"/>
                <w:szCs w:val="21"/>
              </w:rPr>
            </w:pPr>
            <w:r w:rsidRPr="00EC25D6">
              <w:t>004047</w:t>
            </w:r>
          </w:p>
        </w:tc>
      </w:tr>
      <w:tr w:rsidR="00681391" w:rsidRPr="00EC25D6" w:rsidTr="00FA18FB">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基金运作方式</w:t>
            </w:r>
          </w:p>
        </w:tc>
        <w:tc>
          <w:tcPr>
            <w:tcW w:w="5368" w:type="dxa"/>
            <w:gridSpan w:val="2"/>
            <w:noWrap/>
            <w:vAlign w:val="center"/>
          </w:tcPr>
          <w:p w:rsidR="00F211D0" w:rsidRPr="00EC25D6" w:rsidRDefault="00CD472C" w:rsidP="00A5019E">
            <w:pPr>
              <w:pStyle w:val="14"/>
              <w:overflowPunct w:val="0"/>
              <w:rPr>
                <w:rFonts w:eastAsiaTheme="majorEastAsia"/>
                <w:szCs w:val="21"/>
              </w:rPr>
            </w:pPr>
            <w:r w:rsidRPr="00EC25D6">
              <w:rPr>
                <w:rFonts w:eastAsiaTheme="majorEastAsia"/>
                <w:szCs w:val="21"/>
              </w:rPr>
              <w:t>契约型开放式</w:t>
            </w:r>
          </w:p>
        </w:tc>
      </w:tr>
      <w:tr w:rsidR="00681391" w:rsidRPr="00EC25D6" w:rsidTr="00FA18FB">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基金合同生效日</w:t>
            </w:r>
          </w:p>
        </w:tc>
        <w:tc>
          <w:tcPr>
            <w:tcW w:w="5368" w:type="dxa"/>
            <w:gridSpan w:val="2"/>
            <w:noWrap/>
            <w:vAlign w:val="center"/>
          </w:tcPr>
          <w:p w:rsidR="00F211D0" w:rsidRPr="00EC25D6" w:rsidRDefault="00833433" w:rsidP="00A5019E">
            <w:pPr>
              <w:pStyle w:val="14"/>
              <w:overflowPunct w:val="0"/>
              <w:rPr>
                <w:rFonts w:eastAsiaTheme="majorEastAsia"/>
                <w:szCs w:val="21"/>
              </w:rPr>
            </w:pPr>
            <w:r w:rsidRPr="00EC25D6">
              <w:rPr>
                <w:rFonts w:eastAsiaTheme="majorEastAsia"/>
              </w:rPr>
              <w:t>2017</w:t>
            </w:r>
            <w:r w:rsidRPr="00EC25D6">
              <w:rPr>
                <w:rFonts w:eastAsiaTheme="majorEastAsia"/>
              </w:rPr>
              <w:t>年</w:t>
            </w:r>
            <w:r w:rsidRPr="00EC25D6">
              <w:rPr>
                <w:rFonts w:eastAsiaTheme="majorEastAsia"/>
              </w:rPr>
              <w:t>2</w:t>
            </w:r>
            <w:r w:rsidRPr="00EC25D6">
              <w:rPr>
                <w:rFonts w:eastAsiaTheme="majorEastAsia"/>
              </w:rPr>
              <w:t>月</w:t>
            </w:r>
            <w:r w:rsidRPr="00EC25D6">
              <w:rPr>
                <w:rFonts w:eastAsiaTheme="majorEastAsia"/>
              </w:rPr>
              <w:t>16</w:t>
            </w:r>
            <w:r w:rsidRPr="00EC25D6">
              <w:rPr>
                <w:rFonts w:eastAsiaTheme="majorEastAsia"/>
              </w:rPr>
              <w:t>日</w:t>
            </w:r>
          </w:p>
        </w:tc>
      </w:tr>
      <w:tr w:rsidR="00681391" w:rsidRPr="00EC25D6" w:rsidTr="00FA18FB">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基金管理人</w:t>
            </w:r>
          </w:p>
        </w:tc>
        <w:tc>
          <w:tcPr>
            <w:tcW w:w="5368" w:type="dxa"/>
            <w:gridSpan w:val="2"/>
            <w:noWrap/>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华夏基金管理有限公司</w:t>
            </w:r>
          </w:p>
        </w:tc>
      </w:tr>
      <w:tr w:rsidR="00681391" w:rsidRPr="00EC25D6" w:rsidTr="00FA18FB">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基金托管人</w:t>
            </w:r>
          </w:p>
        </w:tc>
        <w:tc>
          <w:tcPr>
            <w:tcW w:w="5368" w:type="dxa"/>
            <w:gridSpan w:val="2"/>
            <w:noWrap/>
            <w:vAlign w:val="center"/>
          </w:tcPr>
          <w:p w:rsidR="00F211D0" w:rsidRPr="00EC25D6" w:rsidRDefault="00833433" w:rsidP="00A5019E">
            <w:pPr>
              <w:overflowPunct w:val="0"/>
              <w:adjustRightInd w:val="0"/>
              <w:spacing w:before="29"/>
              <w:ind w:left="17"/>
              <w:rPr>
                <w:rFonts w:eastAsiaTheme="majorEastAsia"/>
                <w:szCs w:val="21"/>
              </w:rPr>
            </w:pPr>
            <w:r w:rsidRPr="00EC25D6">
              <w:t>中国建设银行股份有限公司</w:t>
            </w:r>
          </w:p>
        </w:tc>
      </w:tr>
      <w:tr w:rsidR="00681391" w:rsidRPr="00EC25D6" w:rsidTr="00FA18FB">
        <w:trPr>
          <w:trHeight w:val="379"/>
        </w:trPr>
        <w:tc>
          <w:tcPr>
            <w:tcW w:w="2835" w:type="dxa"/>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注册登记机构</w:t>
            </w:r>
          </w:p>
        </w:tc>
        <w:tc>
          <w:tcPr>
            <w:tcW w:w="5368" w:type="dxa"/>
            <w:gridSpan w:val="2"/>
            <w:noWrap/>
            <w:vAlign w:val="center"/>
          </w:tcPr>
          <w:p w:rsidR="00F211D0" w:rsidRPr="00EC25D6" w:rsidRDefault="00F211D0" w:rsidP="00A5019E">
            <w:pPr>
              <w:pStyle w:val="14"/>
              <w:overflowPunct w:val="0"/>
              <w:rPr>
                <w:rFonts w:eastAsiaTheme="majorEastAsia"/>
                <w:szCs w:val="21"/>
              </w:rPr>
            </w:pPr>
            <w:r w:rsidRPr="00EC25D6">
              <w:rPr>
                <w:rFonts w:eastAsiaTheme="majorEastAsia"/>
                <w:szCs w:val="21"/>
              </w:rPr>
              <w:t>华夏基金管理有限公司</w:t>
            </w:r>
          </w:p>
        </w:tc>
      </w:tr>
    </w:tbl>
    <w:p w:rsidR="003240A9" w:rsidRPr="00EC25D6" w:rsidRDefault="008079B9"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4" w:name="_Toc447194469"/>
      <w:r w:rsidRPr="00EC25D6">
        <w:rPr>
          <w:rStyle w:val="2CharCharChar"/>
          <w:rFonts w:ascii="Times New Roman" w:eastAsiaTheme="majorEastAsia" w:hAnsi="Times New Roman"/>
          <w:b/>
          <w:bCs w:val="0"/>
          <w:szCs w:val="24"/>
        </w:rPr>
        <w:t>二</w:t>
      </w:r>
      <w:r w:rsidR="00593F87" w:rsidRPr="00EC25D6">
        <w:rPr>
          <w:rStyle w:val="2CharCharChar"/>
          <w:rFonts w:ascii="Times New Roman" w:eastAsiaTheme="majorEastAsia" w:hAnsi="Times New Roman"/>
          <w:b/>
          <w:bCs w:val="0"/>
          <w:szCs w:val="24"/>
        </w:rPr>
        <w:t>、基金运作情况</w:t>
      </w:r>
      <w:bookmarkEnd w:id="4"/>
    </w:p>
    <w:p w:rsidR="009D1B85" w:rsidRPr="00EC25D6" w:rsidRDefault="00FC0208" w:rsidP="009D1B85">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cs="Times New Roman"/>
        </w:rPr>
        <w:t>华夏新锦顺灵活配置混合型证券投资基金</w:t>
      </w:r>
      <w:r w:rsidR="00A5062F" w:rsidRPr="00EC25D6">
        <w:rPr>
          <w:rFonts w:ascii="Times New Roman" w:eastAsiaTheme="majorEastAsia" w:cs="Times New Roman"/>
          <w:color w:val="auto"/>
        </w:rPr>
        <w:t>（以下简称</w:t>
      </w:r>
      <w:r w:rsidR="00A5062F" w:rsidRPr="00EC25D6">
        <w:rPr>
          <w:rFonts w:ascii="Times New Roman" w:eastAsiaTheme="majorEastAsia" w:cs="Times New Roman"/>
          <w:color w:val="auto"/>
        </w:rPr>
        <w:t>“</w:t>
      </w:r>
      <w:r w:rsidR="00A5062F" w:rsidRPr="00EC25D6">
        <w:rPr>
          <w:rFonts w:ascii="Times New Roman" w:eastAsiaTheme="majorEastAsia" w:cs="Times New Roman"/>
          <w:color w:val="auto"/>
        </w:rPr>
        <w:t>本基金</w:t>
      </w:r>
      <w:r w:rsidR="00A5062F" w:rsidRPr="00EC25D6">
        <w:rPr>
          <w:rFonts w:ascii="Times New Roman" w:eastAsiaTheme="majorEastAsia" w:cs="Times New Roman"/>
          <w:color w:val="auto"/>
        </w:rPr>
        <w:t>”</w:t>
      </w:r>
      <w:r w:rsidR="00A5062F" w:rsidRPr="00EC25D6">
        <w:rPr>
          <w:rFonts w:ascii="Times New Roman" w:eastAsiaTheme="majorEastAsia" w:cs="Times New Roman"/>
          <w:color w:val="auto"/>
        </w:rPr>
        <w:t>）</w:t>
      </w:r>
      <w:r w:rsidR="00D97ADD" w:rsidRPr="00EC25D6">
        <w:rPr>
          <w:rFonts w:ascii="Times New Roman" w:eastAsiaTheme="majorEastAsia" w:cs="Times New Roman"/>
        </w:rPr>
        <w:t>已经</w:t>
      </w:r>
      <w:r w:rsidRPr="00EC25D6">
        <w:rPr>
          <w:rFonts w:ascii="Times New Roman" w:eastAsiaTheme="majorEastAsia" w:cs="Times New Roman"/>
        </w:rPr>
        <w:t>中国证监会</w:t>
      </w:r>
      <w:r w:rsidRPr="00EC25D6">
        <w:rPr>
          <w:rFonts w:ascii="Times New Roman" w:eastAsiaTheme="majorEastAsia" w:cs="Times New Roman"/>
        </w:rPr>
        <w:t>2016</w:t>
      </w:r>
      <w:r w:rsidRPr="00EC25D6">
        <w:rPr>
          <w:rFonts w:ascii="Times New Roman" w:eastAsiaTheme="majorEastAsia" w:cs="Times New Roman"/>
        </w:rPr>
        <w:t>年</w:t>
      </w:r>
      <w:r w:rsidRPr="00EC25D6">
        <w:rPr>
          <w:rFonts w:ascii="Times New Roman" w:eastAsiaTheme="majorEastAsia" w:cs="Times New Roman"/>
        </w:rPr>
        <w:t>11</w:t>
      </w:r>
      <w:r w:rsidRPr="00EC25D6">
        <w:rPr>
          <w:rFonts w:ascii="Times New Roman" w:eastAsiaTheme="majorEastAsia" w:cs="Times New Roman"/>
        </w:rPr>
        <w:t>月</w:t>
      </w:r>
      <w:r w:rsidRPr="00EC25D6">
        <w:rPr>
          <w:rFonts w:ascii="Times New Roman" w:eastAsiaTheme="majorEastAsia" w:cs="Times New Roman"/>
        </w:rPr>
        <w:t>23</w:t>
      </w:r>
      <w:r w:rsidRPr="00EC25D6">
        <w:rPr>
          <w:rFonts w:ascii="Times New Roman" w:eastAsiaTheme="majorEastAsia" w:cs="Times New Roman"/>
        </w:rPr>
        <w:t>日证监许可</w:t>
      </w:r>
      <w:r w:rsidRPr="00EC25D6">
        <w:rPr>
          <w:rFonts w:ascii="Times New Roman" w:eastAsiaTheme="majorEastAsia" w:cs="Times New Roman"/>
        </w:rPr>
        <w:t>[2016]2814</w:t>
      </w:r>
      <w:r w:rsidR="007E2D3A" w:rsidRPr="00EC25D6">
        <w:rPr>
          <w:rFonts w:ascii="Times New Roman" w:cs="Times New Roman"/>
        </w:rPr>
        <w:t>号文</w:t>
      </w:r>
      <w:r w:rsidR="00D97ADD" w:rsidRPr="00EC25D6">
        <w:rPr>
          <w:rFonts w:ascii="Times New Roman" w:eastAsiaTheme="majorEastAsia" w:cs="Times New Roman"/>
        </w:rPr>
        <w:t>准予注册</w:t>
      </w:r>
      <w:r w:rsidR="007E2D3A" w:rsidRPr="00EC25D6">
        <w:rPr>
          <w:rFonts w:ascii="Times New Roman" w:cs="Times New Roman"/>
        </w:rPr>
        <w:t>。</w:t>
      </w:r>
      <w:r w:rsidR="00D97ADD" w:rsidRPr="00EC25D6">
        <w:rPr>
          <w:rFonts w:ascii="Times New Roman" w:eastAsiaTheme="majorEastAsia" w:cs="Times New Roman"/>
        </w:rPr>
        <w:t>本基金基金合同自</w:t>
      </w:r>
      <w:r w:rsidRPr="00EC25D6">
        <w:rPr>
          <w:rFonts w:ascii="Times New Roman" w:eastAsiaTheme="majorEastAsia" w:cs="Times New Roman"/>
          <w:kern w:val="2"/>
        </w:rPr>
        <w:t>2017</w:t>
      </w:r>
      <w:r w:rsidRPr="00EC25D6">
        <w:rPr>
          <w:rFonts w:ascii="Times New Roman" w:eastAsiaTheme="majorEastAsia" w:cs="Times New Roman"/>
          <w:kern w:val="2"/>
        </w:rPr>
        <w:t>年</w:t>
      </w:r>
      <w:r w:rsidRPr="00EC25D6">
        <w:rPr>
          <w:rFonts w:ascii="Times New Roman" w:eastAsiaTheme="majorEastAsia" w:cs="Times New Roman"/>
          <w:kern w:val="2"/>
        </w:rPr>
        <w:t>2</w:t>
      </w:r>
      <w:r w:rsidRPr="00EC25D6">
        <w:rPr>
          <w:rFonts w:ascii="Times New Roman" w:eastAsiaTheme="majorEastAsia" w:cs="Times New Roman"/>
          <w:kern w:val="2"/>
        </w:rPr>
        <w:t>月</w:t>
      </w:r>
      <w:r w:rsidRPr="00EC25D6">
        <w:rPr>
          <w:rFonts w:ascii="Times New Roman" w:eastAsiaTheme="majorEastAsia" w:cs="Times New Roman"/>
          <w:kern w:val="2"/>
        </w:rPr>
        <w:t>16</w:t>
      </w:r>
      <w:r w:rsidRPr="00EC25D6">
        <w:rPr>
          <w:rFonts w:ascii="Times New Roman" w:eastAsiaTheme="majorEastAsia" w:cs="Times New Roman"/>
          <w:kern w:val="2"/>
        </w:rPr>
        <w:t>日</w:t>
      </w:r>
      <w:r w:rsidR="00D97ADD" w:rsidRPr="00EC25D6">
        <w:rPr>
          <w:rFonts w:ascii="Times New Roman" w:eastAsiaTheme="majorEastAsia" w:cs="Times New Roman"/>
        </w:rPr>
        <w:t>起生效</w:t>
      </w:r>
      <w:r w:rsidR="007E2D3A" w:rsidRPr="00EC25D6">
        <w:rPr>
          <w:rFonts w:ascii="Times New Roman" w:cs="Times New Roman"/>
        </w:rPr>
        <w:t>。</w:t>
      </w:r>
    </w:p>
    <w:p w:rsidR="00414EA8" w:rsidRPr="00EC25D6" w:rsidRDefault="005C4B7E" w:rsidP="00A5019E">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根据《中华人民共和国证券投资基金法》《公开募集证券投资基金运作管理办法》及基金管理人于</w:t>
      </w:r>
      <w:r w:rsidR="00FC0208" w:rsidRPr="00EC25D6">
        <w:rPr>
          <w:rFonts w:ascii="Times New Roman" w:eastAsiaTheme="majorEastAsia" w:cs="Times New Roman"/>
          <w:color w:val="auto"/>
        </w:rPr>
        <w:t>2024</w:t>
      </w:r>
      <w:r w:rsidR="00FC0208" w:rsidRPr="00EC25D6">
        <w:rPr>
          <w:rFonts w:ascii="Times New Roman" w:eastAsiaTheme="majorEastAsia" w:cs="Times New Roman"/>
          <w:color w:val="auto"/>
        </w:rPr>
        <w:t>年</w:t>
      </w:r>
      <w:r w:rsidR="00FC0208" w:rsidRPr="00EC25D6">
        <w:rPr>
          <w:rFonts w:ascii="Times New Roman" w:eastAsiaTheme="majorEastAsia" w:cs="Times New Roman"/>
          <w:color w:val="auto"/>
        </w:rPr>
        <w:t>12</w:t>
      </w:r>
      <w:r w:rsidRPr="00EC25D6">
        <w:rPr>
          <w:rFonts w:ascii="Times New Roman" w:eastAsiaTheme="majorEastAsia" w:cs="Times New Roman"/>
          <w:color w:val="auto"/>
        </w:rPr>
        <w:t>月</w:t>
      </w:r>
      <w:r w:rsidR="00FC0208" w:rsidRPr="00EC25D6">
        <w:rPr>
          <w:rFonts w:ascii="Times New Roman" w:eastAsiaTheme="majorEastAsia" w:cs="Times New Roman"/>
          <w:color w:val="auto"/>
        </w:rPr>
        <w:t>18</w:t>
      </w:r>
      <w:r w:rsidRPr="00EC25D6">
        <w:rPr>
          <w:rFonts w:ascii="Times New Roman" w:eastAsiaTheme="majorEastAsia" w:cs="Times New Roman"/>
          <w:color w:val="auto"/>
        </w:rPr>
        <w:t>日发布的《</w:t>
      </w:r>
      <w:r w:rsidR="00FC0208" w:rsidRPr="00EC25D6">
        <w:rPr>
          <w:rFonts w:ascii="Times New Roman" w:eastAsiaTheme="majorEastAsia" w:cs="Times New Roman"/>
        </w:rPr>
        <w:t>华夏基金管理有限公司关于以通讯方式召开华夏新锦顺灵活配置混合型证券投资基金基金份额持有人大会的公告</w:t>
      </w:r>
      <w:r w:rsidRPr="00EC25D6">
        <w:rPr>
          <w:rFonts w:ascii="Times New Roman" w:eastAsiaTheme="majorEastAsia" w:cs="Times New Roman"/>
          <w:color w:val="auto"/>
        </w:rPr>
        <w:t>》，本基金以通讯方式召开基金份额持有人大会，审议《</w:t>
      </w:r>
      <w:r w:rsidR="00FC0208" w:rsidRPr="00EC25D6">
        <w:rPr>
          <w:rFonts w:ascii="Times New Roman" w:cs="Times New Roman"/>
        </w:rPr>
        <w:t>关于华夏新锦顺灵活配置混合型证券投资基金终止基金合同相关事项的议案</w:t>
      </w:r>
      <w:r w:rsidRPr="00EC25D6">
        <w:rPr>
          <w:rFonts w:ascii="Times New Roman" w:eastAsiaTheme="majorEastAsia" w:cs="Times New Roman"/>
          <w:color w:val="auto"/>
        </w:rPr>
        <w:t>》，上述议案于</w:t>
      </w:r>
      <w:r w:rsidR="00FC0208" w:rsidRPr="00EC25D6">
        <w:rPr>
          <w:rFonts w:ascii="Times New Roman" w:cs="Times New Roman"/>
        </w:rPr>
        <w:t>2025</w:t>
      </w:r>
      <w:r w:rsidR="00FC0208" w:rsidRPr="00EC25D6">
        <w:rPr>
          <w:rFonts w:ascii="Times New Roman" w:cs="Times New Roman"/>
        </w:rPr>
        <w:t>年</w:t>
      </w:r>
      <w:r w:rsidR="00FC0208" w:rsidRPr="00EC25D6">
        <w:rPr>
          <w:rFonts w:ascii="Times New Roman" w:cs="Times New Roman"/>
        </w:rPr>
        <w:t>1</w:t>
      </w:r>
      <w:r w:rsidR="00FC0208" w:rsidRPr="00EC25D6">
        <w:rPr>
          <w:rFonts w:ascii="Times New Roman" w:cs="Times New Roman"/>
        </w:rPr>
        <w:t>月</w:t>
      </w:r>
      <w:r w:rsidR="00FC0208" w:rsidRPr="00EC25D6">
        <w:rPr>
          <w:rFonts w:ascii="Times New Roman" w:cs="Times New Roman"/>
        </w:rPr>
        <w:t>21</w:t>
      </w:r>
      <w:r w:rsidR="00FC0208" w:rsidRPr="00EC25D6">
        <w:rPr>
          <w:rFonts w:ascii="Times New Roman" w:cs="Times New Roman"/>
        </w:rPr>
        <w:t>日</w:t>
      </w:r>
      <w:r w:rsidRPr="00EC25D6">
        <w:rPr>
          <w:rFonts w:ascii="Times New Roman" w:eastAsiaTheme="majorEastAsia" w:cs="Times New Roman"/>
          <w:color w:val="auto"/>
        </w:rPr>
        <w:t>获得通过，持有人大会决议自同日起生效。根据基金管理人于</w:t>
      </w:r>
      <w:r w:rsidR="00FC0208" w:rsidRPr="00EC25D6">
        <w:rPr>
          <w:rFonts w:ascii="Times New Roman" w:eastAsiaTheme="majorEastAsia" w:cs="Times New Roman"/>
          <w:color w:val="auto"/>
        </w:rPr>
        <w:t>2025</w:t>
      </w:r>
      <w:r w:rsidRPr="00EC25D6">
        <w:rPr>
          <w:rFonts w:ascii="Times New Roman" w:eastAsiaTheme="majorEastAsia" w:cs="Times New Roman"/>
          <w:color w:val="auto"/>
        </w:rPr>
        <w:t>年</w:t>
      </w:r>
      <w:r w:rsidR="00FC0592" w:rsidRPr="00EC25D6">
        <w:rPr>
          <w:rFonts w:ascii="Times New Roman" w:eastAsiaTheme="majorEastAsia" w:cs="Times New Roman"/>
          <w:color w:val="auto"/>
        </w:rPr>
        <w:t>1</w:t>
      </w:r>
      <w:r w:rsidRPr="00EC25D6">
        <w:rPr>
          <w:rFonts w:ascii="Times New Roman" w:eastAsiaTheme="majorEastAsia" w:cs="Times New Roman"/>
          <w:color w:val="auto"/>
        </w:rPr>
        <w:t>月</w:t>
      </w:r>
      <w:r w:rsidR="00FC0208" w:rsidRPr="00EC25D6">
        <w:rPr>
          <w:rFonts w:ascii="Times New Roman" w:eastAsiaTheme="majorEastAsia" w:cs="Times New Roman"/>
          <w:color w:val="auto"/>
        </w:rPr>
        <w:t>22</w:t>
      </w:r>
      <w:r w:rsidRPr="00EC25D6">
        <w:rPr>
          <w:rFonts w:ascii="Times New Roman" w:eastAsiaTheme="majorEastAsia" w:cs="Times New Roman"/>
          <w:color w:val="auto"/>
        </w:rPr>
        <w:t>日发布的《</w:t>
      </w:r>
      <w:r w:rsidR="00FC0208" w:rsidRPr="00EC25D6">
        <w:rPr>
          <w:rFonts w:ascii="Times New Roman" w:cs="Times New Roman"/>
        </w:rPr>
        <w:t>华夏新锦顺灵活配置混合型证券投资基金基金份额持有人大会表决结果暨决议生效公告</w:t>
      </w:r>
      <w:r w:rsidRPr="00EC25D6">
        <w:rPr>
          <w:rFonts w:ascii="Times New Roman" w:eastAsiaTheme="majorEastAsia" w:cs="Times New Roman"/>
          <w:color w:val="auto"/>
        </w:rPr>
        <w:t>》，本基金以</w:t>
      </w:r>
      <w:r w:rsidR="00FC0208" w:rsidRPr="00EC25D6">
        <w:rPr>
          <w:rFonts w:ascii="Times New Roman" w:cs="Times New Roman"/>
        </w:rPr>
        <w:t>2025</w:t>
      </w:r>
      <w:r w:rsidR="00FC0208" w:rsidRPr="00EC25D6">
        <w:rPr>
          <w:rFonts w:ascii="Times New Roman" w:cs="Times New Roman"/>
        </w:rPr>
        <w:t>年</w:t>
      </w:r>
      <w:r w:rsidR="00FC0208" w:rsidRPr="00EC25D6">
        <w:rPr>
          <w:rFonts w:ascii="Times New Roman" w:cs="Times New Roman"/>
        </w:rPr>
        <w:t>1</w:t>
      </w:r>
      <w:r w:rsidR="00FC0208" w:rsidRPr="00EC25D6">
        <w:rPr>
          <w:rFonts w:ascii="Times New Roman" w:cs="Times New Roman"/>
        </w:rPr>
        <w:t>月</w:t>
      </w:r>
      <w:r w:rsidR="00FC0208" w:rsidRPr="00EC25D6">
        <w:rPr>
          <w:rFonts w:ascii="Times New Roman" w:cs="Times New Roman"/>
        </w:rPr>
        <w:t>23</w:t>
      </w:r>
      <w:r w:rsidR="00FC0208" w:rsidRPr="00EC25D6">
        <w:rPr>
          <w:rFonts w:ascii="Times New Roman" w:cs="Times New Roman"/>
        </w:rPr>
        <w:t>日</w:t>
      </w:r>
      <w:r w:rsidRPr="00EC25D6">
        <w:rPr>
          <w:rFonts w:ascii="Times New Roman" w:eastAsiaTheme="majorEastAsia" w:cs="Times New Roman"/>
          <w:color w:val="auto"/>
        </w:rPr>
        <w:t>为最后运作日，自</w:t>
      </w:r>
      <w:r w:rsidR="00FC0208" w:rsidRPr="00EC25D6">
        <w:rPr>
          <w:rFonts w:ascii="Times New Roman" w:cs="Times New Roman"/>
          <w:szCs w:val="21"/>
        </w:rPr>
        <w:t>2025</w:t>
      </w:r>
      <w:r w:rsidR="00FC0208" w:rsidRPr="00EC25D6">
        <w:rPr>
          <w:rFonts w:ascii="Times New Roman" w:cs="Times New Roman"/>
          <w:szCs w:val="21"/>
        </w:rPr>
        <w:t>年</w:t>
      </w:r>
      <w:r w:rsidR="00FC0208" w:rsidRPr="00EC25D6">
        <w:rPr>
          <w:rFonts w:ascii="Times New Roman" w:cs="Times New Roman"/>
          <w:szCs w:val="21"/>
        </w:rPr>
        <w:t>1</w:t>
      </w:r>
      <w:r w:rsidR="00FC0208" w:rsidRPr="00EC25D6">
        <w:rPr>
          <w:rFonts w:ascii="Times New Roman" w:cs="Times New Roman"/>
          <w:szCs w:val="21"/>
        </w:rPr>
        <w:t>月</w:t>
      </w:r>
      <w:r w:rsidR="00FC0208" w:rsidRPr="00EC25D6">
        <w:rPr>
          <w:rFonts w:ascii="Times New Roman" w:cs="Times New Roman"/>
          <w:szCs w:val="21"/>
        </w:rPr>
        <w:t>24</w:t>
      </w:r>
      <w:r w:rsidR="00FC0208" w:rsidRPr="00EC25D6">
        <w:rPr>
          <w:rFonts w:ascii="Times New Roman" w:cs="Times New Roman"/>
          <w:szCs w:val="21"/>
        </w:rPr>
        <w:t>日</w:t>
      </w:r>
      <w:r w:rsidRPr="00EC25D6">
        <w:rPr>
          <w:rFonts w:ascii="Times New Roman" w:eastAsiaTheme="majorEastAsia" w:cs="Times New Roman"/>
          <w:color w:val="auto"/>
        </w:rPr>
        <w:t>起，本基金进入基金财产清算程序。</w:t>
      </w:r>
    </w:p>
    <w:p w:rsidR="006567B2" w:rsidRPr="00EC25D6" w:rsidRDefault="006567B2" w:rsidP="00A5019E">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自</w:t>
      </w:r>
      <w:r w:rsidR="003A3307" w:rsidRPr="00EC25D6">
        <w:rPr>
          <w:rFonts w:ascii="Times New Roman" w:eastAsiaTheme="majorEastAsia" w:cs="Times New Roman"/>
          <w:color w:val="auto"/>
        </w:rPr>
        <w:t>本基金</w:t>
      </w:r>
      <w:r w:rsidRPr="00EC25D6">
        <w:rPr>
          <w:rFonts w:ascii="Times New Roman" w:eastAsiaTheme="majorEastAsia" w:cs="Times New Roman"/>
          <w:color w:val="auto"/>
        </w:rPr>
        <w:t>基金合同生效日至最后运作日期间，本基金按基金合同约定正常运作。</w:t>
      </w:r>
    </w:p>
    <w:p w:rsidR="00446CBD" w:rsidRPr="00EC25D6" w:rsidRDefault="008079B9"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5" w:name="_Toc447194470"/>
      <w:r w:rsidRPr="00EC25D6">
        <w:rPr>
          <w:rStyle w:val="2CharCharChar"/>
          <w:rFonts w:ascii="Times New Roman" w:eastAsiaTheme="majorEastAsia" w:hAnsi="Times New Roman"/>
          <w:b/>
          <w:bCs w:val="0"/>
          <w:szCs w:val="24"/>
        </w:rPr>
        <w:t>三</w:t>
      </w:r>
      <w:r w:rsidR="00446CBD" w:rsidRPr="00EC25D6">
        <w:rPr>
          <w:rStyle w:val="2CharCharChar"/>
          <w:rFonts w:ascii="Times New Roman" w:eastAsiaTheme="majorEastAsia" w:hAnsi="Times New Roman"/>
          <w:b/>
          <w:bCs w:val="0"/>
          <w:szCs w:val="24"/>
        </w:rPr>
        <w:t>、财务会计报告</w:t>
      </w:r>
      <w:bookmarkEnd w:id="5"/>
    </w:p>
    <w:p w:rsidR="00446CBD" w:rsidRPr="00EC25D6" w:rsidRDefault="00446CBD" w:rsidP="00A5019E">
      <w:pPr>
        <w:pStyle w:val="Default"/>
        <w:overflowPunct w:val="0"/>
        <w:spacing w:line="360" w:lineRule="auto"/>
        <w:rPr>
          <w:rFonts w:ascii="Times New Roman" w:eastAsiaTheme="majorEastAsia" w:cs="Times New Roman"/>
          <w:color w:val="auto"/>
        </w:rPr>
      </w:pPr>
      <w:r w:rsidRPr="00EC25D6">
        <w:rPr>
          <w:rFonts w:ascii="Times New Roman" w:eastAsiaTheme="majorEastAsia" w:cs="Times New Roman"/>
          <w:color w:val="auto"/>
        </w:rPr>
        <w:t>（一）</w:t>
      </w:r>
      <w:r w:rsidR="003240A9" w:rsidRPr="00EC25D6">
        <w:rPr>
          <w:rFonts w:ascii="Times New Roman" w:eastAsiaTheme="majorEastAsia" w:cs="Times New Roman"/>
          <w:color w:val="auto"/>
        </w:rPr>
        <w:t>基金最后运作日</w:t>
      </w:r>
      <w:r w:rsidRPr="00EC25D6">
        <w:rPr>
          <w:rFonts w:ascii="Times New Roman" w:eastAsiaTheme="majorEastAsia" w:cs="Times New Roman"/>
          <w:color w:val="auto"/>
        </w:rPr>
        <w:t>资产负债表（已经审计）</w:t>
      </w:r>
    </w:p>
    <w:p w:rsidR="006A1459" w:rsidRPr="00EC25D6" w:rsidRDefault="00446CBD" w:rsidP="00A5019E">
      <w:pPr>
        <w:pStyle w:val="Default"/>
        <w:overflowPunct w:val="0"/>
        <w:spacing w:line="360" w:lineRule="auto"/>
        <w:rPr>
          <w:rFonts w:ascii="Times New Roman" w:eastAsiaTheme="majorEastAsia" w:cs="Times New Roman"/>
          <w:color w:val="auto"/>
        </w:rPr>
      </w:pPr>
      <w:r w:rsidRPr="00EC25D6">
        <w:rPr>
          <w:rFonts w:ascii="Times New Roman" w:eastAsiaTheme="majorEastAsia" w:cs="Times New Roman"/>
          <w:color w:val="auto"/>
        </w:rPr>
        <w:t>会计主体：</w:t>
      </w:r>
      <w:r w:rsidR="00833433" w:rsidRPr="00EC25D6">
        <w:rPr>
          <w:rFonts w:ascii="Times New Roman" w:eastAsiaTheme="majorEastAsia" w:cs="Times New Roman"/>
        </w:rPr>
        <w:t>华夏新锦顺灵活配置混合型证券投资基金</w:t>
      </w:r>
    </w:p>
    <w:p w:rsidR="00446CBD" w:rsidRPr="00EC25D6" w:rsidRDefault="00446CBD" w:rsidP="006A1459">
      <w:pPr>
        <w:pStyle w:val="Default"/>
        <w:overflowPunct w:val="0"/>
        <w:spacing w:line="360" w:lineRule="auto"/>
        <w:rPr>
          <w:rFonts w:ascii="Times New Roman" w:eastAsiaTheme="majorEastAsia" w:cs="Times New Roman"/>
          <w:b/>
          <w:spacing w:val="60"/>
        </w:rPr>
      </w:pPr>
      <w:r w:rsidRPr="00EC25D6">
        <w:rPr>
          <w:rFonts w:ascii="Times New Roman" w:eastAsiaTheme="majorEastAsia" w:cs="Times New Roman"/>
        </w:rPr>
        <w:t>报告截止日：</w:t>
      </w:r>
      <w:r w:rsidR="00833433" w:rsidRPr="00EC25D6">
        <w:rPr>
          <w:rFonts w:ascii="Times New Roman" w:eastAsiaTheme="majorEastAsia" w:cs="Times New Roman"/>
        </w:rPr>
        <w:t>2025</w:t>
      </w:r>
      <w:r w:rsidR="00833433" w:rsidRPr="00EC25D6">
        <w:rPr>
          <w:rFonts w:ascii="Times New Roman" w:eastAsiaTheme="majorEastAsia" w:cs="Times New Roman"/>
        </w:rPr>
        <w:t>年</w:t>
      </w:r>
      <w:r w:rsidR="00833433" w:rsidRPr="00EC25D6">
        <w:rPr>
          <w:rFonts w:ascii="Times New Roman" w:eastAsiaTheme="majorEastAsia" w:cs="Times New Roman"/>
        </w:rPr>
        <w:t>1</w:t>
      </w:r>
      <w:r w:rsidR="00833433" w:rsidRPr="00EC25D6">
        <w:rPr>
          <w:rFonts w:ascii="Times New Roman" w:eastAsiaTheme="majorEastAsia" w:cs="Times New Roman"/>
        </w:rPr>
        <w:t>月</w:t>
      </w:r>
      <w:r w:rsidR="00833433" w:rsidRPr="00EC25D6">
        <w:rPr>
          <w:rFonts w:ascii="Times New Roman" w:eastAsiaTheme="majorEastAsia" w:cs="Times New Roman"/>
        </w:rPr>
        <w:t>23</w:t>
      </w:r>
      <w:r w:rsidR="00833433" w:rsidRPr="00EC25D6">
        <w:rPr>
          <w:rFonts w:ascii="Times New Roman" w:eastAsiaTheme="majorEastAsia" w:cs="Times New Roman"/>
        </w:rPr>
        <w:t>日</w:t>
      </w:r>
    </w:p>
    <w:p w:rsidR="002E2E3D" w:rsidRPr="00EC25D6" w:rsidRDefault="002E2E3D" w:rsidP="00A5019E">
      <w:pPr>
        <w:overflowPunct w:val="0"/>
        <w:spacing w:line="360" w:lineRule="auto"/>
        <w:ind w:rightChars="2" w:right="4"/>
        <w:jc w:val="right"/>
        <w:rPr>
          <w:rFonts w:eastAsiaTheme="majorEastAsia"/>
          <w:b/>
          <w:sz w:val="22"/>
          <w:szCs w:val="22"/>
        </w:rPr>
      </w:pPr>
      <w:r w:rsidRPr="00EC25D6">
        <w:rPr>
          <w:rFonts w:eastAsiaTheme="majorEastAsia"/>
          <w:sz w:val="22"/>
          <w:szCs w:val="22"/>
        </w:rPr>
        <w:t>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3827"/>
      </w:tblGrid>
      <w:tr w:rsidR="00681391" w:rsidRPr="00EC25D6" w:rsidTr="009C6CFC">
        <w:tc>
          <w:tcPr>
            <w:tcW w:w="5245" w:type="dxa"/>
            <w:tcBorders>
              <w:top w:val="single" w:sz="4" w:space="0" w:color="auto"/>
            </w:tcBorders>
            <w:vAlign w:val="center"/>
          </w:tcPr>
          <w:p w:rsidR="005D32F0" w:rsidRPr="00EC25D6" w:rsidRDefault="005D32F0" w:rsidP="00A5019E">
            <w:pPr>
              <w:pStyle w:val="ab"/>
              <w:overflowPunct w:val="0"/>
              <w:spacing w:before="0" w:beforeAutospacing="0" w:after="0" w:afterAutospacing="0" w:line="240" w:lineRule="atLeast"/>
              <w:rPr>
                <w:rFonts w:ascii="Times New Roman" w:eastAsiaTheme="majorEastAsia" w:hAnsi="Times New Roman" w:cs="Times New Roman"/>
                <w:b/>
                <w:sz w:val="21"/>
                <w:szCs w:val="21"/>
              </w:rPr>
            </w:pPr>
          </w:p>
        </w:tc>
        <w:tc>
          <w:tcPr>
            <w:tcW w:w="3827" w:type="dxa"/>
            <w:tcBorders>
              <w:top w:val="single" w:sz="4" w:space="0" w:color="auto"/>
            </w:tcBorders>
            <w:vAlign w:val="center"/>
          </w:tcPr>
          <w:p w:rsidR="005D32F0" w:rsidRPr="00EC25D6" w:rsidRDefault="005D32F0" w:rsidP="00A5019E">
            <w:pPr>
              <w:pStyle w:val="ab"/>
              <w:overflowPunct w:val="0"/>
              <w:spacing w:before="0" w:beforeAutospacing="0" w:after="0" w:afterAutospacing="0" w:line="240" w:lineRule="atLeast"/>
              <w:jc w:val="right"/>
              <w:rPr>
                <w:rFonts w:ascii="Times New Roman" w:eastAsiaTheme="majorEastAsia" w:hAnsi="Times New Roman" w:cs="Times New Roman"/>
                <w:b/>
                <w:sz w:val="21"/>
                <w:szCs w:val="21"/>
              </w:rPr>
            </w:pPr>
            <w:r w:rsidRPr="00EC25D6">
              <w:rPr>
                <w:rFonts w:ascii="Times New Roman" w:eastAsiaTheme="majorEastAsia" w:hAnsi="Times New Roman" w:cs="Times New Roman"/>
                <w:b/>
                <w:sz w:val="21"/>
                <w:szCs w:val="21"/>
              </w:rPr>
              <w:t>最后运作日</w:t>
            </w:r>
          </w:p>
          <w:p w:rsidR="005D32F0" w:rsidRPr="00EC25D6" w:rsidRDefault="00833433" w:rsidP="00A5019E">
            <w:pPr>
              <w:pStyle w:val="ab"/>
              <w:overflowPunct w:val="0"/>
              <w:spacing w:before="0" w:beforeAutospacing="0" w:after="0" w:afterAutospacing="0" w:line="240" w:lineRule="atLeast"/>
              <w:jc w:val="right"/>
              <w:rPr>
                <w:rFonts w:ascii="Times New Roman" w:eastAsiaTheme="majorEastAsia" w:hAnsi="Times New Roman" w:cs="Times New Roman"/>
                <w:b/>
                <w:sz w:val="21"/>
                <w:szCs w:val="21"/>
              </w:rPr>
            </w:pPr>
            <w:r w:rsidRPr="00EC25D6">
              <w:rPr>
                <w:rFonts w:ascii="Times New Roman" w:eastAsiaTheme="majorEastAsia" w:hAnsi="Times New Roman" w:cs="Times New Roman"/>
                <w:b/>
                <w:sz w:val="21"/>
                <w:szCs w:val="21"/>
              </w:rPr>
              <w:t>2025</w:t>
            </w:r>
            <w:r w:rsidRPr="00EC25D6">
              <w:rPr>
                <w:rFonts w:ascii="Times New Roman" w:eastAsiaTheme="majorEastAsia" w:hAnsi="Times New Roman" w:cs="Times New Roman"/>
                <w:b/>
                <w:sz w:val="21"/>
                <w:szCs w:val="21"/>
              </w:rPr>
              <w:t>年</w:t>
            </w:r>
            <w:r w:rsidRPr="00EC25D6">
              <w:rPr>
                <w:rFonts w:ascii="Times New Roman" w:eastAsiaTheme="majorEastAsia" w:hAnsi="Times New Roman" w:cs="Times New Roman"/>
                <w:b/>
                <w:sz w:val="21"/>
                <w:szCs w:val="21"/>
              </w:rPr>
              <w:t>1</w:t>
            </w:r>
            <w:r w:rsidRPr="00EC25D6">
              <w:rPr>
                <w:rFonts w:ascii="Times New Roman" w:eastAsiaTheme="majorEastAsia" w:hAnsi="Times New Roman" w:cs="Times New Roman"/>
                <w:b/>
                <w:sz w:val="21"/>
                <w:szCs w:val="21"/>
              </w:rPr>
              <w:t>月</w:t>
            </w:r>
            <w:r w:rsidRPr="00EC25D6">
              <w:rPr>
                <w:rFonts w:ascii="Times New Roman" w:eastAsiaTheme="majorEastAsia" w:hAnsi="Times New Roman" w:cs="Times New Roman"/>
                <w:b/>
                <w:sz w:val="21"/>
                <w:szCs w:val="21"/>
              </w:rPr>
              <w:t>23</w:t>
            </w:r>
            <w:r w:rsidRPr="00EC25D6">
              <w:rPr>
                <w:rFonts w:ascii="Times New Roman" w:eastAsiaTheme="majorEastAsia" w:hAnsi="Times New Roman" w:cs="Times New Roman"/>
                <w:b/>
                <w:sz w:val="21"/>
                <w:szCs w:val="21"/>
              </w:rPr>
              <w:t>日</w:t>
            </w:r>
          </w:p>
        </w:tc>
      </w:tr>
      <w:tr w:rsidR="00681391" w:rsidRPr="00EC25D6" w:rsidTr="009C6CFC">
        <w:tc>
          <w:tcPr>
            <w:tcW w:w="5245" w:type="dxa"/>
            <w:vAlign w:val="center"/>
          </w:tcPr>
          <w:p w:rsidR="00D61BA9" w:rsidRPr="00EC25D6" w:rsidRDefault="00D61BA9" w:rsidP="00A5019E">
            <w:pPr>
              <w:pStyle w:val="ab"/>
              <w:overflowPunct w:val="0"/>
              <w:spacing w:beforeAutospacing="0" w:afterAutospacing="0"/>
              <w:rPr>
                <w:rFonts w:ascii="Times New Roman" w:eastAsiaTheme="majorEastAsia" w:hAnsi="Times New Roman" w:cs="Times New Roman"/>
                <w:b/>
                <w:sz w:val="21"/>
                <w:szCs w:val="21"/>
              </w:rPr>
            </w:pPr>
            <w:r w:rsidRPr="00EC25D6">
              <w:rPr>
                <w:rFonts w:ascii="Times New Roman" w:eastAsiaTheme="majorEastAsia" w:hAnsi="Times New Roman" w:cs="Times New Roman"/>
                <w:b/>
                <w:sz w:val="21"/>
                <w:szCs w:val="21"/>
              </w:rPr>
              <w:t>资</w:t>
            </w:r>
            <w:r w:rsidRPr="00EC25D6">
              <w:rPr>
                <w:rFonts w:ascii="Times New Roman" w:eastAsiaTheme="majorEastAsia" w:hAnsi="Times New Roman" w:cs="Times New Roman"/>
                <w:b/>
                <w:sz w:val="21"/>
                <w:szCs w:val="21"/>
              </w:rPr>
              <w:t xml:space="preserve"> </w:t>
            </w:r>
            <w:r w:rsidRPr="00EC25D6">
              <w:rPr>
                <w:rFonts w:ascii="Times New Roman" w:eastAsiaTheme="majorEastAsia" w:hAnsi="Times New Roman" w:cs="Times New Roman"/>
                <w:b/>
                <w:sz w:val="21"/>
                <w:szCs w:val="21"/>
              </w:rPr>
              <w:t>产：</w:t>
            </w:r>
          </w:p>
        </w:tc>
        <w:tc>
          <w:tcPr>
            <w:tcW w:w="3827" w:type="dxa"/>
            <w:vAlign w:val="center"/>
          </w:tcPr>
          <w:p w:rsidR="00D61BA9" w:rsidRPr="00EC25D6" w:rsidRDefault="00D61BA9" w:rsidP="00A5019E">
            <w:pPr>
              <w:pStyle w:val="ab"/>
              <w:overflowPunct w:val="0"/>
              <w:spacing w:beforeAutospacing="0" w:afterAutospacing="0"/>
              <w:jc w:val="right"/>
              <w:rPr>
                <w:rFonts w:ascii="Times New Roman" w:eastAsiaTheme="majorEastAsia" w:hAnsi="Times New Roman" w:cs="Times New Roman"/>
                <w:sz w:val="21"/>
                <w:szCs w:val="21"/>
              </w:rPr>
            </w:pPr>
          </w:p>
        </w:tc>
      </w:tr>
      <w:tr w:rsidR="00EC49FB" w:rsidRPr="00EC25D6" w:rsidTr="009C6CFC">
        <w:tc>
          <w:tcPr>
            <w:tcW w:w="5245" w:type="dxa"/>
            <w:vAlign w:val="center"/>
          </w:tcPr>
          <w:p w:rsidR="00EC49FB" w:rsidRPr="00EC25D6" w:rsidRDefault="00EC49FB" w:rsidP="00EC49FB">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货币资金</w:t>
            </w:r>
          </w:p>
        </w:tc>
        <w:tc>
          <w:tcPr>
            <w:tcW w:w="3827" w:type="dxa"/>
            <w:vAlign w:val="center"/>
          </w:tcPr>
          <w:p w:rsidR="00EC49FB" w:rsidRPr="00EC25D6" w:rsidRDefault="008B28DF" w:rsidP="00EA17B6">
            <w:pPr>
              <w:jc w:val="right"/>
              <w:rPr>
                <w:rFonts w:eastAsiaTheme="minorEastAsia"/>
                <w:color w:val="000000"/>
                <w:kern w:val="0"/>
                <w:szCs w:val="21"/>
              </w:rPr>
            </w:pPr>
            <w:r w:rsidRPr="00EC25D6">
              <w:rPr>
                <w:rFonts w:eastAsiaTheme="minorEastAsia"/>
                <w:color w:val="000000"/>
                <w:kern w:val="0"/>
                <w:szCs w:val="21"/>
              </w:rPr>
              <w:t>4,722,484.71</w:t>
            </w:r>
          </w:p>
        </w:tc>
      </w:tr>
      <w:tr w:rsidR="00681391" w:rsidRPr="00EC25D6" w:rsidTr="009C6CFC">
        <w:tc>
          <w:tcPr>
            <w:tcW w:w="5245" w:type="dxa"/>
            <w:vAlign w:val="center"/>
          </w:tcPr>
          <w:p w:rsidR="00622DA1" w:rsidRPr="00EC25D6" w:rsidRDefault="00622DA1" w:rsidP="00622DA1">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结算备付金</w:t>
            </w:r>
          </w:p>
        </w:tc>
        <w:tc>
          <w:tcPr>
            <w:tcW w:w="3827" w:type="dxa"/>
            <w:vAlign w:val="center"/>
          </w:tcPr>
          <w:p w:rsidR="00622DA1" w:rsidRPr="00EC25D6" w:rsidRDefault="008B28DF" w:rsidP="00EA17B6">
            <w:pPr>
              <w:jc w:val="right"/>
              <w:rPr>
                <w:rFonts w:eastAsiaTheme="minorEastAsia"/>
                <w:color w:val="000000"/>
                <w:kern w:val="0"/>
                <w:szCs w:val="21"/>
              </w:rPr>
            </w:pPr>
            <w:r w:rsidRPr="00EC25D6">
              <w:rPr>
                <w:rFonts w:eastAsiaTheme="minorEastAsia"/>
                <w:color w:val="000000"/>
                <w:kern w:val="0"/>
                <w:szCs w:val="21"/>
              </w:rPr>
              <w:t>16,146.78</w:t>
            </w:r>
          </w:p>
        </w:tc>
      </w:tr>
      <w:tr w:rsidR="00681391" w:rsidRPr="00EC25D6" w:rsidTr="009C6CFC">
        <w:tc>
          <w:tcPr>
            <w:tcW w:w="5245" w:type="dxa"/>
            <w:vAlign w:val="center"/>
          </w:tcPr>
          <w:p w:rsidR="00622DA1" w:rsidRPr="00EC25D6" w:rsidRDefault="00622DA1" w:rsidP="00622DA1">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存出保证金</w:t>
            </w:r>
          </w:p>
        </w:tc>
        <w:tc>
          <w:tcPr>
            <w:tcW w:w="3827" w:type="dxa"/>
            <w:vAlign w:val="center"/>
          </w:tcPr>
          <w:p w:rsidR="00622DA1" w:rsidRPr="00EC25D6" w:rsidRDefault="008B28DF" w:rsidP="00EA17B6">
            <w:pPr>
              <w:jc w:val="right"/>
              <w:rPr>
                <w:rFonts w:eastAsiaTheme="minorEastAsia"/>
                <w:color w:val="000000"/>
                <w:kern w:val="0"/>
                <w:szCs w:val="21"/>
              </w:rPr>
            </w:pPr>
            <w:r w:rsidRPr="00EC25D6">
              <w:rPr>
                <w:rFonts w:eastAsiaTheme="minorEastAsia"/>
                <w:color w:val="000000"/>
                <w:kern w:val="0"/>
                <w:szCs w:val="21"/>
              </w:rPr>
              <w:t>13,769.09</w:t>
            </w:r>
          </w:p>
        </w:tc>
      </w:tr>
      <w:tr w:rsidR="00681391" w:rsidRPr="00EC25D6" w:rsidTr="009C6CFC">
        <w:tc>
          <w:tcPr>
            <w:tcW w:w="5245" w:type="dxa"/>
            <w:vAlign w:val="center"/>
          </w:tcPr>
          <w:p w:rsidR="00622DA1" w:rsidRPr="00EC25D6" w:rsidRDefault="00622DA1" w:rsidP="00622DA1">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交易性金融资产</w:t>
            </w:r>
          </w:p>
        </w:tc>
        <w:tc>
          <w:tcPr>
            <w:tcW w:w="3827" w:type="dxa"/>
            <w:vAlign w:val="center"/>
          </w:tcPr>
          <w:p w:rsidR="00622DA1" w:rsidRPr="00EC25D6" w:rsidRDefault="008B28DF" w:rsidP="00EA17B6">
            <w:pPr>
              <w:jc w:val="right"/>
              <w:rPr>
                <w:rFonts w:eastAsiaTheme="minorEastAsia"/>
                <w:szCs w:val="21"/>
              </w:rPr>
            </w:pPr>
            <w:r w:rsidRPr="00EC25D6">
              <w:rPr>
                <w:rFonts w:eastAsiaTheme="minorEastAsia"/>
                <w:color w:val="000000"/>
                <w:kern w:val="0"/>
                <w:szCs w:val="21"/>
              </w:rPr>
              <w:t>8,013,004.11</w:t>
            </w:r>
          </w:p>
        </w:tc>
      </w:tr>
      <w:tr w:rsidR="00681391" w:rsidRPr="00EC25D6" w:rsidTr="009C6CFC">
        <w:tc>
          <w:tcPr>
            <w:tcW w:w="5245" w:type="dxa"/>
            <w:vAlign w:val="center"/>
          </w:tcPr>
          <w:p w:rsidR="00622DA1" w:rsidRPr="00EC25D6" w:rsidRDefault="00622DA1" w:rsidP="00622DA1">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其中：股票投资</w:t>
            </w:r>
          </w:p>
        </w:tc>
        <w:tc>
          <w:tcPr>
            <w:tcW w:w="3827" w:type="dxa"/>
            <w:vAlign w:val="center"/>
          </w:tcPr>
          <w:p w:rsidR="00622DA1" w:rsidRPr="00EC25D6" w:rsidRDefault="008B28DF" w:rsidP="00EA17B6">
            <w:pPr>
              <w:jc w:val="right"/>
              <w:rPr>
                <w:rFonts w:eastAsiaTheme="minorEastAsia"/>
                <w:color w:val="000000"/>
                <w:kern w:val="0"/>
                <w:szCs w:val="21"/>
              </w:rPr>
            </w:pPr>
            <w:r w:rsidRPr="00EC25D6">
              <w:rPr>
                <w:rFonts w:eastAsiaTheme="minorEastAsia"/>
                <w:color w:val="000000"/>
                <w:kern w:val="0"/>
                <w:szCs w:val="21"/>
              </w:rPr>
              <w:t>8,013,004.11</w:t>
            </w:r>
          </w:p>
        </w:tc>
      </w:tr>
      <w:tr w:rsidR="00681391" w:rsidRPr="00EC25D6" w:rsidTr="009C6CFC">
        <w:tc>
          <w:tcPr>
            <w:tcW w:w="5245" w:type="dxa"/>
            <w:vAlign w:val="center"/>
          </w:tcPr>
          <w:p w:rsidR="000220B0" w:rsidRPr="00EC25D6" w:rsidRDefault="000220B0" w:rsidP="000220B0">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 xml:space="preserve">            </w:t>
            </w:r>
            <w:r w:rsidRPr="00EC25D6">
              <w:rPr>
                <w:rFonts w:ascii="Times New Roman" w:eastAsiaTheme="majorEastAsia" w:hAnsi="Times New Roman" w:cs="Times New Roman"/>
                <w:sz w:val="21"/>
                <w:szCs w:val="21"/>
              </w:rPr>
              <w:t>基金投资</w:t>
            </w:r>
          </w:p>
        </w:tc>
        <w:tc>
          <w:tcPr>
            <w:tcW w:w="3827" w:type="dxa"/>
            <w:vAlign w:val="center"/>
          </w:tcPr>
          <w:p w:rsidR="000220B0"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681391" w:rsidRPr="00EC25D6" w:rsidTr="009C6CFC">
        <w:tc>
          <w:tcPr>
            <w:tcW w:w="5245" w:type="dxa"/>
            <w:vAlign w:val="center"/>
          </w:tcPr>
          <w:p w:rsidR="000220B0" w:rsidRPr="00EC25D6" w:rsidRDefault="000220B0" w:rsidP="000220B0">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 xml:space="preserve">            </w:t>
            </w:r>
            <w:r w:rsidRPr="00EC25D6">
              <w:rPr>
                <w:rFonts w:ascii="Times New Roman" w:eastAsiaTheme="majorEastAsia" w:hAnsi="Times New Roman" w:cs="Times New Roman"/>
                <w:sz w:val="21"/>
                <w:szCs w:val="21"/>
              </w:rPr>
              <w:t>债券投资</w:t>
            </w:r>
          </w:p>
        </w:tc>
        <w:tc>
          <w:tcPr>
            <w:tcW w:w="3827" w:type="dxa"/>
            <w:vAlign w:val="center"/>
          </w:tcPr>
          <w:p w:rsidR="000220B0"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 xml:space="preserve">            </w:t>
            </w:r>
            <w:r w:rsidRPr="00EC25D6">
              <w:rPr>
                <w:rFonts w:ascii="Times New Roman" w:eastAsiaTheme="majorEastAsia" w:hAnsi="Times New Roman" w:cs="Times New Roman"/>
                <w:sz w:val="21"/>
                <w:szCs w:val="21"/>
              </w:rPr>
              <w:t>资产支持证券投资</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 xml:space="preserve">            </w:t>
            </w:r>
            <w:r w:rsidRPr="00EC25D6">
              <w:rPr>
                <w:rFonts w:ascii="Times New Roman" w:eastAsiaTheme="majorEastAsia" w:hAnsi="Times New Roman" w:cs="Times New Roman"/>
                <w:sz w:val="21"/>
                <w:szCs w:val="21"/>
              </w:rPr>
              <w:t>贵金属投资</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Del="000220B0"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 xml:space="preserve">            </w:t>
            </w:r>
            <w:r w:rsidRPr="00EC25D6">
              <w:rPr>
                <w:rFonts w:ascii="Times New Roman" w:eastAsiaTheme="majorEastAsia" w:hAnsi="Times New Roman" w:cs="Times New Roman"/>
                <w:sz w:val="21"/>
                <w:szCs w:val="21"/>
              </w:rPr>
              <w:t>其他投资</w:t>
            </w:r>
          </w:p>
        </w:tc>
        <w:tc>
          <w:tcPr>
            <w:tcW w:w="3827" w:type="dxa"/>
            <w:vAlign w:val="center"/>
          </w:tcPr>
          <w:p w:rsidR="008B28DF" w:rsidRPr="00EC25D6" w:rsidDel="000220B0"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衍生金融资产</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买入返售金融资产</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应收清算款</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应收股利</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应收申购款</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8B28DF" w:rsidRPr="00EC25D6" w:rsidTr="009C6CFC">
        <w:tc>
          <w:tcPr>
            <w:tcW w:w="5245" w:type="dxa"/>
            <w:vAlign w:val="center"/>
          </w:tcPr>
          <w:p w:rsidR="008B28DF" w:rsidRPr="00EC25D6" w:rsidRDefault="008B28DF" w:rsidP="008B28DF">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递延所得税资产</w:t>
            </w:r>
          </w:p>
        </w:tc>
        <w:tc>
          <w:tcPr>
            <w:tcW w:w="3827" w:type="dxa"/>
            <w:vAlign w:val="center"/>
          </w:tcPr>
          <w:p w:rsidR="008B28DF" w:rsidRPr="00EC25D6" w:rsidRDefault="008B28DF" w:rsidP="00EA17B6">
            <w:pPr>
              <w:jc w:val="right"/>
              <w:rPr>
                <w:rFonts w:eastAsiaTheme="minorEastAsia"/>
                <w:color w:val="000000"/>
                <w:kern w:val="0"/>
                <w:szCs w:val="21"/>
              </w:rPr>
            </w:pPr>
            <w:r w:rsidRPr="00EC25D6">
              <w:rPr>
                <w:rFonts w:eastAsiaTheme="minorEastAsia"/>
                <w:color w:val="000000"/>
                <w:kern w:val="0"/>
                <w:szCs w:val="21"/>
              </w:rPr>
              <w:t>-</w:t>
            </w:r>
          </w:p>
        </w:tc>
      </w:tr>
      <w:tr w:rsidR="00681391" w:rsidRPr="00EC25D6" w:rsidTr="009C6CFC">
        <w:tc>
          <w:tcPr>
            <w:tcW w:w="5245" w:type="dxa"/>
            <w:vAlign w:val="center"/>
          </w:tcPr>
          <w:p w:rsidR="000220B0" w:rsidRPr="00EC25D6" w:rsidRDefault="000220B0" w:rsidP="000220B0">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其他资产</w:t>
            </w:r>
          </w:p>
        </w:tc>
        <w:tc>
          <w:tcPr>
            <w:tcW w:w="3827" w:type="dxa"/>
            <w:vAlign w:val="center"/>
          </w:tcPr>
          <w:p w:rsidR="000220B0" w:rsidRPr="00EC25D6" w:rsidRDefault="008B28DF" w:rsidP="00EA17B6">
            <w:pPr>
              <w:jc w:val="right"/>
              <w:rPr>
                <w:rFonts w:eastAsiaTheme="minorEastAsia"/>
                <w:color w:val="000000"/>
                <w:kern w:val="0"/>
                <w:szCs w:val="21"/>
              </w:rPr>
            </w:pPr>
            <w:r w:rsidRPr="00EC25D6">
              <w:rPr>
                <w:rFonts w:eastAsiaTheme="minorEastAsia"/>
                <w:color w:val="000000"/>
                <w:kern w:val="0"/>
                <w:szCs w:val="21"/>
              </w:rPr>
              <w:t>4,043.84</w:t>
            </w:r>
          </w:p>
        </w:tc>
      </w:tr>
      <w:tr w:rsidR="00681391" w:rsidRPr="00EC25D6" w:rsidTr="009C6CFC">
        <w:tc>
          <w:tcPr>
            <w:tcW w:w="5245" w:type="dxa"/>
            <w:vAlign w:val="center"/>
          </w:tcPr>
          <w:p w:rsidR="000220B0" w:rsidRPr="00EC25D6" w:rsidRDefault="000220B0" w:rsidP="000220B0">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资产总计</w:t>
            </w:r>
          </w:p>
        </w:tc>
        <w:tc>
          <w:tcPr>
            <w:tcW w:w="3827" w:type="dxa"/>
            <w:vAlign w:val="center"/>
          </w:tcPr>
          <w:p w:rsidR="000220B0" w:rsidRPr="00EC25D6" w:rsidRDefault="008B28DF" w:rsidP="00EA17B6">
            <w:pPr>
              <w:jc w:val="right"/>
              <w:rPr>
                <w:rFonts w:eastAsiaTheme="minorEastAsia"/>
                <w:color w:val="000000"/>
                <w:kern w:val="0"/>
                <w:szCs w:val="21"/>
              </w:rPr>
            </w:pPr>
            <w:r w:rsidRPr="00EC25D6">
              <w:rPr>
                <w:rFonts w:eastAsiaTheme="minorEastAsia"/>
                <w:color w:val="000000"/>
                <w:kern w:val="0"/>
                <w:szCs w:val="21"/>
              </w:rPr>
              <w:t>12,769,448.53</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b/>
                <w:sz w:val="21"/>
                <w:szCs w:val="21"/>
              </w:rPr>
              <w:t>负</w:t>
            </w:r>
            <w:r w:rsidRPr="00EC25D6">
              <w:rPr>
                <w:rFonts w:ascii="Times New Roman" w:eastAsiaTheme="majorEastAsia" w:hAnsi="Times New Roman" w:cs="Times New Roman"/>
                <w:b/>
                <w:sz w:val="21"/>
                <w:szCs w:val="21"/>
              </w:rPr>
              <w:t xml:space="preserve"> </w:t>
            </w:r>
            <w:r w:rsidRPr="00EC25D6">
              <w:rPr>
                <w:rFonts w:ascii="Times New Roman" w:eastAsiaTheme="majorEastAsia" w:hAnsi="Times New Roman" w:cs="Times New Roman"/>
                <w:b/>
                <w:sz w:val="21"/>
                <w:szCs w:val="21"/>
              </w:rPr>
              <w:t>债：</w:t>
            </w:r>
          </w:p>
        </w:tc>
        <w:tc>
          <w:tcPr>
            <w:tcW w:w="3827" w:type="dxa"/>
            <w:vAlign w:val="center"/>
          </w:tcPr>
          <w:p w:rsidR="008F63DD" w:rsidRPr="00EC25D6" w:rsidRDefault="008F63DD" w:rsidP="00EA17B6">
            <w:pPr>
              <w:jc w:val="right"/>
              <w:rPr>
                <w:rFonts w:eastAsiaTheme="minorEastAsia"/>
                <w:color w:val="000000"/>
                <w:szCs w:val="21"/>
              </w:rPr>
            </w:pP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短期借款</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交易性金融负债</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衍生金融负债</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卖出回购金融资产款</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应付清算款</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377,487.02</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应付赎回款</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399,768.84</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应付管理人报酬</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4,598.98</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应付托管费</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766.49</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应付销售服务费</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730.94</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应付投资顾问费</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应交税费</w:t>
            </w:r>
          </w:p>
        </w:tc>
        <w:tc>
          <w:tcPr>
            <w:tcW w:w="3827" w:type="dxa"/>
            <w:vAlign w:val="center"/>
          </w:tcPr>
          <w:p w:rsidR="008F63DD" w:rsidRPr="00EC25D6" w:rsidRDefault="008C68D7" w:rsidP="00EA17B6">
            <w:pPr>
              <w:jc w:val="right"/>
              <w:rPr>
                <w:rFonts w:eastAsiaTheme="minorEastAsia"/>
                <w:color w:val="000000"/>
                <w:kern w:val="0"/>
                <w:szCs w:val="21"/>
              </w:rPr>
            </w:pPr>
            <w:r w:rsidRPr="00EC25D6">
              <w:rPr>
                <w:rFonts w:eastAsiaTheme="minorEastAsia"/>
                <w:color w:val="000000"/>
                <w:kern w:val="0"/>
                <w:szCs w:val="21"/>
              </w:rPr>
              <w:t>935.58</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应付利润</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递延所得税负债</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其他负债</w:t>
            </w:r>
          </w:p>
        </w:tc>
        <w:tc>
          <w:tcPr>
            <w:tcW w:w="3827" w:type="dxa"/>
            <w:vAlign w:val="center"/>
          </w:tcPr>
          <w:p w:rsidR="008F63DD" w:rsidRPr="00EC25D6" w:rsidRDefault="008C68D7" w:rsidP="00EA17B6">
            <w:pPr>
              <w:jc w:val="right"/>
              <w:rPr>
                <w:rFonts w:eastAsiaTheme="minorEastAsia"/>
                <w:color w:val="000000"/>
                <w:kern w:val="0"/>
                <w:szCs w:val="21"/>
              </w:rPr>
            </w:pPr>
            <w:r w:rsidRPr="00EC25D6">
              <w:rPr>
                <w:rFonts w:eastAsiaTheme="minorEastAsia"/>
                <w:color w:val="000000"/>
                <w:kern w:val="0"/>
                <w:szCs w:val="21"/>
              </w:rPr>
              <w:t>569,422.06</w:t>
            </w:r>
            <w:r w:rsidR="008F63DD" w:rsidRPr="00EC25D6">
              <w:rPr>
                <w:rFonts w:eastAsiaTheme="minorEastAsia"/>
                <w:color w:val="000000"/>
                <w:kern w:val="0"/>
                <w:szCs w:val="21"/>
              </w:rPr>
              <w:t xml:space="preserve"> </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负债合计</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1,353,709.91</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b/>
                <w:sz w:val="21"/>
                <w:szCs w:val="21"/>
              </w:rPr>
              <w:t>净资产：</w:t>
            </w:r>
          </w:p>
        </w:tc>
        <w:tc>
          <w:tcPr>
            <w:tcW w:w="3827" w:type="dxa"/>
            <w:vAlign w:val="center"/>
          </w:tcPr>
          <w:p w:rsidR="008F63DD" w:rsidRPr="00EC25D6" w:rsidRDefault="008F63DD" w:rsidP="00EA17B6">
            <w:pPr>
              <w:jc w:val="right"/>
              <w:rPr>
                <w:rFonts w:eastAsiaTheme="minorEastAsia"/>
                <w:color w:val="000000"/>
                <w:kern w:val="0"/>
                <w:szCs w:val="21"/>
              </w:rPr>
            </w:pP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实收基金</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13,487,944.83</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未分配利润</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-2,072,206.21</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净资产合计</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11,415,738.62</w:t>
            </w:r>
          </w:p>
        </w:tc>
      </w:tr>
      <w:tr w:rsidR="008F63DD" w:rsidRPr="00EC25D6" w:rsidTr="009C6CFC">
        <w:tc>
          <w:tcPr>
            <w:tcW w:w="5245" w:type="dxa"/>
            <w:vAlign w:val="center"/>
          </w:tcPr>
          <w:p w:rsidR="008F63DD" w:rsidRPr="00EC25D6" w:rsidRDefault="008F63DD" w:rsidP="008F63DD">
            <w:pPr>
              <w:pStyle w:val="ab"/>
              <w:overflowPunct w:val="0"/>
              <w:spacing w:beforeAutospacing="0" w:afterAutospacing="0"/>
              <w:rPr>
                <w:rFonts w:ascii="Times New Roman" w:eastAsiaTheme="majorEastAsia" w:hAnsi="Times New Roman" w:cs="Times New Roman"/>
                <w:sz w:val="21"/>
                <w:szCs w:val="21"/>
              </w:rPr>
            </w:pPr>
            <w:r w:rsidRPr="00EC25D6">
              <w:rPr>
                <w:rFonts w:ascii="Times New Roman" w:eastAsiaTheme="majorEastAsia" w:hAnsi="Times New Roman" w:cs="Times New Roman"/>
                <w:sz w:val="21"/>
                <w:szCs w:val="21"/>
              </w:rPr>
              <w:t>负债和净资产总计</w:t>
            </w:r>
          </w:p>
        </w:tc>
        <w:tc>
          <w:tcPr>
            <w:tcW w:w="3827" w:type="dxa"/>
            <w:vAlign w:val="center"/>
          </w:tcPr>
          <w:p w:rsidR="008F63DD" w:rsidRPr="00EC25D6" w:rsidRDefault="008F63DD" w:rsidP="00EA17B6">
            <w:pPr>
              <w:jc w:val="right"/>
              <w:rPr>
                <w:rFonts w:eastAsiaTheme="minorEastAsia"/>
                <w:color w:val="000000"/>
                <w:kern w:val="0"/>
                <w:szCs w:val="21"/>
              </w:rPr>
            </w:pPr>
            <w:r w:rsidRPr="00EC25D6">
              <w:rPr>
                <w:rFonts w:eastAsiaTheme="minorEastAsia"/>
                <w:color w:val="000000"/>
                <w:kern w:val="0"/>
                <w:szCs w:val="21"/>
              </w:rPr>
              <w:t>12,769,448.53</w:t>
            </w:r>
          </w:p>
        </w:tc>
      </w:tr>
    </w:tbl>
    <w:p w:rsidR="003B7C20" w:rsidRPr="00EC25D6" w:rsidRDefault="007A3BB8" w:rsidP="00DC64F0">
      <w:pPr>
        <w:overflowPunct w:val="0"/>
        <w:spacing w:line="360" w:lineRule="auto"/>
        <w:ind w:firstLineChars="200" w:firstLine="420"/>
        <w:rPr>
          <w:szCs w:val="21"/>
        </w:rPr>
      </w:pPr>
      <w:r w:rsidRPr="00EC25D6">
        <w:rPr>
          <w:rFonts w:eastAsiaTheme="majorEastAsia"/>
          <w:szCs w:val="21"/>
        </w:rPr>
        <w:t>注：</w:t>
      </w:r>
      <w:r w:rsidR="001E473B" w:rsidRPr="00EC25D6">
        <w:rPr>
          <w:szCs w:val="21"/>
        </w:rPr>
        <w:fldChar w:fldCharType="begin"/>
      </w:r>
      <w:r w:rsidRPr="00EC25D6">
        <w:rPr>
          <w:szCs w:val="21"/>
        </w:rPr>
        <w:instrText xml:space="preserve"> = 1 \* GB3 </w:instrText>
      </w:r>
      <w:r w:rsidR="001E473B" w:rsidRPr="00EC25D6">
        <w:rPr>
          <w:szCs w:val="21"/>
        </w:rPr>
        <w:fldChar w:fldCharType="separate"/>
      </w:r>
      <w:r w:rsidRPr="00EC25D6">
        <w:rPr>
          <w:rFonts w:ascii="宋体" w:hAnsi="宋体" w:cs="宋体" w:hint="eastAsia"/>
          <w:szCs w:val="21"/>
        </w:rPr>
        <w:t>①</w:t>
      </w:r>
      <w:r w:rsidR="001E473B" w:rsidRPr="00EC25D6">
        <w:rPr>
          <w:szCs w:val="21"/>
        </w:rPr>
        <w:fldChar w:fldCharType="end"/>
      </w:r>
      <w:r w:rsidR="0055663A" w:rsidRPr="00EC25D6">
        <w:rPr>
          <w:szCs w:val="21"/>
        </w:rPr>
        <w:t>报告截止日</w:t>
      </w:r>
      <w:r w:rsidR="00833433" w:rsidRPr="00EC25D6">
        <w:rPr>
          <w:szCs w:val="21"/>
        </w:rPr>
        <w:t>2025</w:t>
      </w:r>
      <w:r w:rsidR="00833433" w:rsidRPr="00EC25D6">
        <w:rPr>
          <w:szCs w:val="21"/>
        </w:rPr>
        <w:t>年</w:t>
      </w:r>
      <w:r w:rsidR="00833433" w:rsidRPr="00EC25D6">
        <w:rPr>
          <w:szCs w:val="21"/>
        </w:rPr>
        <w:t>1</w:t>
      </w:r>
      <w:r w:rsidR="00833433" w:rsidRPr="00EC25D6">
        <w:rPr>
          <w:szCs w:val="21"/>
        </w:rPr>
        <w:t>月</w:t>
      </w:r>
      <w:r w:rsidR="00833433" w:rsidRPr="00EC25D6">
        <w:rPr>
          <w:szCs w:val="21"/>
        </w:rPr>
        <w:t>23</w:t>
      </w:r>
      <w:r w:rsidR="00833433" w:rsidRPr="00EC25D6">
        <w:rPr>
          <w:szCs w:val="21"/>
        </w:rPr>
        <w:t>日</w:t>
      </w:r>
      <w:r w:rsidR="0055663A" w:rsidRPr="00EC25D6">
        <w:rPr>
          <w:szCs w:val="21"/>
        </w:rPr>
        <w:t>（本基金最后运作日），本基金</w:t>
      </w:r>
      <w:r w:rsidR="0055663A" w:rsidRPr="00EC25D6">
        <w:rPr>
          <w:szCs w:val="21"/>
        </w:rPr>
        <w:t>A</w:t>
      </w:r>
      <w:r w:rsidR="0055663A" w:rsidRPr="00EC25D6">
        <w:rPr>
          <w:szCs w:val="21"/>
        </w:rPr>
        <w:t>类</w:t>
      </w:r>
      <w:r w:rsidR="008422BA" w:rsidRPr="00EC25D6">
        <w:rPr>
          <w:szCs w:val="21"/>
        </w:rPr>
        <w:t>基金</w:t>
      </w:r>
      <w:r w:rsidR="0055663A" w:rsidRPr="00EC25D6">
        <w:rPr>
          <w:szCs w:val="21"/>
        </w:rPr>
        <w:t>份额净值为</w:t>
      </w:r>
      <w:r w:rsidR="008B28DF" w:rsidRPr="00EC25D6">
        <w:rPr>
          <w:szCs w:val="21"/>
        </w:rPr>
        <w:t>0.8659</w:t>
      </w:r>
      <w:r w:rsidR="0055663A" w:rsidRPr="00EC25D6">
        <w:rPr>
          <w:szCs w:val="21"/>
        </w:rPr>
        <w:t>元，</w:t>
      </w:r>
      <w:r w:rsidR="0055663A" w:rsidRPr="00EC25D6">
        <w:rPr>
          <w:szCs w:val="21"/>
        </w:rPr>
        <w:t>C</w:t>
      </w:r>
      <w:r w:rsidR="0055663A" w:rsidRPr="00EC25D6">
        <w:rPr>
          <w:szCs w:val="21"/>
        </w:rPr>
        <w:t>类</w:t>
      </w:r>
      <w:r w:rsidR="00DA0E1B" w:rsidRPr="00EC25D6">
        <w:rPr>
          <w:szCs w:val="21"/>
        </w:rPr>
        <w:t>基金</w:t>
      </w:r>
      <w:r w:rsidR="0055663A" w:rsidRPr="00EC25D6">
        <w:rPr>
          <w:szCs w:val="21"/>
        </w:rPr>
        <w:t>份额净值为</w:t>
      </w:r>
      <w:r w:rsidR="008B28DF" w:rsidRPr="00EC25D6">
        <w:rPr>
          <w:szCs w:val="21"/>
        </w:rPr>
        <w:t>0.8462</w:t>
      </w:r>
      <w:r w:rsidR="0055663A" w:rsidRPr="00EC25D6">
        <w:rPr>
          <w:szCs w:val="21"/>
        </w:rPr>
        <w:t>元</w:t>
      </w:r>
      <w:r w:rsidR="004B4517" w:rsidRPr="00EC25D6">
        <w:rPr>
          <w:szCs w:val="21"/>
        </w:rPr>
        <w:t>，</w:t>
      </w:r>
      <w:r w:rsidR="0055663A" w:rsidRPr="00EC25D6">
        <w:rPr>
          <w:szCs w:val="21"/>
        </w:rPr>
        <w:t>本基金</w:t>
      </w:r>
      <w:r w:rsidR="00065192" w:rsidRPr="00EC25D6">
        <w:rPr>
          <w:szCs w:val="21"/>
        </w:rPr>
        <w:t>基金</w:t>
      </w:r>
      <w:r w:rsidR="0055663A" w:rsidRPr="00EC25D6">
        <w:rPr>
          <w:szCs w:val="21"/>
        </w:rPr>
        <w:t>份额总额为</w:t>
      </w:r>
      <w:r w:rsidR="008B28DF" w:rsidRPr="00EC25D6">
        <w:rPr>
          <w:szCs w:val="21"/>
        </w:rPr>
        <w:t>13,487,944.83</w:t>
      </w:r>
      <w:r w:rsidR="0055663A" w:rsidRPr="00EC25D6">
        <w:rPr>
          <w:szCs w:val="21"/>
        </w:rPr>
        <w:t>份</w:t>
      </w:r>
      <w:r w:rsidR="00952BA5" w:rsidRPr="00EC25D6">
        <w:rPr>
          <w:szCs w:val="21"/>
        </w:rPr>
        <w:t>（</w:t>
      </w:r>
      <w:r w:rsidR="0055663A" w:rsidRPr="00EC25D6">
        <w:rPr>
          <w:szCs w:val="21"/>
        </w:rPr>
        <w:t>其中</w:t>
      </w:r>
      <w:r w:rsidR="0055663A" w:rsidRPr="00EC25D6">
        <w:rPr>
          <w:szCs w:val="21"/>
        </w:rPr>
        <w:t>A</w:t>
      </w:r>
      <w:r w:rsidR="0055663A" w:rsidRPr="00EC25D6">
        <w:rPr>
          <w:szCs w:val="21"/>
        </w:rPr>
        <w:t>类</w:t>
      </w:r>
      <w:r w:rsidR="00952BA5" w:rsidRPr="00EC25D6">
        <w:rPr>
          <w:szCs w:val="21"/>
        </w:rPr>
        <w:t>基金</w:t>
      </w:r>
      <w:r w:rsidR="0055663A" w:rsidRPr="00EC25D6">
        <w:rPr>
          <w:szCs w:val="21"/>
        </w:rPr>
        <w:t>份额</w:t>
      </w:r>
      <w:r w:rsidR="008B28DF" w:rsidRPr="00EC25D6">
        <w:rPr>
          <w:szCs w:val="21"/>
        </w:rPr>
        <w:t>135,215.52</w:t>
      </w:r>
      <w:r w:rsidR="0055663A" w:rsidRPr="00EC25D6">
        <w:rPr>
          <w:szCs w:val="21"/>
        </w:rPr>
        <w:t>份，</w:t>
      </w:r>
      <w:r w:rsidR="0055663A" w:rsidRPr="00EC25D6">
        <w:rPr>
          <w:szCs w:val="21"/>
        </w:rPr>
        <w:t>C</w:t>
      </w:r>
      <w:r w:rsidR="0055663A" w:rsidRPr="00EC25D6">
        <w:rPr>
          <w:szCs w:val="21"/>
        </w:rPr>
        <w:t>类</w:t>
      </w:r>
      <w:r w:rsidR="00952BA5" w:rsidRPr="00EC25D6">
        <w:rPr>
          <w:szCs w:val="21"/>
        </w:rPr>
        <w:t>基金</w:t>
      </w:r>
      <w:r w:rsidR="0055663A" w:rsidRPr="00EC25D6">
        <w:rPr>
          <w:szCs w:val="21"/>
        </w:rPr>
        <w:t>份额</w:t>
      </w:r>
      <w:r w:rsidR="008B28DF" w:rsidRPr="00EC25D6">
        <w:rPr>
          <w:szCs w:val="21"/>
        </w:rPr>
        <w:t>13,352,729.31</w:t>
      </w:r>
      <w:r w:rsidR="0055663A" w:rsidRPr="00EC25D6">
        <w:rPr>
          <w:szCs w:val="21"/>
        </w:rPr>
        <w:t>份</w:t>
      </w:r>
      <w:r w:rsidR="00952BA5" w:rsidRPr="00EC25D6">
        <w:rPr>
          <w:szCs w:val="21"/>
        </w:rPr>
        <w:t>）</w:t>
      </w:r>
      <w:r w:rsidR="0055663A" w:rsidRPr="00EC25D6">
        <w:rPr>
          <w:szCs w:val="21"/>
        </w:rPr>
        <w:t>。</w:t>
      </w:r>
    </w:p>
    <w:p w:rsidR="007B16AA" w:rsidRPr="00EC25D6" w:rsidRDefault="001E473B" w:rsidP="00A5019E">
      <w:pPr>
        <w:overflowPunct w:val="0"/>
        <w:spacing w:line="360" w:lineRule="auto"/>
        <w:ind w:firstLineChars="200" w:firstLine="420"/>
        <w:rPr>
          <w:szCs w:val="21"/>
        </w:rPr>
      </w:pPr>
      <w:r w:rsidRPr="00EC25D6">
        <w:rPr>
          <w:szCs w:val="21"/>
        </w:rPr>
        <w:fldChar w:fldCharType="begin"/>
      </w:r>
      <w:r w:rsidR="003B7C20" w:rsidRPr="00EC25D6">
        <w:rPr>
          <w:szCs w:val="21"/>
        </w:rPr>
        <w:instrText xml:space="preserve"> = 2 \* GB3 </w:instrText>
      </w:r>
      <w:r w:rsidRPr="00EC25D6">
        <w:rPr>
          <w:szCs w:val="21"/>
        </w:rPr>
        <w:fldChar w:fldCharType="separate"/>
      </w:r>
      <w:r w:rsidR="003B7C20" w:rsidRPr="00EC25D6">
        <w:rPr>
          <w:rFonts w:ascii="宋体" w:hAnsi="宋体" w:cs="宋体" w:hint="eastAsia"/>
          <w:szCs w:val="21"/>
        </w:rPr>
        <w:t>②</w:t>
      </w:r>
      <w:r w:rsidRPr="00EC25D6">
        <w:rPr>
          <w:szCs w:val="21"/>
        </w:rPr>
        <w:fldChar w:fldCharType="end"/>
      </w:r>
      <w:r w:rsidR="0074291A" w:rsidRPr="00EC25D6">
        <w:rPr>
          <w:szCs w:val="21"/>
        </w:rPr>
        <w:t>本基金截至最后运作日的财务报表以清算基础编制。</w:t>
      </w:r>
      <w:r w:rsidR="00117D39" w:rsidRPr="00EC25D6">
        <w:rPr>
          <w:szCs w:val="21"/>
        </w:rPr>
        <w:t>毕马威华振会计师事务所</w:t>
      </w:r>
      <w:r w:rsidR="00117D39" w:rsidRPr="00EC25D6">
        <w:rPr>
          <w:szCs w:val="21"/>
        </w:rPr>
        <w:t xml:space="preserve"> (</w:t>
      </w:r>
      <w:r w:rsidR="00117D39" w:rsidRPr="00EC25D6">
        <w:rPr>
          <w:szCs w:val="21"/>
        </w:rPr>
        <w:t>特殊普通合伙</w:t>
      </w:r>
      <w:r w:rsidR="00117D39" w:rsidRPr="00EC25D6">
        <w:rPr>
          <w:szCs w:val="21"/>
        </w:rPr>
        <w:t>)</w:t>
      </w:r>
      <w:r w:rsidR="0074291A" w:rsidRPr="00EC25D6">
        <w:rPr>
          <w:szCs w:val="21"/>
        </w:rPr>
        <w:t>已对财务报表进行了审计并出具了无保留意见的审计报告。</w:t>
      </w:r>
      <w:bookmarkStart w:id="6" w:name="_GoBack"/>
      <w:bookmarkEnd w:id="6"/>
    </w:p>
    <w:p w:rsidR="004D3F36" w:rsidRPr="00EC25D6" w:rsidRDefault="00E15AB0" w:rsidP="00A5019E">
      <w:pPr>
        <w:pStyle w:val="1"/>
        <w:overflowPunct w:val="0"/>
        <w:spacing w:before="100" w:after="100" w:line="360" w:lineRule="auto"/>
        <w:jc w:val="center"/>
        <w:rPr>
          <w:rStyle w:val="2CharCharChar"/>
          <w:rFonts w:ascii="Times New Roman" w:eastAsiaTheme="majorEastAsia" w:hAnsi="Times New Roman"/>
          <w:szCs w:val="24"/>
        </w:rPr>
      </w:pPr>
      <w:bookmarkStart w:id="7" w:name="_Toc447194471"/>
      <w:r w:rsidRPr="00EC25D6">
        <w:rPr>
          <w:rStyle w:val="2CharCharChar"/>
          <w:rFonts w:ascii="Times New Roman" w:eastAsiaTheme="majorEastAsia" w:hAnsi="Times New Roman"/>
          <w:b/>
          <w:bCs w:val="0"/>
          <w:szCs w:val="24"/>
        </w:rPr>
        <w:t>四</w:t>
      </w:r>
      <w:r w:rsidR="002E2E3D" w:rsidRPr="00EC25D6">
        <w:rPr>
          <w:rStyle w:val="2CharCharChar"/>
          <w:rFonts w:ascii="Times New Roman" w:eastAsiaTheme="majorEastAsia" w:hAnsi="Times New Roman"/>
          <w:b/>
          <w:bCs w:val="0"/>
          <w:szCs w:val="24"/>
        </w:rPr>
        <w:t>、清算情况</w:t>
      </w:r>
      <w:bookmarkEnd w:id="7"/>
    </w:p>
    <w:p w:rsidR="002E2E3D" w:rsidRPr="00EC25D6" w:rsidRDefault="002E2E3D" w:rsidP="00A5019E">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自</w:t>
      </w:r>
      <w:r w:rsidR="00833433" w:rsidRPr="00EC25D6">
        <w:rPr>
          <w:rFonts w:ascii="Times New Roman" w:eastAsiaTheme="majorEastAsia" w:cs="Times New Roman"/>
          <w:szCs w:val="21"/>
        </w:rPr>
        <w:t>2025</w:t>
      </w:r>
      <w:r w:rsidR="00833433" w:rsidRPr="00EC25D6">
        <w:rPr>
          <w:rFonts w:ascii="Times New Roman" w:eastAsiaTheme="majorEastAsia" w:cs="Times New Roman"/>
          <w:szCs w:val="21"/>
        </w:rPr>
        <w:t>年</w:t>
      </w:r>
      <w:r w:rsidR="00833433" w:rsidRPr="00EC25D6">
        <w:rPr>
          <w:rFonts w:ascii="Times New Roman" w:eastAsiaTheme="majorEastAsia" w:cs="Times New Roman"/>
          <w:szCs w:val="21"/>
        </w:rPr>
        <w:t>1</w:t>
      </w:r>
      <w:r w:rsidR="00833433" w:rsidRPr="00EC25D6">
        <w:rPr>
          <w:rFonts w:ascii="Times New Roman" w:eastAsiaTheme="majorEastAsia" w:cs="Times New Roman"/>
          <w:szCs w:val="21"/>
        </w:rPr>
        <w:t>月</w:t>
      </w:r>
      <w:r w:rsidR="00833433" w:rsidRPr="00EC25D6">
        <w:rPr>
          <w:rFonts w:ascii="Times New Roman" w:eastAsiaTheme="majorEastAsia" w:cs="Times New Roman"/>
          <w:szCs w:val="21"/>
        </w:rPr>
        <w:t>24</w:t>
      </w:r>
      <w:r w:rsidR="00833433" w:rsidRPr="00EC25D6">
        <w:rPr>
          <w:rFonts w:ascii="Times New Roman" w:eastAsiaTheme="majorEastAsia" w:cs="Times New Roman"/>
          <w:szCs w:val="21"/>
        </w:rPr>
        <w:t>日</w:t>
      </w:r>
      <w:r w:rsidR="002D78EC" w:rsidRPr="00EC25D6">
        <w:rPr>
          <w:rFonts w:ascii="Times New Roman" w:eastAsiaTheme="majorEastAsia" w:cs="Times New Roman"/>
          <w:color w:val="auto"/>
        </w:rPr>
        <w:t>起</w:t>
      </w:r>
      <w:r w:rsidR="007A3BB8" w:rsidRPr="00EC25D6">
        <w:rPr>
          <w:rFonts w:ascii="Times New Roman" w:eastAsiaTheme="majorEastAsia" w:cs="Times New Roman"/>
          <w:color w:val="auto"/>
        </w:rPr>
        <w:t>至</w:t>
      </w:r>
      <w:r w:rsidR="00833433" w:rsidRPr="00EC25D6">
        <w:rPr>
          <w:rFonts w:ascii="Times New Roman" w:eastAsiaTheme="majorEastAsia" w:cs="Times New Roman"/>
          <w:szCs w:val="21"/>
        </w:rPr>
        <w:t>2025</w:t>
      </w:r>
      <w:r w:rsidR="00833433" w:rsidRPr="00EC25D6">
        <w:rPr>
          <w:rFonts w:ascii="Times New Roman" w:eastAsiaTheme="majorEastAsia" w:cs="Times New Roman"/>
          <w:szCs w:val="21"/>
        </w:rPr>
        <w:t>年</w:t>
      </w:r>
      <w:r w:rsidR="00833433" w:rsidRPr="00EC25D6">
        <w:rPr>
          <w:rFonts w:ascii="Times New Roman" w:eastAsiaTheme="majorEastAsia" w:cs="Times New Roman"/>
          <w:szCs w:val="21"/>
        </w:rPr>
        <w:t>3</w:t>
      </w:r>
      <w:r w:rsidR="00833433" w:rsidRPr="00EC25D6">
        <w:rPr>
          <w:rFonts w:ascii="Times New Roman" w:eastAsiaTheme="majorEastAsia" w:cs="Times New Roman"/>
          <w:szCs w:val="21"/>
        </w:rPr>
        <w:t>月</w:t>
      </w:r>
      <w:r w:rsidR="00833433" w:rsidRPr="00EC25D6">
        <w:rPr>
          <w:rFonts w:ascii="Times New Roman" w:eastAsiaTheme="majorEastAsia" w:cs="Times New Roman"/>
          <w:szCs w:val="21"/>
        </w:rPr>
        <w:t>14</w:t>
      </w:r>
      <w:r w:rsidR="00833433" w:rsidRPr="00EC25D6">
        <w:rPr>
          <w:rFonts w:ascii="Times New Roman" w:eastAsiaTheme="majorEastAsia" w:cs="Times New Roman"/>
          <w:szCs w:val="21"/>
        </w:rPr>
        <w:t>日</w:t>
      </w:r>
      <w:r w:rsidRPr="00EC25D6">
        <w:rPr>
          <w:rFonts w:ascii="Times New Roman" w:eastAsiaTheme="majorEastAsia" w:cs="Times New Roman"/>
          <w:color w:val="auto"/>
        </w:rPr>
        <w:t>止</w:t>
      </w:r>
      <w:r w:rsidR="00903847" w:rsidRPr="00EC25D6">
        <w:rPr>
          <w:rFonts w:ascii="Times New Roman" w:eastAsiaTheme="majorEastAsia" w:cs="Times New Roman"/>
          <w:color w:val="auto"/>
        </w:rPr>
        <w:t>为</w:t>
      </w:r>
      <w:r w:rsidR="009879B9" w:rsidRPr="00EC25D6">
        <w:rPr>
          <w:rFonts w:ascii="Times New Roman" w:eastAsiaTheme="majorEastAsia" w:cs="Times New Roman"/>
          <w:color w:val="auto"/>
        </w:rPr>
        <w:t>本基金</w:t>
      </w:r>
      <w:r w:rsidRPr="00EC25D6">
        <w:rPr>
          <w:rFonts w:ascii="Times New Roman" w:eastAsiaTheme="majorEastAsia" w:cs="Times New Roman"/>
          <w:color w:val="auto"/>
        </w:rPr>
        <w:t>清算</w:t>
      </w:r>
      <w:r w:rsidR="003A2917" w:rsidRPr="00EC25D6">
        <w:rPr>
          <w:rFonts w:ascii="Times New Roman" w:eastAsiaTheme="majorEastAsia" w:cs="Times New Roman"/>
          <w:color w:val="auto"/>
        </w:rPr>
        <w:t>报告期</w:t>
      </w:r>
      <w:r w:rsidRPr="00EC25D6">
        <w:rPr>
          <w:rFonts w:ascii="Times New Roman" w:eastAsiaTheme="majorEastAsia" w:cs="Times New Roman"/>
          <w:color w:val="auto"/>
        </w:rPr>
        <w:t>，基金财产清算组</w:t>
      </w:r>
      <w:r w:rsidR="004D77DD" w:rsidRPr="00EC25D6">
        <w:rPr>
          <w:rFonts w:ascii="Times New Roman" w:eastAsiaTheme="majorEastAsia" w:cs="Times New Roman"/>
          <w:color w:val="auto"/>
        </w:rPr>
        <w:t>按照法律法规及</w:t>
      </w:r>
      <w:r w:rsidR="00D97ADD" w:rsidRPr="00EC25D6">
        <w:rPr>
          <w:rFonts w:ascii="Times New Roman" w:eastAsiaTheme="majorEastAsia" w:cs="Times New Roman"/>
          <w:color w:val="auto"/>
        </w:rPr>
        <w:t>本基金基金合同的</w:t>
      </w:r>
      <w:r w:rsidR="004D77DD" w:rsidRPr="00EC25D6">
        <w:rPr>
          <w:rFonts w:ascii="Times New Roman" w:eastAsiaTheme="majorEastAsia" w:cs="Times New Roman"/>
          <w:color w:val="auto"/>
        </w:rPr>
        <w:t>规定履行</w:t>
      </w:r>
      <w:r w:rsidR="007935E9" w:rsidRPr="00EC25D6">
        <w:rPr>
          <w:rFonts w:ascii="Times New Roman" w:eastAsiaTheme="majorEastAsia" w:cs="Times New Roman"/>
          <w:color w:val="auto"/>
        </w:rPr>
        <w:t>基金财产</w:t>
      </w:r>
      <w:r w:rsidRPr="00EC25D6">
        <w:rPr>
          <w:rFonts w:ascii="Times New Roman" w:eastAsiaTheme="majorEastAsia" w:cs="Times New Roman"/>
          <w:color w:val="auto"/>
        </w:rPr>
        <w:t>清算</w:t>
      </w:r>
      <w:r w:rsidR="004D77DD" w:rsidRPr="00EC25D6">
        <w:rPr>
          <w:rFonts w:ascii="Times New Roman" w:eastAsiaTheme="majorEastAsia" w:cs="Times New Roman"/>
          <w:color w:val="auto"/>
        </w:rPr>
        <w:t>程序</w:t>
      </w:r>
      <w:r w:rsidRPr="00EC25D6">
        <w:rPr>
          <w:rFonts w:ascii="Times New Roman" w:eastAsiaTheme="majorEastAsia" w:cs="Times New Roman"/>
          <w:color w:val="auto"/>
        </w:rPr>
        <w:t>，全部工作按清算原则和清算手续进行。具体清算情况如下：</w:t>
      </w:r>
    </w:p>
    <w:p w:rsidR="00296416" w:rsidRPr="00EC25D6" w:rsidRDefault="00296416" w:rsidP="00A5019E">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（一）清算费用</w:t>
      </w:r>
    </w:p>
    <w:p w:rsidR="0023430E" w:rsidRPr="00EC25D6" w:rsidRDefault="00833433" w:rsidP="0026059D">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清算费用是指基金财产清算小组在进行基金清算过程中发生的所有合理费用，清算费用由基金财产清算小组优先从基金财产中支付。</w:t>
      </w:r>
      <w:r w:rsidR="008B2FEE" w:rsidRPr="00EC25D6">
        <w:rPr>
          <w:rFonts w:ascii="Times New Roman" w:eastAsiaTheme="majorEastAsia" w:cs="Times New Roman"/>
          <w:color w:val="auto"/>
        </w:rPr>
        <w:t>考虑到本基金清算的实际情况，从保护基金份额持有人利益的角度出发，本基金的清算费用将由基金管理人承担。</w:t>
      </w:r>
    </w:p>
    <w:p w:rsidR="006F5742" w:rsidRPr="00EC25D6" w:rsidRDefault="006F5742" w:rsidP="00A5019E">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w:t>
      </w:r>
      <w:r w:rsidR="00296416" w:rsidRPr="00EC25D6">
        <w:rPr>
          <w:rFonts w:ascii="Times New Roman" w:eastAsiaTheme="majorEastAsia" w:cs="Times New Roman"/>
          <w:color w:val="auto"/>
        </w:rPr>
        <w:t>二</w:t>
      </w:r>
      <w:r w:rsidRPr="00EC25D6">
        <w:rPr>
          <w:rFonts w:ascii="Times New Roman" w:eastAsiaTheme="majorEastAsia" w:cs="Times New Roman"/>
          <w:color w:val="auto"/>
        </w:rPr>
        <w:t>）</w:t>
      </w:r>
      <w:r w:rsidR="00987AAD" w:rsidRPr="00EC25D6">
        <w:rPr>
          <w:rFonts w:ascii="Times New Roman" w:eastAsiaTheme="majorEastAsia" w:cs="Times New Roman"/>
          <w:color w:val="auto"/>
        </w:rPr>
        <w:t>最后运作日</w:t>
      </w:r>
      <w:r w:rsidRPr="00EC25D6">
        <w:rPr>
          <w:rFonts w:ascii="Times New Roman" w:eastAsiaTheme="majorEastAsia" w:cs="Times New Roman"/>
          <w:color w:val="auto"/>
        </w:rPr>
        <w:t>资产</w:t>
      </w:r>
      <w:r w:rsidR="00C2288D" w:rsidRPr="00EC25D6">
        <w:rPr>
          <w:rFonts w:ascii="Times New Roman" w:eastAsiaTheme="majorEastAsia" w:cs="Times New Roman"/>
          <w:color w:val="auto"/>
        </w:rPr>
        <w:t>清算</w:t>
      </w:r>
      <w:r w:rsidRPr="00EC25D6">
        <w:rPr>
          <w:rFonts w:ascii="Times New Roman" w:eastAsiaTheme="majorEastAsia" w:cs="Times New Roman"/>
          <w:color w:val="auto"/>
        </w:rPr>
        <w:t>情况</w:t>
      </w:r>
    </w:p>
    <w:p w:rsidR="00833433" w:rsidRPr="00EC25D6" w:rsidRDefault="008D2BE5" w:rsidP="00D97ADD">
      <w:pPr>
        <w:pStyle w:val="Default"/>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截至清算报告期结束日（</w:t>
      </w:r>
      <w:r w:rsidR="00833433" w:rsidRPr="00EC25D6">
        <w:rPr>
          <w:rFonts w:ascii="Times New Roman" w:eastAsiaTheme="majorEastAsia" w:cs="Times New Roman"/>
          <w:szCs w:val="21"/>
        </w:rPr>
        <w:t>2025</w:t>
      </w:r>
      <w:r w:rsidR="00833433" w:rsidRPr="00EC25D6">
        <w:rPr>
          <w:rFonts w:ascii="Times New Roman" w:eastAsiaTheme="majorEastAsia" w:cs="Times New Roman"/>
          <w:szCs w:val="21"/>
        </w:rPr>
        <w:t>年</w:t>
      </w:r>
      <w:r w:rsidR="00833433" w:rsidRPr="00EC25D6">
        <w:rPr>
          <w:rFonts w:ascii="Times New Roman" w:eastAsiaTheme="majorEastAsia" w:cs="Times New Roman"/>
          <w:szCs w:val="21"/>
        </w:rPr>
        <w:t>3</w:t>
      </w:r>
      <w:r w:rsidR="00833433" w:rsidRPr="00EC25D6">
        <w:rPr>
          <w:rFonts w:ascii="Times New Roman" w:eastAsiaTheme="majorEastAsia" w:cs="Times New Roman"/>
          <w:szCs w:val="21"/>
        </w:rPr>
        <w:t>月</w:t>
      </w:r>
      <w:r w:rsidR="00833433" w:rsidRPr="00EC25D6">
        <w:rPr>
          <w:rFonts w:ascii="Times New Roman" w:eastAsiaTheme="majorEastAsia" w:cs="Times New Roman"/>
          <w:szCs w:val="21"/>
        </w:rPr>
        <w:t>14</w:t>
      </w:r>
      <w:r w:rsidR="00833433" w:rsidRPr="00EC25D6">
        <w:rPr>
          <w:rFonts w:ascii="Times New Roman" w:eastAsiaTheme="majorEastAsia" w:cs="Times New Roman"/>
          <w:szCs w:val="21"/>
        </w:rPr>
        <w:t>日</w:t>
      </w:r>
      <w:r w:rsidRPr="00EC25D6">
        <w:rPr>
          <w:rFonts w:ascii="Times New Roman" w:eastAsiaTheme="majorEastAsia" w:cs="Times New Roman"/>
          <w:color w:val="auto"/>
        </w:rPr>
        <w:t>），</w:t>
      </w:r>
      <w:r w:rsidR="00833433" w:rsidRPr="00EC25D6">
        <w:rPr>
          <w:rFonts w:ascii="Times New Roman" w:eastAsiaTheme="majorEastAsia" w:cs="Times New Roman"/>
          <w:color w:val="auto"/>
        </w:rPr>
        <w:t>本基金最后运作日部分资产尚未收回。为了提高清算效率，及时向基金份额持有人分配剩余财产，本基金管理人以自有资金对尚未收回的结算备付金及应计利息、存出保证金及应计利息、银行存款应计利息进行垫付，该垫付资金将于收回款项、结息后返还给基金管理人。各项资产清算情况如下：</w:t>
      </w:r>
    </w:p>
    <w:p w:rsidR="008B28DF" w:rsidRPr="00EC25D6" w:rsidRDefault="00D97ADD"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1</w:t>
      </w:r>
      <w:r w:rsidRPr="00EC25D6">
        <w:rPr>
          <w:rFonts w:ascii="Times New Roman" w:cs="Times New Roman"/>
          <w:color w:val="auto"/>
        </w:rPr>
        <w:t>、本基金最后运作日货币资金为人民币</w:t>
      </w:r>
      <w:r w:rsidR="008B28DF" w:rsidRPr="00EC25D6">
        <w:rPr>
          <w:rFonts w:ascii="Times New Roman" w:cs="Times New Roman"/>
          <w:color w:val="auto"/>
        </w:rPr>
        <w:t>4</w:t>
      </w:r>
      <w:r w:rsidR="008B28DF" w:rsidRPr="00EC25D6">
        <w:rPr>
          <w:rFonts w:ascii="Times New Roman" w:eastAsiaTheme="minorEastAsia" w:cs="Times New Roman"/>
          <w:color w:val="auto"/>
          <w:kern w:val="2"/>
          <w:lang w:bidi="ar-SA"/>
        </w:rPr>
        <w:t>,722,484.71</w:t>
      </w:r>
      <w:r w:rsidRPr="00EC25D6">
        <w:rPr>
          <w:rFonts w:ascii="Times New Roman" w:cs="Times New Roman"/>
          <w:color w:val="auto"/>
        </w:rPr>
        <w:t>元，</w:t>
      </w:r>
      <w:r w:rsidR="008B2FEE" w:rsidRPr="00EC25D6">
        <w:rPr>
          <w:rFonts w:ascii="Times New Roman" w:cs="Times New Roman"/>
          <w:color w:val="auto"/>
        </w:rPr>
        <w:t>其中包含应计</w:t>
      </w:r>
      <w:r w:rsidR="004A5FAB">
        <w:rPr>
          <w:rFonts w:ascii="Times New Roman" w:cs="Times New Roman" w:hint="eastAsia"/>
          <w:color w:val="auto"/>
        </w:rPr>
        <w:t>银行</w:t>
      </w:r>
      <w:r w:rsidR="008B2FEE" w:rsidRPr="00EC25D6">
        <w:rPr>
          <w:rFonts w:ascii="Times New Roman" w:cs="Times New Roman"/>
          <w:color w:val="auto"/>
        </w:rPr>
        <w:t>存款利息人民币</w:t>
      </w:r>
      <w:r w:rsidR="008B28DF" w:rsidRPr="00EC25D6">
        <w:rPr>
          <w:rFonts w:ascii="Times New Roman" w:cs="Times New Roman"/>
          <w:color w:val="auto"/>
        </w:rPr>
        <w:t>1</w:t>
      </w:r>
      <w:r w:rsidR="008B28DF" w:rsidRPr="00EC25D6">
        <w:rPr>
          <w:rFonts w:ascii="Times New Roman" w:eastAsiaTheme="minorEastAsia" w:cs="Times New Roman"/>
          <w:color w:val="auto"/>
          <w:kern w:val="2"/>
          <w:lang w:bidi="ar-SA"/>
        </w:rPr>
        <w:t>,473.50</w:t>
      </w:r>
      <w:r w:rsidR="008B2FEE" w:rsidRPr="00EC25D6">
        <w:rPr>
          <w:rFonts w:ascii="Times New Roman" w:cs="Times New Roman"/>
          <w:color w:val="auto"/>
        </w:rPr>
        <w:t>元</w:t>
      </w:r>
      <w:r w:rsidR="00926C1F" w:rsidRPr="00EC25D6">
        <w:rPr>
          <w:rFonts w:ascii="Times New Roman" w:cs="Times New Roman"/>
          <w:color w:val="auto"/>
        </w:rPr>
        <w:t>，</w:t>
      </w:r>
      <w:r w:rsidR="008B28DF" w:rsidRPr="00EC25D6">
        <w:rPr>
          <w:rFonts w:ascii="Times New Roman" w:cs="Times New Roman"/>
          <w:color w:val="auto"/>
        </w:rPr>
        <w:t>已由基金管理人于</w:t>
      </w:r>
      <w:r w:rsidR="008B28DF" w:rsidRPr="00EC25D6">
        <w:rPr>
          <w:rFonts w:ascii="Times New Roman" w:cs="Times New Roman"/>
          <w:color w:val="auto"/>
        </w:rPr>
        <w:t>202</w:t>
      </w:r>
      <w:r w:rsidR="00612D0F" w:rsidRPr="00EC25D6">
        <w:rPr>
          <w:rFonts w:ascii="Times New Roman" w:cs="Times New Roman"/>
          <w:color w:val="auto"/>
        </w:rPr>
        <w:t>5</w:t>
      </w:r>
      <w:r w:rsidR="008B28DF" w:rsidRPr="00EC25D6">
        <w:rPr>
          <w:rFonts w:ascii="Times New Roman" w:cs="Times New Roman"/>
          <w:color w:val="auto"/>
        </w:rPr>
        <w:t>年</w:t>
      </w:r>
      <w:r w:rsidR="00612D0F" w:rsidRPr="00EC25D6">
        <w:rPr>
          <w:rFonts w:ascii="Times New Roman" w:cs="Times New Roman"/>
          <w:color w:val="auto"/>
        </w:rPr>
        <w:t>3</w:t>
      </w:r>
      <w:r w:rsidR="008B28DF" w:rsidRPr="00EC25D6">
        <w:rPr>
          <w:rFonts w:ascii="Times New Roman" w:cs="Times New Roman"/>
          <w:color w:val="auto"/>
        </w:rPr>
        <w:t>月</w:t>
      </w:r>
      <w:r w:rsidR="00612D0F" w:rsidRPr="00EC25D6">
        <w:rPr>
          <w:rFonts w:ascii="Times New Roman" w:cs="Times New Roman"/>
          <w:color w:val="auto"/>
        </w:rPr>
        <w:t>1</w:t>
      </w:r>
      <w:r w:rsidR="00ED6643" w:rsidRPr="00EC25D6">
        <w:rPr>
          <w:rFonts w:ascii="Times New Roman" w:cs="Times New Roman"/>
          <w:color w:val="auto"/>
        </w:rPr>
        <w:t>3</w:t>
      </w:r>
      <w:r w:rsidR="008B28DF" w:rsidRPr="00EC25D6">
        <w:rPr>
          <w:rFonts w:ascii="Times New Roman" w:cs="Times New Roman"/>
          <w:color w:val="auto"/>
        </w:rPr>
        <w:t>日以自有资金垫付至托管账户。</w:t>
      </w:r>
    </w:p>
    <w:p w:rsidR="008B28DF" w:rsidRPr="00EC25D6" w:rsidRDefault="008B28DF"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2</w:t>
      </w:r>
      <w:r w:rsidRPr="00EC25D6">
        <w:rPr>
          <w:rFonts w:ascii="Times New Roman" w:cs="Times New Roman"/>
          <w:color w:val="auto"/>
        </w:rPr>
        <w:t>、本基金最后运作日结算备付金及应计结算备付金利息为人民币</w:t>
      </w:r>
      <w:r w:rsidRPr="00EC25D6">
        <w:rPr>
          <w:rFonts w:ascii="Times New Roman" w:eastAsiaTheme="minorEastAsia" w:cs="Times New Roman"/>
          <w:color w:val="auto"/>
          <w:kern w:val="2"/>
          <w:lang w:bidi="ar-SA"/>
        </w:rPr>
        <w:t>16,146.78</w:t>
      </w:r>
      <w:r w:rsidRPr="00EC25D6">
        <w:rPr>
          <w:rFonts w:ascii="Times New Roman" w:cs="Times New Roman"/>
          <w:color w:val="auto"/>
        </w:rPr>
        <w:t>元，已由基金管理人于</w:t>
      </w:r>
      <w:r w:rsidRPr="00EC25D6">
        <w:rPr>
          <w:rFonts w:ascii="Times New Roman" w:cs="Times New Roman"/>
          <w:color w:val="auto"/>
        </w:rPr>
        <w:t>202</w:t>
      </w:r>
      <w:r w:rsidR="00612D0F" w:rsidRPr="00EC25D6">
        <w:rPr>
          <w:rFonts w:ascii="Times New Roman" w:cs="Times New Roman"/>
          <w:color w:val="auto"/>
        </w:rPr>
        <w:t>5</w:t>
      </w:r>
      <w:r w:rsidRPr="00EC25D6">
        <w:rPr>
          <w:rFonts w:ascii="Times New Roman" w:cs="Times New Roman"/>
          <w:color w:val="auto"/>
        </w:rPr>
        <w:t>年</w:t>
      </w:r>
      <w:r w:rsidR="00612D0F" w:rsidRPr="00EC25D6">
        <w:rPr>
          <w:rFonts w:ascii="Times New Roman" w:cs="Times New Roman"/>
          <w:color w:val="auto"/>
        </w:rPr>
        <w:t>3</w:t>
      </w:r>
      <w:r w:rsidRPr="00EC25D6">
        <w:rPr>
          <w:rFonts w:ascii="Times New Roman" w:cs="Times New Roman"/>
          <w:color w:val="auto"/>
        </w:rPr>
        <w:t>月</w:t>
      </w:r>
      <w:r w:rsidR="00612D0F" w:rsidRPr="00EC25D6">
        <w:rPr>
          <w:rFonts w:ascii="Times New Roman" w:cs="Times New Roman"/>
          <w:color w:val="auto"/>
        </w:rPr>
        <w:t>1</w:t>
      </w:r>
      <w:r w:rsidR="00ED6643" w:rsidRPr="00EC25D6">
        <w:rPr>
          <w:rFonts w:ascii="Times New Roman" w:cs="Times New Roman"/>
          <w:color w:val="auto"/>
        </w:rPr>
        <w:t>3</w:t>
      </w:r>
      <w:r w:rsidRPr="00EC25D6">
        <w:rPr>
          <w:rFonts w:ascii="Times New Roman" w:cs="Times New Roman"/>
          <w:color w:val="auto"/>
        </w:rPr>
        <w:t>日以自有资金垫付至托管账户。</w:t>
      </w:r>
    </w:p>
    <w:p w:rsidR="008B28DF" w:rsidRPr="00EC25D6" w:rsidRDefault="008B28DF"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3</w:t>
      </w:r>
      <w:r w:rsidRPr="00EC25D6">
        <w:rPr>
          <w:rFonts w:ascii="Times New Roman" w:cs="Times New Roman"/>
          <w:color w:val="auto"/>
        </w:rPr>
        <w:t>、本基金最后运作日存出保证金及应计存出保证金利息为人民币</w:t>
      </w:r>
      <w:r w:rsidRPr="00EC25D6">
        <w:rPr>
          <w:rFonts w:ascii="Times New Roman" w:eastAsiaTheme="minorEastAsia" w:cs="Times New Roman"/>
          <w:color w:val="auto"/>
          <w:kern w:val="2"/>
          <w:lang w:bidi="ar-SA"/>
        </w:rPr>
        <w:t>13,769.09</w:t>
      </w:r>
      <w:r w:rsidRPr="00EC25D6">
        <w:rPr>
          <w:rFonts w:ascii="Times New Roman" w:cs="Times New Roman"/>
          <w:color w:val="auto"/>
        </w:rPr>
        <w:t>元，已由基金管理人于</w:t>
      </w:r>
      <w:r w:rsidRPr="00EC25D6">
        <w:rPr>
          <w:rFonts w:ascii="Times New Roman" w:cs="Times New Roman"/>
          <w:color w:val="auto"/>
        </w:rPr>
        <w:t>202</w:t>
      </w:r>
      <w:r w:rsidR="00612D0F" w:rsidRPr="00EC25D6">
        <w:rPr>
          <w:rFonts w:ascii="Times New Roman" w:cs="Times New Roman"/>
          <w:color w:val="auto"/>
        </w:rPr>
        <w:t>5</w:t>
      </w:r>
      <w:r w:rsidRPr="00EC25D6">
        <w:rPr>
          <w:rFonts w:ascii="Times New Roman" w:cs="Times New Roman"/>
          <w:color w:val="auto"/>
        </w:rPr>
        <w:t>年</w:t>
      </w:r>
      <w:r w:rsidR="00612D0F" w:rsidRPr="00EC25D6">
        <w:rPr>
          <w:rFonts w:ascii="Times New Roman" w:cs="Times New Roman"/>
          <w:color w:val="auto"/>
        </w:rPr>
        <w:t>3</w:t>
      </w:r>
      <w:r w:rsidRPr="00EC25D6">
        <w:rPr>
          <w:rFonts w:ascii="Times New Roman" w:cs="Times New Roman"/>
          <w:color w:val="auto"/>
        </w:rPr>
        <w:t>月</w:t>
      </w:r>
      <w:r w:rsidR="00612D0F" w:rsidRPr="00EC25D6">
        <w:rPr>
          <w:rFonts w:ascii="Times New Roman" w:cs="Times New Roman"/>
          <w:color w:val="auto"/>
        </w:rPr>
        <w:t>1</w:t>
      </w:r>
      <w:r w:rsidR="00ED6643" w:rsidRPr="00EC25D6">
        <w:rPr>
          <w:rFonts w:ascii="Times New Roman" w:cs="Times New Roman"/>
          <w:color w:val="auto"/>
        </w:rPr>
        <w:t>3</w:t>
      </w:r>
      <w:r w:rsidRPr="00EC25D6">
        <w:rPr>
          <w:rFonts w:ascii="Times New Roman" w:cs="Times New Roman"/>
          <w:color w:val="auto"/>
        </w:rPr>
        <w:t>日以自有资金垫付至托管账户。</w:t>
      </w:r>
    </w:p>
    <w:p w:rsidR="00D97ADD" w:rsidRPr="00EC25D6" w:rsidRDefault="008B28DF" w:rsidP="00A3277D">
      <w:pPr>
        <w:pStyle w:val="Default"/>
        <w:spacing w:line="360" w:lineRule="auto"/>
        <w:ind w:firstLineChars="200" w:firstLine="480"/>
        <w:rPr>
          <w:rFonts w:ascii="Times New Roman" w:cs="Times New Roman"/>
          <w:color w:val="auto"/>
        </w:rPr>
      </w:pPr>
      <w:r w:rsidRPr="00EC25D6">
        <w:rPr>
          <w:rFonts w:ascii="Times New Roman" w:cs="Times New Roman"/>
          <w:color w:val="auto"/>
        </w:rPr>
        <w:t>4</w:t>
      </w:r>
      <w:r w:rsidRPr="00EC25D6">
        <w:rPr>
          <w:rFonts w:ascii="Times New Roman" w:cs="Times New Roman"/>
          <w:color w:val="auto"/>
        </w:rPr>
        <w:t>、本基金最后运作日</w:t>
      </w:r>
      <w:r w:rsidR="00EF70F4" w:rsidRPr="00EC25D6">
        <w:rPr>
          <w:rFonts w:ascii="Times New Roman" w:cs="Times New Roman"/>
          <w:color w:val="auto"/>
        </w:rPr>
        <w:t>交易性金融资产</w:t>
      </w:r>
      <w:r w:rsidRPr="00EC25D6">
        <w:rPr>
          <w:rFonts w:ascii="Times New Roman" w:cs="Times New Roman"/>
          <w:color w:val="auto"/>
        </w:rPr>
        <w:t>为人民币</w:t>
      </w:r>
      <w:r w:rsidRPr="00EC25D6">
        <w:rPr>
          <w:rFonts w:ascii="Times New Roman" w:cs="Times New Roman"/>
          <w:color w:val="auto"/>
        </w:rPr>
        <w:t>8</w:t>
      </w:r>
      <w:r w:rsidRPr="00EC25D6">
        <w:rPr>
          <w:rFonts w:ascii="Times New Roman" w:eastAsiaTheme="minorEastAsia" w:cs="Times New Roman"/>
          <w:color w:val="auto"/>
          <w:kern w:val="2"/>
          <w:lang w:bidi="ar-SA"/>
        </w:rPr>
        <w:t>,013,004.11</w:t>
      </w:r>
      <w:r w:rsidRPr="00EC25D6">
        <w:rPr>
          <w:rFonts w:ascii="Times New Roman" w:cs="Times New Roman"/>
          <w:color w:val="auto"/>
        </w:rPr>
        <w:t>元，</w:t>
      </w:r>
      <w:r w:rsidR="008C68D7" w:rsidRPr="00EC25D6">
        <w:rPr>
          <w:rFonts w:ascii="Times New Roman" w:cs="Times New Roman"/>
          <w:color w:val="auto"/>
        </w:rPr>
        <w:t>均为股票投资，</w:t>
      </w:r>
      <w:r w:rsidR="00A3277D" w:rsidRPr="00EC25D6">
        <w:rPr>
          <w:rFonts w:ascii="Times New Roman" w:cs="Times New Roman"/>
          <w:color w:val="auto"/>
        </w:rPr>
        <w:t>已于</w:t>
      </w:r>
      <w:r w:rsidR="00A3277D" w:rsidRPr="00EC25D6">
        <w:rPr>
          <w:rFonts w:ascii="Times New Roman" w:cs="Times New Roman"/>
          <w:color w:val="auto"/>
        </w:rPr>
        <w:t>2025</w:t>
      </w:r>
      <w:r w:rsidR="00A3277D" w:rsidRPr="00EC25D6">
        <w:rPr>
          <w:rFonts w:ascii="Times New Roman" w:cs="Times New Roman"/>
          <w:color w:val="auto"/>
        </w:rPr>
        <w:t>年</w:t>
      </w:r>
      <w:r w:rsidR="00A3277D" w:rsidRPr="00EC25D6">
        <w:rPr>
          <w:rFonts w:ascii="Times New Roman" w:cs="Times New Roman"/>
          <w:color w:val="auto"/>
        </w:rPr>
        <w:t>1</w:t>
      </w:r>
      <w:r w:rsidR="00A3277D" w:rsidRPr="00EC25D6">
        <w:rPr>
          <w:rFonts w:ascii="Times New Roman" w:cs="Times New Roman"/>
          <w:color w:val="auto"/>
        </w:rPr>
        <w:t>月</w:t>
      </w:r>
      <w:r w:rsidR="00A3277D" w:rsidRPr="00EC25D6">
        <w:rPr>
          <w:rFonts w:ascii="Times New Roman" w:cs="Times New Roman"/>
          <w:color w:val="auto"/>
        </w:rPr>
        <w:t>24</w:t>
      </w:r>
      <w:r w:rsidR="00A3277D" w:rsidRPr="00EC25D6">
        <w:rPr>
          <w:rFonts w:ascii="Times New Roman" w:cs="Times New Roman"/>
          <w:color w:val="auto"/>
        </w:rPr>
        <w:t>日至</w:t>
      </w:r>
      <w:r w:rsidR="00A3277D" w:rsidRPr="00EC25D6">
        <w:rPr>
          <w:rFonts w:ascii="Times New Roman" w:cs="Times New Roman"/>
          <w:color w:val="auto"/>
        </w:rPr>
        <w:t xml:space="preserve"> 2025</w:t>
      </w:r>
      <w:r w:rsidR="00A3277D" w:rsidRPr="00EC25D6">
        <w:rPr>
          <w:rFonts w:ascii="Times New Roman" w:cs="Times New Roman"/>
          <w:color w:val="auto"/>
        </w:rPr>
        <w:t>年</w:t>
      </w:r>
      <w:r w:rsidR="00A3277D" w:rsidRPr="00EC25D6">
        <w:rPr>
          <w:rFonts w:ascii="Times New Roman" w:cs="Times New Roman"/>
          <w:color w:val="auto"/>
        </w:rPr>
        <w:t>3</w:t>
      </w:r>
      <w:r w:rsidR="00A3277D" w:rsidRPr="00EC25D6">
        <w:rPr>
          <w:rFonts w:ascii="Times New Roman" w:cs="Times New Roman"/>
          <w:color w:val="auto"/>
        </w:rPr>
        <w:t>月</w:t>
      </w:r>
      <w:r w:rsidR="00A3277D" w:rsidRPr="00EC25D6">
        <w:rPr>
          <w:rFonts w:ascii="Times New Roman" w:cs="Times New Roman"/>
          <w:color w:val="auto"/>
        </w:rPr>
        <w:t>3</w:t>
      </w:r>
      <w:r w:rsidR="00A3277D" w:rsidRPr="00EC25D6">
        <w:rPr>
          <w:rFonts w:ascii="Times New Roman" w:cs="Times New Roman"/>
          <w:color w:val="auto"/>
        </w:rPr>
        <w:t>日处置变现，处置产生的</w:t>
      </w:r>
      <w:r w:rsidR="008C68D7" w:rsidRPr="00EC25D6">
        <w:rPr>
          <w:rFonts w:ascii="Times New Roman" w:cs="Times New Roman"/>
          <w:color w:val="auto"/>
        </w:rPr>
        <w:t>证券</w:t>
      </w:r>
      <w:r w:rsidR="00A3277D" w:rsidRPr="00EC25D6">
        <w:rPr>
          <w:rFonts w:ascii="Times New Roman" w:cs="Times New Roman"/>
          <w:color w:val="auto"/>
        </w:rPr>
        <w:t>清算款为人民币</w:t>
      </w:r>
      <w:r w:rsidR="00A3277D" w:rsidRPr="00EC25D6">
        <w:rPr>
          <w:rFonts w:ascii="Times New Roman" w:cs="Times New Roman"/>
          <w:color w:val="auto"/>
        </w:rPr>
        <w:t>8,062,184.76</w:t>
      </w:r>
      <w:r w:rsidR="00A3277D" w:rsidRPr="00EC25D6">
        <w:rPr>
          <w:rFonts w:ascii="Times New Roman" w:cs="Times New Roman"/>
          <w:color w:val="auto"/>
        </w:rPr>
        <w:t>元，该款项至</w:t>
      </w:r>
      <w:r w:rsidR="00A3277D" w:rsidRPr="00EC25D6">
        <w:rPr>
          <w:rFonts w:ascii="Times New Roman" w:cs="Times New Roman"/>
          <w:color w:val="auto"/>
        </w:rPr>
        <w:t>2025</w:t>
      </w:r>
      <w:r w:rsidR="00A3277D" w:rsidRPr="00EC25D6">
        <w:rPr>
          <w:rFonts w:ascii="Times New Roman" w:cs="Times New Roman"/>
          <w:color w:val="auto"/>
        </w:rPr>
        <w:t>年</w:t>
      </w:r>
      <w:r w:rsidR="00A3277D" w:rsidRPr="00EC25D6">
        <w:rPr>
          <w:rFonts w:ascii="Times New Roman" w:cs="Times New Roman"/>
          <w:color w:val="auto"/>
        </w:rPr>
        <w:t>3</w:t>
      </w:r>
      <w:r w:rsidR="00A3277D" w:rsidRPr="00EC25D6">
        <w:rPr>
          <w:rFonts w:ascii="Times New Roman" w:cs="Times New Roman"/>
          <w:color w:val="auto"/>
        </w:rPr>
        <w:t>月</w:t>
      </w:r>
      <w:r w:rsidR="00A3277D" w:rsidRPr="00EC25D6">
        <w:rPr>
          <w:rFonts w:ascii="Times New Roman" w:cs="Times New Roman"/>
          <w:color w:val="auto"/>
        </w:rPr>
        <w:t>4</w:t>
      </w:r>
      <w:r w:rsidR="00A3277D" w:rsidRPr="00EC25D6">
        <w:rPr>
          <w:rFonts w:ascii="Times New Roman" w:cs="Times New Roman"/>
          <w:color w:val="auto"/>
        </w:rPr>
        <w:t>日已划至托管账户。</w:t>
      </w:r>
    </w:p>
    <w:p w:rsidR="008F63DD" w:rsidRPr="00EC25D6" w:rsidRDefault="008F63DD" w:rsidP="008F63DD">
      <w:pPr>
        <w:pStyle w:val="Default"/>
        <w:spacing w:line="360" w:lineRule="auto"/>
        <w:ind w:firstLineChars="200" w:firstLine="480"/>
        <w:rPr>
          <w:rFonts w:ascii="Times New Roman" w:cs="Times New Roman"/>
          <w:color w:val="auto"/>
        </w:rPr>
      </w:pPr>
      <w:r w:rsidRPr="00EC25D6">
        <w:rPr>
          <w:rFonts w:ascii="Times New Roman" w:cs="Times New Roman"/>
          <w:color w:val="auto"/>
        </w:rPr>
        <w:t>5</w:t>
      </w:r>
      <w:r w:rsidRPr="00EC25D6">
        <w:rPr>
          <w:rFonts w:ascii="Times New Roman" w:cs="Times New Roman"/>
          <w:color w:val="auto"/>
        </w:rPr>
        <w:t>、本基金最后运作日其他资产为</w:t>
      </w:r>
      <w:r w:rsidRPr="00EC25D6">
        <w:rPr>
          <w:rFonts w:ascii="Times New Roman" w:cs="Times New Roman"/>
        </w:rPr>
        <w:t>人民币</w:t>
      </w:r>
      <w:r w:rsidRPr="00EC25D6">
        <w:rPr>
          <w:rFonts w:ascii="Times New Roman" w:cs="Times New Roman"/>
          <w:color w:val="auto"/>
        </w:rPr>
        <w:t>4,043.84</w:t>
      </w:r>
      <w:r w:rsidRPr="00EC25D6">
        <w:rPr>
          <w:rFonts w:ascii="Times New Roman" w:cs="Times New Roman"/>
        </w:rPr>
        <w:t>元，</w:t>
      </w:r>
      <w:r w:rsidR="0024635E" w:rsidRPr="00EC25D6">
        <w:rPr>
          <w:rFonts w:ascii="Times New Roman" w:cs="Times New Roman"/>
        </w:rPr>
        <w:t>均为其他应收款，</w:t>
      </w:r>
      <w:r w:rsidRPr="00EC25D6">
        <w:rPr>
          <w:rFonts w:ascii="Times New Roman" w:cs="Times New Roman"/>
          <w:color w:val="auto"/>
        </w:rPr>
        <w:t>该款项</w:t>
      </w:r>
      <w:r w:rsidR="008C68D7" w:rsidRPr="00EC25D6">
        <w:rPr>
          <w:rFonts w:ascii="Times New Roman" w:cs="Times New Roman"/>
          <w:color w:val="auto"/>
        </w:rPr>
        <w:t>已于</w:t>
      </w:r>
      <w:r w:rsidRPr="00EC25D6">
        <w:rPr>
          <w:rFonts w:ascii="Times New Roman" w:cs="Times New Roman"/>
          <w:color w:val="auto"/>
        </w:rPr>
        <w:t>2025</w:t>
      </w:r>
      <w:r w:rsidRPr="00EC25D6">
        <w:rPr>
          <w:rFonts w:ascii="Times New Roman" w:cs="Times New Roman"/>
          <w:color w:val="auto"/>
        </w:rPr>
        <w:t>年</w:t>
      </w:r>
      <w:r w:rsidRPr="00EC25D6">
        <w:rPr>
          <w:rFonts w:ascii="Times New Roman" w:cs="Times New Roman"/>
          <w:color w:val="auto"/>
        </w:rPr>
        <w:t>3</w:t>
      </w:r>
      <w:r w:rsidRPr="00EC25D6">
        <w:rPr>
          <w:rFonts w:ascii="Times New Roman" w:cs="Times New Roman"/>
          <w:color w:val="auto"/>
        </w:rPr>
        <w:t>月</w:t>
      </w:r>
      <w:r w:rsidRPr="00EC25D6">
        <w:rPr>
          <w:rFonts w:ascii="Times New Roman" w:cs="Times New Roman"/>
          <w:color w:val="auto"/>
        </w:rPr>
        <w:t>5</w:t>
      </w:r>
      <w:r w:rsidRPr="00EC25D6">
        <w:rPr>
          <w:rFonts w:ascii="Times New Roman" w:cs="Times New Roman"/>
          <w:color w:val="auto"/>
        </w:rPr>
        <w:t>日划至托管账户。</w:t>
      </w:r>
    </w:p>
    <w:p w:rsidR="00D97ADD" w:rsidRPr="00EC25D6" w:rsidRDefault="00D97ADD" w:rsidP="00D97ADD">
      <w:pPr>
        <w:pStyle w:val="Default"/>
        <w:overflowPunct w:val="0"/>
        <w:spacing w:line="360" w:lineRule="auto"/>
        <w:ind w:firstLineChars="150" w:firstLine="360"/>
        <w:rPr>
          <w:rFonts w:ascii="Times New Roman" w:eastAsiaTheme="majorEastAsia" w:cs="Times New Roman"/>
          <w:color w:val="auto"/>
        </w:rPr>
      </w:pPr>
      <w:r w:rsidRPr="00EC25D6">
        <w:rPr>
          <w:rFonts w:ascii="Times New Roman" w:eastAsiaTheme="majorEastAsia" w:cs="Times New Roman"/>
          <w:color w:val="auto"/>
        </w:rPr>
        <w:t>（三）最后运作日负债清偿情况</w:t>
      </w:r>
    </w:p>
    <w:p w:rsidR="008B28DF" w:rsidRPr="00EC25D6" w:rsidRDefault="008B28DF"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1</w:t>
      </w:r>
      <w:r w:rsidRPr="00EC25D6">
        <w:rPr>
          <w:rFonts w:ascii="Times New Roman" w:cs="Times New Roman"/>
          <w:color w:val="auto"/>
        </w:rPr>
        <w:t>、本基金最后运作日应付赎回款</w:t>
      </w:r>
      <w:r w:rsidRPr="00EC25D6">
        <w:rPr>
          <w:rFonts w:ascii="Times New Roman" w:cs="Times New Roman"/>
        </w:rPr>
        <w:t>为人民币</w:t>
      </w:r>
      <w:r w:rsidRPr="00EC25D6">
        <w:rPr>
          <w:rFonts w:ascii="Times New Roman" w:eastAsiaTheme="minorEastAsia" w:cs="Times New Roman"/>
          <w:color w:val="auto"/>
          <w:kern w:val="2"/>
          <w:lang w:bidi="ar-SA"/>
        </w:rPr>
        <w:t>399,768.84</w:t>
      </w:r>
      <w:r w:rsidRPr="00EC25D6">
        <w:rPr>
          <w:rFonts w:ascii="Times New Roman" w:cs="Times New Roman"/>
        </w:rPr>
        <w:t>元，该</w:t>
      </w:r>
      <w:r w:rsidRPr="00EC25D6">
        <w:rPr>
          <w:rFonts w:ascii="Times New Roman" w:cs="Times New Roman"/>
          <w:color w:val="auto"/>
        </w:rPr>
        <w:t>款项至</w:t>
      </w:r>
      <w:r w:rsidR="008C68D7" w:rsidRPr="00EC25D6">
        <w:rPr>
          <w:rFonts w:ascii="Times New Roman" w:cs="Times New Roman"/>
          <w:color w:val="auto"/>
        </w:rPr>
        <w:t>2025</w:t>
      </w:r>
      <w:r w:rsidR="008C68D7" w:rsidRPr="00EC25D6">
        <w:rPr>
          <w:rFonts w:ascii="Times New Roman" w:cs="Times New Roman"/>
          <w:color w:val="auto"/>
        </w:rPr>
        <w:t>年</w:t>
      </w:r>
      <w:r w:rsidR="008C68D7" w:rsidRPr="00EC25D6">
        <w:rPr>
          <w:rFonts w:ascii="Times New Roman" w:cs="Times New Roman"/>
          <w:color w:val="auto"/>
        </w:rPr>
        <w:t>1</w:t>
      </w:r>
      <w:r w:rsidRPr="00EC25D6">
        <w:rPr>
          <w:rFonts w:ascii="Times New Roman" w:cs="Times New Roman"/>
          <w:color w:val="auto"/>
        </w:rPr>
        <w:t>月</w:t>
      </w:r>
      <w:r w:rsidR="008C68D7" w:rsidRPr="00EC25D6">
        <w:rPr>
          <w:rFonts w:ascii="Times New Roman" w:cs="Times New Roman"/>
          <w:color w:val="auto"/>
        </w:rPr>
        <w:t>27</w:t>
      </w:r>
      <w:r w:rsidRPr="00EC25D6">
        <w:rPr>
          <w:rFonts w:ascii="Times New Roman" w:cs="Times New Roman"/>
          <w:color w:val="auto"/>
        </w:rPr>
        <w:t>日</w:t>
      </w:r>
      <w:r w:rsidRPr="00EC25D6">
        <w:rPr>
          <w:rFonts w:ascii="Times New Roman" w:cs="Times New Roman"/>
        </w:rPr>
        <w:t>已</w:t>
      </w:r>
      <w:r w:rsidRPr="00EC25D6">
        <w:rPr>
          <w:rFonts w:ascii="Times New Roman" w:cs="Times New Roman"/>
          <w:color w:val="auto"/>
        </w:rPr>
        <w:t>支付。</w:t>
      </w:r>
    </w:p>
    <w:p w:rsidR="008B28DF" w:rsidRPr="00EC25D6" w:rsidRDefault="008B28DF"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2</w:t>
      </w:r>
      <w:r w:rsidRPr="00EC25D6">
        <w:rPr>
          <w:rFonts w:ascii="Times New Roman" w:cs="Times New Roman"/>
          <w:color w:val="auto"/>
        </w:rPr>
        <w:t>、本基金最后运作日应付管理人报酬</w:t>
      </w:r>
      <w:r w:rsidRPr="00EC25D6">
        <w:rPr>
          <w:rFonts w:ascii="Times New Roman" w:cs="Times New Roman"/>
        </w:rPr>
        <w:t>为人民币</w:t>
      </w:r>
      <w:r w:rsidRPr="00EC25D6">
        <w:rPr>
          <w:rFonts w:ascii="Times New Roman" w:eastAsiaTheme="minorEastAsia" w:cs="Times New Roman"/>
          <w:color w:val="auto"/>
          <w:kern w:val="2"/>
          <w:lang w:bidi="ar-SA"/>
        </w:rPr>
        <w:t>4,598.98</w:t>
      </w:r>
      <w:r w:rsidRPr="00EC25D6">
        <w:rPr>
          <w:rFonts w:ascii="Times New Roman" w:cs="Times New Roman"/>
        </w:rPr>
        <w:t>元，该</w:t>
      </w:r>
      <w:r w:rsidRPr="00EC25D6">
        <w:rPr>
          <w:rFonts w:ascii="Times New Roman" w:cs="Times New Roman"/>
          <w:color w:val="auto"/>
        </w:rPr>
        <w:t>款项已于</w:t>
      </w:r>
      <w:r w:rsidRPr="00EC25D6">
        <w:rPr>
          <w:rFonts w:ascii="Times New Roman" w:cs="Times New Roman"/>
          <w:color w:val="auto"/>
        </w:rPr>
        <w:t>2025</w:t>
      </w:r>
      <w:r w:rsidRPr="00EC25D6">
        <w:rPr>
          <w:rFonts w:ascii="Times New Roman" w:cs="Times New Roman"/>
          <w:color w:val="auto"/>
        </w:rPr>
        <w:t>年</w:t>
      </w:r>
      <w:r w:rsidRPr="00EC25D6">
        <w:rPr>
          <w:rFonts w:ascii="Times New Roman" w:cs="Times New Roman"/>
          <w:color w:val="auto"/>
        </w:rPr>
        <w:t>2</w:t>
      </w:r>
      <w:r w:rsidRPr="00EC25D6">
        <w:rPr>
          <w:rFonts w:ascii="Times New Roman" w:cs="Times New Roman"/>
          <w:color w:val="auto"/>
        </w:rPr>
        <w:t>月</w:t>
      </w:r>
      <w:r w:rsidRPr="00EC25D6">
        <w:rPr>
          <w:rFonts w:ascii="Times New Roman" w:cs="Times New Roman"/>
          <w:color w:val="auto"/>
        </w:rPr>
        <w:t>5</w:t>
      </w:r>
      <w:r w:rsidRPr="00EC25D6">
        <w:rPr>
          <w:rFonts w:ascii="Times New Roman" w:cs="Times New Roman"/>
          <w:color w:val="auto"/>
        </w:rPr>
        <w:t>日支付。</w:t>
      </w:r>
    </w:p>
    <w:p w:rsidR="008B28DF" w:rsidRPr="00EC25D6" w:rsidRDefault="008B28DF"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3</w:t>
      </w:r>
      <w:r w:rsidRPr="00EC25D6">
        <w:rPr>
          <w:rFonts w:ascii="Times New Roman" w:cs="Times New Roman"/>
          <w:color w:val="auto"/>
        </w:rPr>
        <w:t>、本基金最后运作日应付托管费为</w:t>
      </w:r>
      <w:r w:rsidRPr="00EC25D6">
        <w:rPr>
          <w:rFonts w:ascii="Times New Roman" w:cs="Times New Roman"/>
        </w:rPr>
        <w:t>人民币</w:t>
      </w:r>
      <w:r w:rsidRPr="00EC25D6">
        <w:rPr>
          <w:rFonts w:ascii="Times New Roman" w:eastAsiaTheme="minorEastAsia" w:cs="Times New Roman"/>
          <w:color w:val="auto"/>
          <w:kern w:val="2"/>
          <w:lang w:bidi="ar-SA"/>
        </w:rPr>
        <w:t>766.49</w:t>
      </w:r>
      <w:r w:rsidRPr="00EC25D6">
        <w:rPr>
          <w:rFonts w:ascii="Times New Roman" w:cs="Times New Roman"/>
        </w:rPr>
        <w:t>元，该</w:t>
      </w:r>
      <w:r w:rsidRPr="00EC25D6">
        <w:rPr>
          <w:rFonts w:ascii="Times New Roman" w:cs="Times New Roman"/>
          <w:color w:val="auto"/>
        </w:rPr>
        <w:t>款项已于</w:t>
      </w:r>
      <w:r w:rsidRPr="00EC25D6">
        <w:rPr>
          <w:rFonts w:ascii="Times New Roman" w:cs="Times New Roman"/>
          <w:color w:val="auto"/>
        </w:rPr>
        <w:t>2025</w:t>
      </w:r>
      <w:r w:rsidRPr="00EC25D6">
        <w:rPr>
          <w:rFonts w:ascii="Times New Roman" w:cs="Times New Roman"/>
          <w:color w:val="auto"/>
        </w:rPr>
        <w:t>年</w:t>
      </w:r>
      <w:r w:rsidRPr="00EC25D6">
        <w:rPr>
          <w:rFonts w:ascii="Times New Roman" w:cs="Times New Roman"/>
          <w:color w:val="auto"/>
        </w:rPr>
        <w:t>2</w:t>
      </w:r>
      <w:r w:rsidRPr="00EC25D6">
        <w:rPr>
          <w:rFonts w:ascii="Times New Roman" w:cs="Times New Roman"/>
          <w:color w:val="auto"/>
        </w:rPr>
        <w:t>月</w:t>
      </w:r>
      <w:r w:rsidRPr="00EC25D6">
        <w:rPr>
          <w:rFonts w:ascii="Times New Roman" w:cs="Times New Roman"/>
          <w:color w:val="auto"/>
        </w:rPr>
        <w:t>5</w:t>
      </w:r>
      <w:r w:rsidRPr="00EC25D6">
        <w:rPr>
          <w:rFonts w:ascii="Times New Roman" w:cs="Times New Roman"/>
          <w:color w:val="auto"/>
        </w:rPr>
        <w:t>日支付。</w:t>
      </w:r>
    </w:p>
    <w:p w:rsidR="008B28DF" w:rsidRPr="00EC25D6" w:rsidRDefault="008B28DF"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4</w:t>
      </w:r>
      <w:r w:rsidRPr="00EC25D6">
        <w:rPr>
          <w:rFonts w:ascii="Times New Roman" w:cs="Times New Roman"/>
          <w:color w:val="auto"/>
        </w:rPr>
        <w:t>、本基金最后运作日应付销售服务费为</w:t>
      </w:r>
      <w:r w:rsidRPr="00EC25D6">
        <w:rPr>
          <w:rFonts w:ascii="Times New Roman" w:cs="Times New Roman"/>
        </w:rPr>
        <w:t>人民币</w:t>
      </w:r>
      <w:r w:rsidRPr="00EC25D6">
        <w:rPr>
          <w:rFonts w:ascii="Times New Roman" w:eastAsiaTheme="minorEastAsia" w:cs="Times New Roman"/>
          <w:color w:val="auto"/>
          <w:kern w:val="2"/>
          <w:lang w:bidi="ar-SA"/>
        </w:rPr>
        <w:t>730.94</w:t>
      </w:r>
      <w:r w:rsidRPr="00EC25D6">
        <w:rPr>
          <w:rFonts w:ascii="Times New Roman" w:cs="Times New Roman"/>
        </w:rPr>
        <w:t>元，该</w:t>
      </w:r>
      <w:r w:rsidRPr="00EC25D6">
        <w:rPr>
          <w:rFonts w:ascii="Times New Roman" w:cs="Times New Roman"/>
          <w:color w:val="auto"/>
        </w:rPr>
        <w:t>款项已于</w:t>
      </w:r>
      <w:r w:rsidRPr="00EC25D6">
        <w:rPr>
          <w:rFonts w:ascii="Times New Roman" w:cs="Times New Roman"/>
          <w:color w:val="auto"/>
        </w:rPr>
        <w:t>2025</w:t>
      </w:r>
      <w:r w:rsidRPr="00EC25D6">
        <w:rPr>
          <w:rFonts w:ascii="Times New Roman" w:cs="Times New Roman"/>
          <w:color w:val="auto"/>
        </w:rPr>
        <w:t>年</w:t>
      </w:r>
      <w:r w:rsidRPr="00EC25D6">
        <w:rPr>
          <w:rFonts w:ascii="Times New Roman" w:cs="Times New Roman"/>
          <w:color w:val="auto"/>
        </w:rPr>
        <w:t>2</w:t>
      </w:r>
      <w:r w:rsidRPr="00EC25D6">
        <w:rPr>
          <w:rFonts w:ascii="Times New Roman" w:cs="Times New Roman"/>
          <w:color w:val="auto"/>
        </w:rPr>
        <w:t>月</w:t>
      </w:r>
      <w:r w:rsidRPr="00EC25D6">
        <w:rPr>
          <w:rFonts w:ascii="Times New Roman" w:cs="Times New Roman"/>
          <w:color w:val="auto"/>
        </w:rPr>
        <w:t>5</w:t>
      </w:r>
      <w:r w:rsidRPr="00EC25D6">
        <w:rPr>
          <w:rFonts w:ascii="Times New Roman" w:cs="Times New Roman"/>
          <w:color w:val="auto"/>
        </w:rPr>
        <w:t>日支付。</w:t>
      </w:r>
    </w:p>
    <w:p w:rsidR="008C68D7" w:rsidRPr="00B82FF5" w:rsidRDefault="008C68D7" w:rsidP="008B28DF">
      <w:pPr>
        <w:pStyle w:val="Default"/>
        <w:spacing w:line="360" w:lineRule="auto"/>
        <w:ind w:firstLineChars="200" w:firstLine="480"/>
        <w:rPr>
          <w:rFonts w:ascii="Times New Roman" w:cs="Times New Roman"/>
          <w:color w:val="auto"/>
        </w:rPr>
      </w:pPr>
      <w:r w:rsidRPr="00EC25D6">
        <w:rPr>
          <w:rFonts w:ascii="Times New Roman" w:cs="Times New Roman"/>
          <w:color w:val="auto"/>
        </w:rPr>
        <w:t>5</w:t>
      </w:r>
      <w:r w:rsidRPr="00EC25D6">
        <w:rPr>
          <w:rFonts w:ascii="Times New Roman" w:cs="Times New Roman"/>
          <w:color w:val="auto"/>
        </w:rPr>
        <w:t>、</w:t>
      </w:r>
      <w:r w:rsidRPr="00B82FF5">
        <w:rPr>
          <w:rFonts w:ascii="Times New Roman" w:cs="Times New Roman" w:hint="eastAsia"/>
          <w:color w:val="auto"/>
        </w:rPr>
        <w:t>本基金最后运作日应付清算款为人民币</w:t>
      </w:r>
      <w:r w:rsidRPr="00B82FF5">
        <w:rPr>
          <w:rFonts w:ascii="Times New Roman" w:cs="Times New Roman"/>
          <w:color w:val="auto"/>
        </w:rPr>
        <w:t>377,487.02</w:t>
      </w:r>
      <w:r w:rsidRPr="00B82FF5">
        <w:rPr>
          <w:rFonts w:ascii="Times New Roman" w:cs="Times New Roman" w:hint="eastAsia"/>
          <w:color w:val="auto"/>
        </w:rPr>
        <w:t>元，该款项已于</w:t>
      </w:r>
      <w:r w:rsidRPr="00B82FF5">
        <w:rPr>
          <w:rFonts w:ascii="Times New Roman" w:cs="Times New Roman"/>
          <w:color w:val="auto"/>
        </w:rPr>
        <w:t>2025</w:t>
      </w:r>
      <w:r w:rsidRPr="00B82FF5">
        <w:rPr>
          <w:rFonts w:ascii="Times New Roman" w:cs="Times New Roman" w:hint="eastAsia"/>
          <w:color w:val="auto"/>
        </w:rPr>
        <w:t>年</w:t>
      </w:r>
      <w:r w:rsidRPr="00B82FF5">
        <w:rPr>
          <w:rFonts w:ascii="Times New Roman" w:cs="Times New Roman"/>
          <w:color w:val="auto"/>
        </w:rPr>
        <w:t>1</w:t>
      </w:r>
      <w:r w:rsidRPr="00B82FF5">
        <w:rPr>
          <w:rFonts w:ascii="Times New Roman" w:cs="Times New Roman" w:hint="eastAsia"/>
          <w:color w:val="auto"/>
        </w:rPr>
        <w:t>月</w:t>
      </w:r>
      <w:r w:rsidRPr="00B82FF5">
        <w:rPr>
          <w:rFonts w:ascii="Times New Roman" w:cs="Times New Roman"/>
          <w:color w:val="auto"/>
        </w:rPr>
        <w:t>24</w:t>
      </w:r>
      <w:r w:rsidRPr="00B82FF5">
        <w:rPr>
          <w:rFonts w:ascii="Times New Roman" w:cs="Times New Roman" w:hint="eastAsia"/>
          <w:color w:val="auto"/>
        </w:rPr>
        <w:t>日支付。</w:t>
      </w:r>
    </w:p>
    <w:p w:rsidR="008C68D7" w:rsidRPr="00EC25D6" w:rsidRDefault="008C68D7" w:rsidP="008B28DF">
      <w:pPr>
        <w:pStyle w:val="Default"/>
        <w:spacing w:line="360" w:lineRule="auto"/>
        <w:ind w:firstLineChars="200" w:firstLine="480"/>
        <w:rPr>
          <w:rFonts w:ascii="Times New Roman" w:cs="Times New Roman"/>
          <w:color w:val="auto"/>
        </w:rPr>
      </w:pPr>
      <w:r w:rsidRPr="00B82FF5">
        <w:rPr>
          <w:rFonts w:ascii="Times New Roman" w:cs="Times New Roman"/>
          <w:color w:val="auto"/>
        </w:rPr>
        <w:t>6</w:t>
      </w:r>
      <w:r w:rsidRPr="00B82FF5">
        <w:rPr>
          <w:rFonts w:ascii="Times New Roman" w:cs="Times New Roman" w:hint="eastAsia"/>
          <w:color w:val="auto"/>
        </w:rPr>
        <w:t>、本基金最后运作日应交税费为人民币</w:t>
      </w:r>
      <w:r w:rsidRPr="00B82FF5">
        <w:rPr>
          <w:rFonts w:ascii="Times New Roman" w:cs="Times New Roman"/>
          <w:color w:val="auto"/>
        </w:rPr>
        <w:t>935.58</w:t>
      </w:r>
      <w:r w:rsidRPr="00B82FF5">
        <w:rPr>
          <w:rFonts w:ascii="Times New Roman" w:cs="Times New Roman" w:hint="eastAsia"/>
          <w:color w:val="auto"/>
        </w:rPr>
        <w:t>元，该款项已于</w:t>
      </w:r>
      <w:r w:rsidRPr="00B82FF5">
        <w:rPr>
          <w:rFonts w:ascii="Times New Roman" w:cs="Times New Roman"/>
          <w:color w:val="auto"/>
        </w:rPr>
        <w:t>2025</w:t>
      </w:r>
      <w:r w:rsidRPr="00B82FF5">
        <w:rPr>
          <w:rFonts w:ascii="Times New Roman" w:cs="Times New Roman" w:hint="eastAsia"/>
          <w:color w:val="auto"/>
        </w:rPr>
        <w:t>年</w:t>
      </w:r>
      <w:r w:rsidRPr="00B82FF5">
        <w:rPr>
          <w:rFonts w:ascii="Times New Roman" w:cs="Times New Roman"/>
          <w:color w:val="auto"/>
        </w:rPr>
        <w:t>2</w:t>
      </w:r>
      <w:r w:rsidRPr="00B82FF5">
        <w:rPr>
          <w:rFonts w:ascii="Times New Roman" w:cs="Times New Roman" w:hint="eastAsia"/>
          <w:color w:val="auto"/>
        </w:rPr>
        <w:t>月</w:t>
      </w:r>
      <w:r w:rsidRPr="00B82FF5">
        <w:rPr>
          <w:rFonts w:ascii="Times New Roman" w:cs="Times New Roman"/>
          <w:color w:val="auto"/>
        </w:rPr>
        <w:t>11</w:t>
      </w:r>
      <w:r w:rsidRPr="00B82FF5">
        <w:rPr>
          <w:rFonts w:ascii="Times New Roman" w:cs="Times New Roman" w:hint="eastAsia"/>
          <w:color w:val="auto"/>
        </w:rPr>
        <w:t>日支付。</w:t>
      </w:r>
    </w:p>
    <w:p w:rsidR="008B28DF" w:rsidRPr="00EC25D6" w:rsidRDefault="008C68D7" w:rsidP="008B28DF">
      <w:pPr>
        <w:pStyle w:val="Default"/>
        <w:spacing w:line="360" w:lineRule="auto"/>
        <w:ind w:firstLineChars="200" w:firstLine="480"/>
        <w:rPr>
          <w:rFonts w:ascii="Times New Roman" w:cs="Times New Roman"/>
        </w:rPr>
      </w:pPr>
      <w:r w:rsidRPr="00EC25D6">
        <w:rPr>
          <w:rFonts w:ascii="Times New Roman" w:cs="Times New Roman"/>
          <w:color w:val="auto"/>
        </w:rPr>
        <w:t>7</w:t>
      </w:r>
      <w:r w:rsidR="008B28DF" w:rsidRPr="00EC25D6">
        <w:rPr>
          <w:rFonts w:ascii="Times New Roman" w:cs="Times New Roman"/>
          <w:color w:val="auto"/>
        </w:rPr>
        <w:t>、本基金最后运作日其他负债为</w:t>
      </w:r>
      <w:r w:rsidR="008B28DF" w:rsidRPr="00EC25D6">
        <w:rPr>
          <w:rFonts w:ascii="Times New Roman" w:cs="Times New Roman"/>
        </w:rPr>
        <w:t>人民币</w:t>
      </w:r>
      <w:r w:rsidRPr="00EC25D6">
        <w:rPr>
          <w:rFonts w:ascii="Times New Roman" w:eastAsiaTheme="minorEastAsia" w:cs="Times New Roman"/>
          <w:color w:val="auto"/>
          <w:kern w:val="2"/>
          <w:lang w:bidi="ar-SA"/>
        </w:rPr>
        <w:t>569,422.06</w:t>
      </w:r>
      <w:r w:rsidR="008B28DF" w:rsidRPr="00EC25D6">
        <w:rPr>
          <w:rFonts w:ascii="Times New Roman" w:cs="Times New Roman"/>
        </w:rPr>
        <w:t>元，其中包含预提信息披露费</w:t>
      </w:r>
      <w:r w:rsidRPr="00EC25D6">
        <w:rPr>
          <w:rFonts w:ascii="Times New Roman" w:cs="Times New Roman"/>
        </w:rPr>
        <w:t>人民币</w:t>
      </w:r>
      <w:r w:rsidR="008B28DF" w:rsidRPr="00EC25D6">
        <w:rPr>
          <w:rFonts w:ascii="Times New Roman" w:cs="Times New Roman"/>
        </w:rPr>
        <w:t xml:space="preserve"> 71,257.08</w:t>
      </w:r>
      <w:r w:rsidR="008B28DF" w:rsidRPr="00EC25D6">
        <w:rPr>
          <w:rFonts w:ascii="Times New Roman" w:cs="Times New Roman"/>
        </w:rPr>
        <w:t>元、应付交易费用</w:t>
      </w:r>
      <w:r w:rsidRPr="00EC25D6">
        <w:rPr>
          <w:rFonts w:ascii="Times New Roman" w:cs="Times New Roman"/>
        </w:rPr>
        <w:t>人民币</w:t>
      </w:r>
      <w:r w:rsidR="008B28DF" w:rsidRPr="00EC25D6">
        <w:rPr>
          <w:rFonts w:ascii="Times New Roman" w:cs="Times New Roman"/>
        </w:rPr>
        <w:t>498,164.98</w:t>
      </w:r>
      <w:r w:rsidR="008B28DF" w:rsidRPr="00EC25D6">
        <w:rPr>
          <w:rFonts w:ascii="Times New Roman" w:cs="Times New Roman"/>
        </w:rPr>
        <w:t>元，</w:t>
      </w:r>
      <w:r w:rsidR="00F20529" w:rsidRPr="00EC25D6">
        <w:rPr>
          <w:rFonts w:ascii="Times New Roman" w:cs="Times New Roman"/>
        </w:rPr>
        <w:t>以上款项</w:t>
      </w:r>
      <w:r w:rsidR="00973A95" w:rsidRPr="00EC25D6">
        <w:rPr>
          <w:rFonts w:ascii="Times New Roman" w:cs="Times New Roman"/>
          <w:color w:val="auto"/>
        </w:rPr>
        <w:t>至</w:t>
      </w:r>
      <w:r w:rsidR="008B28DF" w:rsidRPr="00EC25D6">
        <w:rPr>
          <w:rFonts w:ascii="Times New Roman" w:cs="Times New Roman"/>
          <w:color w:val="auto"/>
        </w:rPr>
        <w:t>2025</w:t>
      </w:r>
      <w:r w:rsidR="008B28DF" w:rsidRPr="00EC25D6">
        <w:rPr>
          <w:rFonts w:ascii="Times New Roman" w:cs="Times New Roman"/>
          <w:color w:val="auto"/>
        </w:rPr>
        <w:t>年</w:t>
      </w:r>
      <w:r w:rsidR="008B28DF" w:rsidRPr="00EC25D6">
        <w:rPr>
          <w:rFonts w:ascii="Times New Roman" w:cs="Times New Roman"/>
          <w:color w:val="auto"/>
        </w:rPr>
        <w:t>3</w:t>
      </w:r>
      <w:r w:rsidR="008B28DF" w:rsidRPr="00EC25D6">
        <w:rPr>
          <w:rFonts w:ascii="Times New Roman" w:cs="Times New Roman"/>
          <w:color w:val="auto"/>
        </w:rPr>
        <w:t>月</w:t>
      </w:r>
      <w:r w:rsidR="008B28DF" w:rsidRPr="00EC25D6">
        <w:rPr>
          <w:rFonts w:ascii="Times New Roman" w:cs="Times New Roman"/>
          <w:color w:val="auto"/>
        </w:rPr>
        <w:t>5</w:t>
      </w:r>
      <w:r w:rsidR="008B28DF" w:rsidRPr="00EC25D6">
        <w:rPr>
          <w:rFonts w:ascii="Times New Roman" w:cs="Times New Roman"/>
          <w:color w:val="auto"/>
        </w:rPr>
        <w:t>日</w:t>
      </w:r>
      <w:r w:rsidR="00973A95" w:rsidRPr="00EC25D6">
        <w:rPr>
          <w:rFonts w:ascii="Times New Roman" w:cs="Times New Roman"/>
        </w:rPr>
        <w:t>已</w:t>
      </w:r>
      <w:r w:rsidRPr="00EC25D6">
        <w:rPr>
          <w:rFonts w:ascii="Times New Roman" w:cs="Times New Roman"/>
        </w:rPr>
        <w:t>全部</w:t>
      </w:r>
      <w:r w:rsidR="008B28DF" w:rsidRPr="00EC25D6">
        <w:rPr>
          <w:rFonts w:ascii="Times New Roman" w:cs="Times New Roman"/>
        </w:rPr>
        <w:t>支付</w:t>
      </w:r>
      <w:r w:rsidR="008B28DF" w:rsidRPr="00EC25D6" w:rsidDel="00640969">
        <w:rPr>
          <w:rFonts w:ascii="Times New Roman" w:cs="Times New Roman"/>
        </w:rPr>
        <w:t xml:space="preserve"> </w:t>
      </w:r>
      <w:r w:rsidR="008B28DF" w:rsidRPr="00EC25D6">
        <w:rPr>
          <w:rFonts w:ascii="Times New Roman" w:cs="Times New Roman"/>
        </w:rPr>
        <w:t>。</w:t>
      </w:r>
    </w:p>
    <w:p w:rsidR="00860A4E" w:rsidRPr="00EC25D6" w:rsidRDefault="00860A4E" w:rsidP="00A5019E">
      <w:pPr>
        <w:pStyle w:val="Default"/>
        <w:overflowPunct w:val="0"/>
        <w:spacing w:line="360" w:lineRule="auto"/>
        <w:ind w:firstLineChars="200" w:firstLine="480"/>
        <w:rPr>
          <w:rFonts w:ascii="Times New Roman" w:eastAsiaTheme="majorEastAsia" w:cs="Times New Roman"/>
          <w:color w:val="auto"/>
        </w:rPr>
      </w:pPr>
      <w:r w:rsidRPr="00EC25D6">
        <w:rPr>
          <w:rFonts w:ascii="Times New Roman" w:eastAsiaTheme="majorEastAsia" w:cs="Times New Roman"/>
          <w:color w:val="auto"/>
        </w:rPr>
        <w:t>（四）本次清算报告期间的清算损益情况</w:t>
      </w:r>
    </w:p>
    <w:p w:rsidR="00860A4E" w:rsidRPr="00EC25D6" w:rsidRDefault="00860A4E" w:rsidP="00A5019E">
      <w:pPr>
        <w:overflowPunct w:val="0"/>
        <w:spacing w:line="360" w:lineRule="auto"/>
        <w:ind w:rightChars="2" w:right="4"/>
        <w:jc w:val="right"/>
        <w:rPr>
          <w:rFonts w:eastAsiaTheme="majorEastAsia"/>
          <w:sz w:val="22"/>
          <w:szCs w:val="22"/>
        </w:rPr>
      </w:pPr>
      <w:r w:rsidRPr="00EC25D6">
        <w:rPr>
          <w:rFonts w:eastAsiaTheme="majorEastAsia"/>
          <w:sz w:val="22"/>
          <w:szCs w:val="22"/>
        </w:rPr>
        <w:t>单位：人民币元</w:t>
      </w:r>
    </w:p>
    <w:tbl>
      <w:tblPr>
        <w:tblW w:w="84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2664"/>
      </w:tblGrid>
      <w:tr w:rsidR="00681391" w:rsidRPr="00EC25D6" w:rsidTr="00AB4972">
        <w:trPr>
          <w:trHeight w:val="80"/>
        </w:trPr>
        <w:tc>
          <w:tcPr>
            <w:tcW w:w="5812" w:type="dxa"/>
            <w:vAlign w:val="center"/>
          </w:tcPr>
          <w:p w:rsidR="00860A4E" w:rsidRPr="00EC25D6" w:rsidRDefault="00860A4E" w:rsidP="00A5019E">
            <w:pPr>
              <w:overflowPunct w:val="0"/>
              <w:autoSpaceDE w:val="0"/>
              <w:autoSpaceDN w:val="0"/>
              <w:snapToGrid w:val="0"/>
              <w:ind w:left="34"/>
              <w:jc w:val="center"/>
              <w:rPr>
                <w:rFonts w:eastAsiaTheme="majorEastAsia"/>
                <w:szCs w:val="21"/>
              </w:rPr>
            </w:pPr>
            <w:r w:rsidRPr="00EC25D6">
              <w:rPr>
                <w:rFonts w:eastAsiaTheme="majorEastAsia"/>
                <w:szCs w:val="21"/>
              </w:rPr>
              <w:t>项目</w:t>
            </w:r>
          </w:p>
        </w:tc>
        <w:tc>
          <w:tcPr>
            <w:tcW w:w="2664" w:type="dxa"/>
            <w:vAlign w:val="bottom"/>
          </w:tcPr>
          <w:p w:rsidR="00860A4E" w:rsidRPr="00EC25D6" w:rsidRDefault="00860A4E" w:rsidP="00A5019E">
            <w:pPr>
              <w:overflowPunct w:val="0"/>
              <w:autoSpaceDE w:val="0"/>
              <w:autoSpaceDN w:val="0"/>
              <w:snapToGrid w:val="0"/>
              <w:ind w:leftChars="-84" w:left="-176"/>
              <w:jc w:val="right"/>
              <w:rPr>
                <w:rFonts w:eastAsiaTheme="majorEastAsia"/>
                <w:szCs w:val="21"/>
              </w:rPr>
            </w:pPr>
            <w:r w:rsidRPr="00EC25D6">
              <w:rPr>
                <w:rFonts w:eastAsiaTheme="majorEastAsia"/>
                <w:szCs w:val="21"/>
              </w:rPr>
              <w:t>自</w:t>
            </w:r>
            <w:r w:rsidR="00743126" w:rsidRPr="00EC25D6">
              <w:rPr>
                <w:rFonts w:eastAsiaTheme="majorEastAsia"/>
                <w:szCs w:val="21"/>
              </w:rPr>
              <w:t>202</w:t>
            </w:r>
            <w:r w:rsidR="00833433" w:rsidRPr="00EC25D6">
              <w:rPr>
                <w:rFonts w:eastAsiaTheme="majorEastAsia"/>
                <w:szCs w:val="21"/>
              </w:rPr>
              <w:t>5</w:t>
            </w:r>
            <w:r w:rsidRPr="00EC25D6">
              <w:rPr>
                <w:rFonts w:eastAsiaTheme="majorEastAsia"/>
                <w:szCs w:val="21"/>
              </w:rPr>
              <w:t>年</w:t>
            </w:r>
            <w:r w:rsidR="00743126" w:rsidRPr="00EC25D6">
              <w:rPr>
                <w:rFonts w:eastAsiaTheme="majorEastAsia"/>
                <w:szCs w:val="21"/>
              </w:rPr>
              <w:t>1</w:t>
            </w:r>
            <w:r w:rsidRPr="00EC25D6">
              <w:rPr>
                <w:rFonts w:eastAsiaTheme="majorEastAsia"/>
                <w:szCs w:val="21"/>
              </w:rPr>
              <w:t>月</w:t>
            </w:r>
            <w:r w:rsidR="00833433" w:rsidRPr="00EC25D6">
              <w:rPr>
                <w:rFonts w:eastAsiaTheme="majorEastAsia"/>
                <w:szCs w:val="21"/>
              </w:rPr>
              <w:t>24</w:t>
            </w:r>
            <w:r w:rsidRPr="00EC25D6">
              <w:rPr>
                <w:rFonts w:eastAsiaTheme="majorEastAsia"/>
                <w:szCs w:val="21"/>
              </w:rPr>
              <w:t>日</w:t>
            </w:r>
            <w:r w:rsidR="00EF7656" w:rsidRPr="00EC25D6">
              <w:rPr>
                <w:rFonts w:eastAsiaTheme="majorEastAsia"/>
                <w:szCs w:val="21"/>
              </w:rPr>
              <w:t>起</w:t>
            </w:r>
          </w:p>
          <w:p w:rsidR="00860A4E" w:rsidRPr="00EC25D6" w:rsidRDefault="00860A4E" w:rsidP="00A5019E">
            <w:pPr>
              <w:tabs>
                <w:tab w:val="left" w:pos="2517"/>
              </w:tabs>
              <w:overflowPunct w:val="0"/>
              <w:autoSpaceDE w:val="0"/>
              <w:autoSpaceDN w:val="0"/>
              <w:snapToGrid w:val="0"/>
              <w:jc w:val="right"/>
              <w:rPr>
                <w:rFonts w:eastAsiaTheme="majorEastAsia"/>
                <w:szCs w:val="21"/>
              </w:rPr>
            </w:pPr>
            <w:r w:rsidRPr="00EC25D6">
              <w:rPr>
                <w:rFonts w:eastAsiaTheme="majorEastAsia"/>
                <w:szCs w:val="21"/>
              </w:rPr>
              <w:t>至</w:t>
            </w:r>
            <w:r w:rsidR="00D97ADD" w:rsidRPr="00EC25D6">
              <w:rPr>
                <w:rFonts w:eastAsiaTheme="majorEastAsia"/>
                <w:szCs w:val="21"/>
              </w:rPr>
              <w:t>2025</w:t>
            </w:r>
            <w:r w:rsidRPr="00EC25D6">
              <w:rPr>
                <w:rFonts w:eastAsiaTheme="majorEastAsia"/>
                <w:szCs w:val="21"/>
              </w:rPr>
              <w:t>年</w:t>
            </w:r>
            <w:r w:rsidR="00833433" w:rsidRPr="00EC25D6">
              <w:rPr>
                <w:rFonts w:eastAsiaTheme="majorEastAsia"/>
                <w:szCs w:val="21"/>
              </w:rPr>
              <w:t>3</w:t>
            </w:r>
            <w:r w:rsidRPr="00EC25D6">
              <w:rPr>
                <w:rFonts w:eastAsiaTheme="majorEastAsia"/>
                <w:szCs w:val="21"/>
              </w:rPr>
              <w:t>月</w:t>
            </w:r>
            <w:r w:rsidR="00D97ADD" w:rsidRPr="00EC25D6">
              <w:rPr>
                <w:rFonts w:eastAsiaTheme="majorEastAsia"/>
                <w:szCs w:val="21"/>
              </w:rPr>
              <w:t>1</w:t>
            </w:r>
            <w:r w:rsidR="00833433" w:rsidRPr="00EC25D6">
              <w:rPr>
                <w:rFonts w:eastAsiaTheme="majorEastAsia"/>
                <w:szCs w:val="21"/>
              </w:rPr>
              <w:t>4</w:t>
            </w:r>
            <w:r w:rsidRPr="00EC25D6">
              <w:rPr>
                <w:rFonts w:eastAsiaTheme="majorEastAsia"/>
                <w:szCs w:val="21"/>
              </w:rPr>
              <w:t>日</w:t>
            </w:r>
          </w:p>
          <w:p w:rsidR="00860A4E" w:rsidRPr="00EC25D6" w:rsidRDefault="00860A4E" w:rsidP="00A5019E">
            <w:pPr>
              <w:overflowPunct w:val="0"/>
              <w:autoSpaceDE w:val="0"/>
              <w:autoSpaceDN w:val="0"/>
              <w:snapToGrid w:val="0"/>
              <w:jc w:val="right"/>
              <w:rPr>
                <w:rFonts w:eastAsiaTheme="majorEastAsia"/>
                <w:szCs w:val="21"/>
              </w:rPr>
            </w:pPr>
            <w:r w:rsidRPr="00EC25D6">
              <w:rPr>
                <w:rFonts w:eastAsiaTheme="majorEastAsia"/>
                <w:szCs w:val="21"/>
              </w:rPr>
              <w:t>止清算报告期间</w:t>
            </w:r>
          </w:p>
        </w:tc>
      </w:tr>
      <w:tr w:rsidR="00681391" w:rsidRPr="00EC25D6" w:rsidTr="00AB4972">
        <w:trPr>
          <w:trHeight w:val="271"/>
        </w:trPr>
        <w:tc>
          <w:tcPr>
            <w:tcW w:w="5812" w:type="dxa"/>
            <w:vAlign w:val="bottom"/>
          </w:tcPr>
          <w:p w:rsidR="00860A4E" w:rsidRPr="00EC25D6" w:rsidRDefault="00860A4E" w:rsidP="00A5019E">
            <w:pPr>
              <w:overflowPunct w:val="0"/>
              <w:autoSpaceDE w:val="0"/>
              <w:autoSpaceDN w:val="0"/>
              <w:snapToGrid w:val="0"/>
              <w:ind w:left="34"/>
              <w:jc w:val="left"/>
              <w:rPr>
                <w:rFonts w:eastAsiaTheme="majorEastAsia"/>
                <w:szCs w:val="21"/>
              </w:rPr>
            </w:pPr>
            <w:r w:rsidRPr="00EC25D6">
              <w:rPr>
                <w:rFonts w:eastAsiaTheme="majorEastAsia"/>
                <w:szCs w:val="21"/>
              </w:rPr>
              <w:t>一、清算收益</w:t>
            </w:r>
          </w:p>
        </w:tc>
        <w:tc>
          <w:tcPr>
            <w:tcW w:w="2664" w:type="dxa"/>
            <w:vAlign w:val="bottom"/>
          </w:tcPr>
          <w:p w:rsidR="00860A4E" w:rsidRPr="00EC25D6" w:rsidRDefault="00860A4E" w:rsidP="00A5019E">
            <w:pPr>
              <w:overflowPunct w:val="0"/>
              <w:autoSpaceDE w:val="0"/>
              <w:autoSpaceDN w:val="0"/>
              <w:snapToGrid w:val="0"/>
              <w:jc w:val="right"/>
              <w:rPr>
                <w:rFonts w:eastAsiaTheme="majorEastAsia"/>
                <w:szCs w:val="21"/>
              </w:rPr>
            </w:pPr>
          </w:p>
        </w:tc>
      </w:tr>
      <w:tr w:rsidR="00681391" w:rsidRPr="00EC25D6" w:rsidTr="00AB4972">
        <w:trPr>
          <w:trHeight w:val="80"/>
        </w:trPr>
        <w:tc>
          <w:tcPr>
            <w:tcW w:w="5812" w:type="dxa"/>
            <w:vAlign w:val="bottom"/>
          </w:tcPr>
          <w:p w:rsidR="00860A4E" w:rsidRPr="00EC25D6" w:rsidRDefault="008E0723" w:rsidP="00A5019E">
            <w:pPr>
              <w:overflowPunct w:val="0"/>
              <w:autoSpaceDE w:val="0"/>
              <w:autoSpaceDN w:val="0"/>
              <w:snapToGrid w:val="0"/>
              <w:ind w:left="459"/>
              <w:jc w:val="left"/>
              <w:rPr>
                <w:rFonts w:eastAsiaTheme="majorEastAsia"/>
                <w:szCs w:val="21"/>
              </w:rPr>
            </w:pPr>
            <w:r w:rsidRPr="00EC25D6">
              <w:rPr>
                <w:rFonts w:eastAsiaTheme="majorEastAsia"/>
                <w:szCs w:val="21"/>
              </w:rPr>
              <w:t>1</w:t>
            </w:r>
            <w:r w:rsidRPr="00EC25D6">
              <w:rPr>
                <w:rFonts w:eastAsiaTheme="majorEastAsia"/>
                <w:szCs w:val="21"/>
              </w:rPr>
              <w:t>、利息收入（注</w:t>
            </w:r>
            <w:r w:rsidRPr="00EC25D6">
              <w:rPr>
                <w:rFonts w:eastAsiaTheme="majorEastAsia"/>
                <w:szCs w:val="21"/>
              </w:rPr>
              <w:t>1</w:t>
            </w:r>
            <w:r w:rsidRPr="00EC25D6">
              <w:rPr>
                <w:rFonts w:eastAsiaTheme="majorEastAsia"/>
                <w:szCs w:val="21"/>
              </w:rPr>
              <w:t>）</w:t>
            </w:r>
          </w:p>
        </w:tc>
        <w:tc>
          <w:tcPr>
            <w:tcW w:w="2664" w:type="dxa"/>
            <w:vAlign w:val="bottom"/>
          </w:tcPr>
          <w:p w:rsidR="00860A4E" w:rsidRPr="00EC25D6" w:rsidRDefault="00ED6643" w:rsidP="00EA17B6">
            <w:pPr>
              <w:widowControl/>
              <w:jc w:val="right"/>
              <w:rPr>
                <w:sz w:val="20"/>
                <w:szCs w:val="20"/>
              </w:rPr>
            </w:pPr>
            <w:r w:rsidRPr="00EC25D6">
              <w:rPr>
                <w:sz w:val="20"/>
                <w:szCs w:val="20"/>
              </w:rPr>
              <w:t>3,725.34</w:t>
            </w:r>
          </w:p>
        </w:tc>
      </w:tr>
      <w:tr w:rsidR="00347661" w:rsidRPr="00EC25D6" w:rsidTr="00AB4972">
        <w:trPr>
          <w:trHeight w:val="80"/>
        </w:trPr>
        <w:tc>
          <w:tcPr>
            <w:tcW w:w="5812" w:type="dxa"/>
            <w:vAlign w:val="bottom"/>
          </w:tcPr>
          <w:p w:rsidR="00347661" w:rsidRPr="00EC25D6" w:rsidRDefault="00347661" w:rsidP="00A5019E">
            <w:pPr>
              <w:overflowPunct w:val="0"/>
              <w:autoSpaceDE w:val="0"/>
              <w:autoSpaceDN w:val="0"/>
              <w:snapToGrid w:val="0"/>
              <w:ind w:left="459"/>
              <w:jc w:val="left"/>
              <w:rPr>
                <w:rFonts w:eastAsiaTheme="majorEastAsia"/>
                <w:szCs w:val="21"/>
              </w:rPr>
            </w:pPr>
            <w:r w:rsidRPr="00EC25D6">
              <w:rPr>
                <w:szCs w:val="21"/>
              </w:rPr>
              <w:t>2</w:t>
            </w:r>
            <w:r w:rsidRPr="00EC25D6">
              <w:rPr>
                <w:szCs w:val="21"/>
              </w:rPr>
              <w:t>、</w:t>
            </w:r>
            <w:r w:rsidR="004B1D82" w:rsidRPr="00EC25D6">
              <w:rPr>
                <w:szCs w:val="21"/>
              </w:rPr>
              <w:t>公允价值变动损益）（注</w:t>
            </w:r>
            <w:r w:rsidR="004B1D82" w:rsidRPr="00EC25D6">
              <w:rPr>
                <w:szCs w:val="21"/>
              </w:rPr>
              <w:t>2</w:t>
            </w:r>
            <w:r w:rsidR="004B1D82" w:rsidRPr="00EC25D6">
              <w:rPr>
                <w:szCs w:val="21"/>
              </w:rPr>
              <w:t>）</w:t>
            </w:r>
          </w:p>
        </w:tc>
        <w:tc>
          <w:tcPr>
            <w:tcW w:w="2664" w:type="dxa"/>
            <w:vAlign w:val="bottom"/>
          </w:tcPr>
          <w:p w:rsidR="00347661" w:rsidRPr="00EC25D6" w:rsidRDefault="004B1D82" w:rsidP="00EA17B6">
            <w:pPr>
              <w:widowControl/>
              <w:jc w:val="right"/>
              <w:rPr>
                <w:kern w:val="0"/>
                <w:sz w:val="20"/>
                <w:szCs w:val="20"/>
              </w:rPr>
            </w:pPr>
            <w:r w:rsidRPr="00EC25D6">
              <w:rPr>
                <w:sz w:val="20"/>
                <w:szCs w:val="20"/>
              </w:rPr>
              <w:t>522,237.04</w:t>
            </w:r>
            <w:r w:rsidR="00ED6643" w:rsidRPr="00EC25D6">
              <w:rPr>
                <w:sz w:val="20"/>
                <w:szCs w:val="20"/>
              </w:rPr>
              <w:t xml:space="preserve">  </w:t>
            </w:r>
            <w:r w:rsidR="00347661" w:rsidRPr="00EC25D6">
              <w:rPr>
                <w:sz w:val="20"/>
                <w:szCs w:val="20"/>
              </w:rPr>
              <w:t xml:space="preserve"> </w:t>
            </w:r>
          </w:p>
        </w:tc>
      </w:tr>
      <w:tr w:rsidR="00347661" w:rsidRPr="00EC25D6" w:rsidTr="00AB4972">
        <w:trPr>
          <w:trHeight w:val="80"/>
        </w:trPr>
        <w:tc>
          <w:tcPr>
            <w:tcW w:w="5812" w:type="dxa"/>
            <w:vAlign w:val="bottom"/>
          </w:tcPr>
          <w:p w:rsidR="00347661" w:rsidRPr="00EC25D6" w:rsidRDefault="00347661" w:rsidP="00347661">
            <w:pPr>
              <w:overflowPunct w:val="0"/>
              <w:autoSpaceDE w:val="0"/>
              <w:autoSpaceDN w:val="0"/>
              <w:snapToGrid w:val="0"/>
              <w:ind w:left="459"/>
              <w:jc w:val="left"/>
              <w:rPr>
                <w:szCs w:val="21"/>
              </w:rPr>
            </w:pPr>
            <w:r w:rsidRPr="00EC25D6">
              <w:rPr>
                <w:szCs w:val="21"/>
              </w:rPr>
              <w:t>3</w:t>
            </w:r>
            <w:r w:rsidRPr="00EC25D6">
              <w:rPr>
                <w:szCs w:val="21"/>
              </w:rPr>
              <w:t>、</w:t>
            </w:r>
            <w:r w:rsidR="004B1D82" w:rsidRPr="00EC25D6">
              <w:rPr>
                <w:szCs w:val="21"/>
              </w:rPr>
              <w:t>投资收益</w:t>
            </w:r>
            <w:r w:rsidRPr="00EC25D6">
              <w:rPr>
                <w:szCs w:val="21"/>
              </w:rPr>
              <w:t>（注</w:t>
            </w:r>
            <w:r w:rsidRPr="00EC25D6">
              <w:rPr>
                <w:szCs w:val="21"/>
              </w:rPr>
              <w:t>3</w:t>
            </w:r>
            <w:r w:rsidRPr="00EC25D6">
              <w:rPr>
                <w:szCs w:val="21"/>
              </w:rPr>
              <w:t>）</w:t>
            </w:r>
          </w:p>
        </w:tc>
        <w:tc>
          <w:tcPr>
            <w:tcW w:w="2664" w:type="dxa"/>
            <w:vAlign w:val="bottom"/>
          </w:tcPr>
          <w:p w:rsidR="00347661" w:rsidRPr="00EC25D6" w:rsidRDefault="004B1D82" w:rsidP="004B1D82">
            <w:pPr>
              <w:widowControl/>
              <w:jc w:val="right"/>
              <w:rPr>
                <w:sz w:val="20"/>
                <w:szCs w:val="20"/>
              </w:rPr>
            </w:pPr>
            <w:r w:rsidRPr="00EC25D6">
              <w:rPr>
                <w:sz w:val="20"/>
                <w:szCs w:val="20"/>
              </w:rPr>
              <w:t>-480,355.66</w:t>
            </w:r>
          </w:p>
        </w:tc>
      </w:tr>
      <w:tr w:rsidR="00ED6643" w:rsidRPr="00EC25D6" w:rsidTr="00AB4972">
        <w:trPr>
          <w:trHeight w:val="80"/>
        </w:trPr>
        <w:tc>
          <w:tcPr>
            <w:tcW w:w="5812" w:type="dxa"/>
            <w:vAlign w:val="bottom"/>
          </w:tcPr>
          <w:p w:rsidR="00ED6643" w:rsidRPr="00EC25D6" w:rsidRDefault="00ED6643" w:rsidP="00347661">
            <w:pPr>
              <w:overflowPunct w:val="0"/>
              <w:autoSpaceDE w:val="0"/>
              <w:autoSpaceDN w:val="0"/>
              <w:snapToGrid w:val="0"/>
              <w:ind w:left="459"/>
              <w:jc w:val="left"/>
              <w:rPr>
                <w:szCs w:val="21"/>
              </w:rPr>
            </w:pPr>
            <w:r w:rsidRPr="00EC25D6">
              <w:rPr>
                <w:szCs w:val="21"/>
              </w:rPr>
              <w:t>4</w:t>
            </w:r>
            <w:r w:rsidRPr="00EC25D6">
              <w:rPr>
                <w:szCs w:val="21"/>
              </w:rPr>
              <w:t>、其他收入（注</w:t>
            </w:r>
            <w:r w:rsidRPr="00EC25D6">
              <w:rPr>
                <w:szCs w:val="21"/>
              </w:rPr>
              <w:t>4</w:t>
            </w:r>
            <w:r w:rsidRPr="00EC25D6">
              <w:rPr>
                <w:szCs w:val="21"/>
              </w:rPr>
              <w:t>）</w:t>
            </w:r>
          </w:p>
        </w:tc>
        <w:tc>
          <w:tcPr>
            <w:tcW w:w="2664" w:type="dxa"/>
            <w:vAlign w:val="bottom"/>
          </w:tcPr>
          <w:p w:rsidR="00ED6643" w:rsidRPr="00EC25D6" w:rsidRDefault="00ED6643">
            <w:pPr>
              <w:widowControl/>
              <w:jc w:val="right"/>
              <w:rPr>
                <w:sz w:val="20"/>
                <w:szCs w:val="20"/>
              </w:rPr>
            </w:pPr>
            <w:r w:rsidRPr="00EC25D6">
              <w:rPr>
                <w:sz w:val="20"/>
                <w:szCs w:val="20"/>
              </w:rPr>
              <w:t>1.31</w:t>
            </w:r>
          </w:p>
        </w:tc>
      </w:tr>
      <w:tr w:rsidR="00681391" w:rsidRPr="00EC25D6" w:rsidTr="00AB4972">
        <w:trPr>
          <w:trHeight w:val="80"/>
        </w:trPr>
        <w:tc>
          <w:tcPr>
            <w:tcW w:w="5812" w:type="dxa"/>
            <w:vAlign w:val="bottom"/>
          </w:tcPr>
          <w:p w:rsidR="00860A4E" w:rsidRPr="00EC25D6" w:rsidRDefault="00860A4E" w:rsidP="00A5019E">
            <w:pPr>
              <w:overflowPunct w:val="0"/>
              <w:autoSpaceDE w:val="0"/>
              <w:autoSpaceDN w:val="0"/>
              <w:snapToGrid w:val="0"/>
              <w:jc w:val="left"/>
              <w:rPr>
                <w:rFonts w:eastAsiaTheme="majorEastAsia"/>
                <w:szCs w:val="21"/>
              </w:rPr>
            </w:pPr>
            <w:r w:rsidRPr="00EC25D6">
              <w:rPr>
                <w:rFonts w:eastAsiaTheme="majorEastAsia"/>
                <w:szCs w:val="21"/>
              </w:rPr>
              <w:t>清算收入小计</w:t>
            </w:r>
          </w:p>
        </w:tc>
        <w:tc>
          <w:tcPr>
            <w:tcW w:w="2664" w:type="dxa"/>
            <w:vAlign w:val="bottom"/>
          </w:tcPr>
          <w:p w:rsidR="00860A4E" w:rsidRPr="00EC25D6" w:rsidRDefault="00ED6643" w:rsidP="00EA17B6">
            <w:pPr>
              <w:widowControl/>
              <w:jc w:val="right"/>
              <w:rPr>
                <w:kern w:val="0"/>
                <w:sz w:val="20"/>
                <w:szCs w:val="20"/>
              </w:rPr>
            </w:pPr>
            <w:r w:rsidRPr="00EC25D6">
              <w:rPr>
                <w:sz w:val="20"/>
                <w:szCs w:val="20"/>
              </w:rPr>
              <w:t xml:space="preserve">45,608.03   </w:t>
            </w:r>
          </w:p>
        </w:tc>
      </w:tr>
      <w:tr w:rsidR="00681391" w:rsidRPr="00EC25D6" w:rsidTr="00AB4972">
        <w:trPr>
          <w:trHeight w:val="80"/>
        </w:trPr>
        <w:tc>
          <w:tcPr>
            <w:tcW w:w="5812" w:type="dxa"/>
            <w:vAlign w:val="bottom"/>
          </w:tcPr>
          <w:p w:rsidR="00860A4E" w:rsidRPr="00EC25D6" w:rsidRDefault="00860A4E" w:rsidP="009062F8">
            <w:pPr>
              <w:overflowPunct w:val="0"/>
              <w:autoSpaceDE w:val="0"/>
              <w:autoSpaceDN w:val="0"/>
              <w:snapToGrid w:val="0"/>
              <w:jc w:val="left"/>
              <w:rPr>
                <w:rFonts w:eastAsiaTheme="majorEastAsia"/>
                <w:szCs w:val="21"/>
              </w:rPr>
            </w:pPr>
            <w:r w:rsidRPr="00EC25D6">
              <w:rPr>
                <w:rFonts w:eastAsiaTheme="majorEastAsia"/>
                <w:szCs w:val="21"/>
              </w:rPr>
              <w:t>二、清算费用</w:t>
            </w:r>
          </w:p>
        </w:tc>
        <w:tc>
          <w:tcPr>
            <w:tcW w:w="2664" w:type="dxa"/>
            <w:vAlign w:val="bottom"/>
          </w:tcPr>
          <w:p w:rsidR="00860A4E" w:rsidRPr="00EC25D6" w:rsidRDefault="00860A4E" w:rsidP="00A5019E">
            <w:pPr>
              <w:overflowPunct w:val="0"/>
              <w:autoSpaceDE w:val="0"/>
              <w:autoSpaceDN w:val="0"/>
              <w:snapToGrid w:val="0"/>
              <w:ind w:left="1026"/>
              <w:jc w:val="right"/>
              <w:rPr>
                <w:rFonts w:eastAsiaTheme="majorEastAsia"/>
                <w:szCs w:val="21"/>
              </w:rPr>
            </w:pPr>
          </w:p>
        </w:tc>
      </w:tr>
      <w:tr w:rsidR="00681391" w:rsidRPr="00EC25D6" w:rsidTr="00AB4972">
        <w:trPr>
          <w:trHeight w:val="80"/>
        </w:trPr>
        <w:tc>
          <w:tcPr>
            <w:tcW w:w="5812" w:type="dxa"/>
            <w:vAlign w:val="bottom"/>
          </w:tcPr>
          <w:p w:rsidR="009062F8" w:rsidRPr="00EC25D6" w:rsidRDefault="009062F8">
            <w:pPr>
              <w:overflowPunct w:val="0"/>
              <w:autoSpaceDE w:val="0"/>
              <w:autoSpaceDN w:val="0"/>
              <w:snapToGrid w:val="0"/>
              <w:ind w:firstLineChars="200" w:firstLine="420"/>
              <w:jc w:val="left"/>
              <w:rPr>
                <w:rFonts w:eastAsiaTheme="majorEastAsia"/>
                <w:szCs w:val="21"/>
              </w:rPr>
            </w:pPr>
            <w:r w:rsidRPr="00EC25D6">
              <w:rPr>
                <w:rFonts w:eastAsiaTheme="majorEastAsia"/>
                <w:szCs w:val="21"/>
              </w:rPr>
              <w:t>1</w:t>
            </w:r>
            <w:r w:rsidRPr="00EC25D6">
              <w:rPr>
                <w:rFonts w:eastAsiaTheme="majorEastAsia"/>
                <w:szCs w:val="21"/>
              </w:rPr>
              <w:t>、</w:t>
            </w:r>
            <w:r w:rsidR="007B761F" w:rsidRPr="00EC25D6">
              <w:rPr>
                <w:rFonts w:eastAsiaTheme="majorEastAsia"/>
                <w:szCs w:val="21"/>
              </w:rPr>
              <w:t>其他</w:t>
            </w:r>
            <w:r w:rsidRPr="00EC25D6">
              <w:rPr>
                <w:rFonts w:eastAsiaTheme="majorEastAsia"/>
                <w:szCs w:val="21"/>
              </w:rPr>
              <w:t>费用（注</w:t>
            </w:r>
            <w:r w:rsidR="00ED6643" w:rsidRPr="00EC25D6">
              <w:rPr>
                <w:rFonts w:eastAsiaTheme="majorEastAsia"/>
                <w:szCs w:val="21"/>
              </w:rPr>
              <w:t>5</w:t>
            </w:r>
            <w:r w:rsidRPr="00EC25D6">
              <w:rPr>
                <w:rFonts w:eastAsiaTheme="majorEastAsia"/>
                <w:szCs w:val="21"/>
              </w:rPr>
              <w:t>）</w:t>
            </w:r>
          </w:p>
        </w:tc>
        <w:tc>
          <w:tcPr>
            <w:tcW w:w="2664" w:type="dxa"/>
            <w:vAlign w:val="bottom"/>
          </w:tcPr>
          <w:p w:rsidR="009062F8" w:rsidRPr="00EC25D6" w:rsidRDefault="004D0E9F" w:rsidP="00A5019E">
            <w:pPr>
              <w:overflowPunct w:val="0"/>
              <w:autoSpaceDE w:val="0"/>
              <w:autoSpaceDN w:val="0"/>
              <w:snapToGrid w:val="0"/>
              <w:ind w:left="1026"/>
              <w:jc w:val="right"/>
              <w:rPr>
                <w:rFonts w:eastAsiaTheme="majorEastAsia"/>
                <w:szCs w:val="21"/>
              </w:rPr>
            </w:pPr>
            <w:r w:rsidRPr="00EC25D6">
              <w:rPr>
                <w:sz w:val="20"/>
                <w:szCs w:val="20"/>
              </w:rPr>
              <w:t>90.00</w:t>
            </w:r>
          </w:p>
        </w:tc>
      </w:tr>
      <w:tr w:rsidR="00681391" w:rsidRPr="00EC25D6" w:rsidTr="00AB4972">
        <w:trPr>
          <w:trHeight w:val="80"/>
        </w:trPr>
        <w:tc>
          <w:tcPr>
            <w:tcW w:w="5812" w:type="dxa"/>
            <w:vAlign w:val="bottom"/>
          </w:tcPr>
          <w:p w:rsidR="00860A4E" w:rsidRPr="00EC25D6" w:rsidRDefault="00860A4E" w:rsidP="00877F5F">
            <w:pPr>
              <w:overflowPunct w:val="0"/>
              <w:autoSpaceDE w:val="0"/>
              <w:autoSpaceDN w:val="0"/>
              <w:snapToGrid w:val="0"/>
              <w:jc w:val="left"/>
              <w:rPr>
                <w:rFonts w:eastAsiaTheme="majorEastAsia"/>
                <w:szCs w:val="21"/>
              </w:rPr>
            </w:pPr>
            <w:r w:rsidRPr="00EC25D6">
              <w:rPr>
                <w:rFonts w:eastAsiaTheme="majorEastAsia"/>
                <w:szCs w:val="21"/>
              </w:rPr>
              <w:t>清算费用小计</w:t>
            </w:r>
          </w:p>
        </w:tc>
        <w:tc>
          <w:tcPr>
            <w:tcW w:w="2664" w:type="dxa"/>
            <w:vAlign w:val="bottom"/>
          </w:tcPr>
          <w:p w:rsidR="00860A4E" w:rsidRPr="00EC25D6" w:rsidRDefault="00ED6643" w:rsidP="00A5019E">
            <w:pPr>
              <w:overflowPunct w:val="0"/>
              <w:autoSpaceDE w:val="0"/>
              <w:autoSpaceDN w:val="0"/>
              <w:snapToGrid w:val="0"/>
              <w:ind w:left="1026"/>
              <w:jc w:val="right"/>
              <w:rPr>
                <w:rFonts w:eastAsiaTheme="majorEastAsia"/>
                <w:szCs w:val="21"/>
              </w:rPr>
            </w:pPr>
            <w:r w:rsidRPr="00EC25D6">
              <w:rPr>
                <w:sz w:val="20"/>
                <w:szCs w:val="20"/>
              </w:rPr>
              <w:t>90.00</w:t>
            </w:r>
          </w:p>
        </w:tc>
      </w:tr>
      <w:tr w:rsidR="00681391" w:rsidRPr="00EC25D6" w:rsidTr="00AB4972">
        <w:trPr>
          <w:trHeight w:val="80"/>
        </w:trPr>
        <w:tc>
          <w:tcPr>
            <w:tcW w:w="5812" w:type="dxa"/>
            <w:vAlign w:val="bottom"/>
          </w:tcPr>
          <w:p w:rsidR="00860A4E" w:rsidRPr="00EC25D6" w:rsidRDefault="00860A4E" w:rsidP="00A5019E">
            <w:pPr>
              <w:overflowPunct w:val="0"/>
              <w:autoSpaceDE w:val="0"/>
              <w:autoSpaceDN w:val="0"/>
              <w:snapToGrid w:val="0"/>
              <w:jc w:val="left"/>
              <w:rPr>
                <w:rFonts w:eastAsiaTheme="majorEastAsia"/>
                <w:szCs w:val="21"/>
              </w:rPr>
            </w:pPr>
            <w:r w:rsidRPr="00EC25D6">
              <w:rPr>
                <w:rFonts w:eastAsiaTheme="majorEastAsia"/>
                <w:szCs w:val="21"/>
              </w:rPr>
              <w:t>三、清算净收益</w:t>
            </w:r>
          </w:p>
        </w:tc>
        <w:tc>
          <w:tcPr>
            <w:tcW w:w="2664" w:type="dxa"/>
            <w:vAlign w:val="bottom"/>
          </w:tcPr>
          <w:p w:rsidR="00860A4E" w:rsidRPr="00EC25D6" w:rsidRDefault="00ED6643" w:rsidP="00ED6643">
            <w:pPr>
              <w:overflowPunct w:val="0"/>
              <w:autoSpaceDE w:val="0"/>
              <w:autoSpaceDN w:val="0"/>
              <w:snapToGrid w:val="0"/>
              <w:ind w:left="1026"/>
              <w:jc w:val="right"/>
              <w:rPr>
                <w:sz w:val="20"/>
                <w:szCs w:val="20"/>
              </w:rPr>
            </w:pPr>
            <w:r w:rsidRPr="00EC25D6">
              <w:rPr>
                <w:sz w:val="20"/>
                <w:szCs w:val="20"/>
              </w:rPr>
              <w:t xml:space="preserve">45,518.03  </w:t>
            </w:r>
          </w:p>
        </w:tc>
      </w:tr>
    </w:tbl>
    <w:p w:rsidR="006047F9" w:rsidRPr="00EC25D6" w:rsidRDefault="00913BC3" w:rsidP="00A5019E">
      <w:pPr>
        <w:overflowPunct w:val="0"/>
        <w:spacing w:line="360" w:lineRule="auto"/>
        <w:ind w:firstLineChars="200" w:firstLine="420"/>
        <w:rPr>
          <w:szCs w:val="21"/>
        </w:rPr>
      </w:pPr>
      <w:r w:rsidRPr="00EC25D6">
        <w:rPr>
          <w:szCs w:val="21"/>
        </w:rPr>
        <w:t>表中相关项目具体说明如下：</w:t>
      </w:r>
    </w:p>
    <w:p w:rsidR="00347661" w:rsidRPr="00EC25D6" w:rsidRDefault="00347661" w:rsidP="00347661">
      <w:pPr>
        <w:spacing w:line="360" w:lineRule="auto"/>
        <w:ind w:firstLineChars="200" w:firstLine="420"/>
        <w:rPr>
          <w:szCs w:val="21"/>
        </w:rPr>
      </w:pPr>
      <w:r w:rsidRPr="00EC25D6">
        <w:rPr>
          <w:rFonts w:eastAsiaTheme="majorEastAsia"/>
          <w:szCs w:val="21"/>
        </w:rPr>
        <w:t>注</w:t>
      </w:r>
      <w:r w:rsidRPr="00EC25D6">
        <w:rPr>
          <w:rFonts w:eastAsiaTheme="majorEastAsia"/>
          <w:szCs w:val="21"/>
        </w:rPr>
        <w:t>1</w:t>
      </w:r>
      <w:r w:rsidRPr="00EC25D6">
        <w:rPr>
          <w:rFonts w:eastAsiaTheme="majorEastAsia"/>
          <w:szCs w:val="21"/>
        </w:rPr>
        <w:t>：</w:t>
      </w:r>
      <w:r w:rsidRPr="00EC25D6">
        <w:t>利息收入系以当前适用的利率计提的自</w:t>
      </w:r>
      <w:r w:rsidRPr="00EC25D6">
        <w:t xml:space="preserve"> 2025 </w:t>
      </w:r>
      <w:r w:rsidRPr="00EC25D6">
        <w:t>年</w:t>
      </w:r>
      <w:r w:rsidRPr="00EC25D6">
        <w:t xml:space="preserve"> 1</w:t>
      </w:r>
      <w:r w:rsidRPr="00EC25D6">
        <w:t>月</w:t>
      </w:r>
      <w:r w:rsidRPr="00EC25D6">
        <w:t xml:space="preserve">24 </w:t>
      </w:r>
      <w:r w:rsidRPr="00EC25D6">
        <w:t>日起至</w:t>
      </w:r>
      <w:r w:rsidRPr="00EC25D6">
        <w:t xml:space="preserve"> 2025 </w:t>
      </w:r>
      <w:r w:rsidRPr="00EC25D6">
        <w:t>年</w:t>
      </w:r>
      <w:r w:rsidRPr="00EC25D6">
        <w:t xml:space="preserve"> 3</w:t>
      </w:r>
      <w:r w:rsidRPr="00EC25D6">
        <w:t>月</w:t>
      </w:r>
      <w:r w:rsidRPr="00EC25D6">
        <w:t xml:space="preserve"> 14</w:t>
      </w:r>
      <w:r w:rsidRPr="00EC25D6">
        <w:t>日止清算报告期间的银行活期存款利息收入、结算备付金利息收入及存出保证金利息收入。</w:t>
      </w:r>
    </w:p>
    <w:p w:rsidR="00347661" w:rsidRPr="00002765" w:rsidRDefault="00347661" w:rsidP="00347661">
      <w:pPr>
        <w:spacing w:line="360" w:lineRule="auto"/>
        <w:ind w:firstLineChars="200" w:firstLine="420"/>
      </w:pPr>
      <w:r w:rsidRPr="00BE6D6C">
        <w:t>注</w:t>
      </w:r>
      <w:r w:rsidRPr="00002765">
        <w:t>2</w:t>
      </w:r>
      <w:r w:rsidRPr="00002765">
        <w:rPr>
          <w:rFonts w:hint="eastAsia"/>
        </w:rPr>
        <w:t>：</w:t>
      </w:r>
      <w:r w:rsidR="004B1D82" w:rsidRPr="00B82FF5">
        <w:rPr>
          <w:rFonts w:hint="eastAsia"/>
        </w:rPr>
        <w:t>公允价值变动损益系本基金于最后运作日持有的</w:t>
      </w:r>
      <w:r w:rsidR="00B82FF5">
        <w:rPr>
          <w:rFonts w:hint="eastAsia"/>
        </w:rPr>
        <w:t>股票</w:t>
      </w:r>
      <w:r w:rsidR="004B1D82" w:rsidRPr="00B82FF5">
        <w:rPr>
          <w:rFonts w:hint="eastAsia"/>
        </w:rPr>
        <w:t>投资在其处置变现之前的市场价格波动导致。</w:t>
      </w:r>
    </w:p>
    <w:p w:rsidR="00347661" w:rsidRPr="00002765" w:rsidRDefault="00347661" w:rsidP="00347661">
      <w:pPr>
        <w:spacing w:line="360" w:lineRule="auto"/>
        <w:ind w:firstLineChars="200" w:firstLine="420"/>
      </w:pPr>
      <w:r w:rsidRPr="00B82FF5">
        <w:rPr>
          <w:rFonts w:hint="eastAsia"/>
        </w:rPr>
        <w:t>注</w:t>
      </w:r>
      <w:r w:rsidRPr="00B82FF5">
        <w:t>3</w:t>
      </w:r>
      <w:r w:rsidRPr="00B82FF5">
        <w:rPr>
          <w:rFonts w:hint="eastAsia"/>
        </w:rPr>
        <w:t>：</w:t>
      </w:r>
      <w:r w:rsidR="004B1D82" w:rsidRPr="00B82FF5">
        <w:rPr>
          <w:rFonts w:hint="eastAsia"/>
        </w:rPr>
        <w:t>投资收益系本基金于最后运作日持有的</w:t>
      </w:r>
      <w:r w:rsidR="00B82FF5">
        <w:rPr>
          <w:rFonts w:hint="eastAsia"/>
        </w:rPr>
        <w:t>股票</w:t>
      </w:r>
      <w:r w:rsidR="004B1D82" w:rsidRPr="00B82FF5">
        <w:rPr>
          <w:rFonts w:hint="eastAsia"/>
        </w:rPr>
        <w:t>投资在清算期间处置变现产生的收益和股利收入，其中股利收入系红利补税冲减的股利收入金额。</w:t>
      </w:r>
    </w:p>
    <w:p w:rsidR="008E28D6" w:rsidRPr="00EC25D6" w:rsidRDefault="008E28D6" w:rsidP="008E28D6">
      <w:pPr>
        <w:spacing w:line="360" w:lineRule="auto"/>
        <w:ind w:firstLineChars="200" w:firstLine="420"/>
        <w:rPr>
          <w:szCs w:val="21"/>
        </w:rPr>
      </w:pPr>
      <w:r w:rsidRPr="00EC25D6">
        <w:rPr>
          <w:rFonts w:eastAsiaTheme="majorEastAsia"/>
          <w:szCs w:val="21"/>
        </w:rPr>
        <w:t>注</w:t>
      </w:r>
      <w:r w:rsidRPr="00EC25D6">
        <w:rPr>
          <w:rFonts w:eastAsiaTheme="majorEastAsia"/>
          <w:szCs w:val="21"/>
        </w:rPr>
        <w:t>4</w:t>
      </w:r>
      <w:r w:rsidRPr="00EC25D6">
        <w:rPr>
          <w:szCs w:val="21"/>
        </w:rPr>
        <w:t>：其他收入系基金赎回费收入。</w:t>
      </w:r>
      <w:r w:rsidRPr="00EC25D6" w:rsidDel="00833433">
        <w:rPr>
          <w:szCs w:val="21"/>
        </w:rPr>
        <w:t xml:space="preserve"> </w:t>
      </w:r>
    </w:p>
    <w:p w:rsidR="007B761F" w:rsidRPr="00EC25D6" w:rsidRDefault="00347661" w:rsidP="00347661">
      <w:pPr>
        <w:spacing w:line="360" w:lineRule="auto"/>
        <w:ind w:firstLineChars="200" w:firstLine="420"/>
        <w:rPr>
          <w:szCs w:val="21"/>
        </w:rPr>
      </w:pPr>
      <w:r w:rsidRPr="00EC25D6">
        <w:rPr>
          <w:rFonts w:eastAsiaTheme="majorEastAsia"/>
          <w:szCs w:val="21"/>
        </w:rPr>
        <w:t>注</w:t>
      </w:r>
      <w:r w:rsidR="008E28D6" w:rsidRPr="00EC25D6">
        <w:rPr>
          <w:rFonts w:eastAsiaTheme="majorEastAsia"/>
          <w:szCs w:val="21"/>
        </w:rPr>
        <w:t>5</w:t>
      </w:r>
      <w:r w:rsidRPr="00EC25D6">
        <w:rPr>
          <w:szCs w:val="21"/>
        </w:rPr>
        <w:t>：其他费用系清算期间产生的银行手续费</w:t>
      </w:r>
      <w:r w:rsidR="00EF70F4" w:rsidRPr="00B82FF5">
        <w:rPr>
          <w:rFonts w:hint="eastAsia"/>
          <w:szCs w:val="21"/>
        </w:rPr>
        <w:t>，至</w:t>
      </w:r>
      <w:r w:rsidRPr="00B82FF5">
        <w:rPr>
          <w:szCs w:val="21"/>
        </w:rPr>
        <w:t>2025</w:t>
      </w:r>
      <w:r w:rsidRPr="00B82FF5">
        <w:rPr>
          <w:rFonts w:hint="eastAsia"/>
          <w:szCs w:val="21"/>
        </w:rPr>
        <w:t>年</w:t>
      </w:r>
      <w:r w:rsidRPr="00B82FF5">
        <w:rPr>
          <w:szCs w:val="21"/>
        </w:rPr>
        <w:t>2</w:t>
      </w:r>
      <w:r w:rsidRPr="00B82FF5">
        <w:rPr>
          <w:rFonts w:hint="eastAsia"/>
          <w:szCs w:val="21"/>
        </w:rPr>
        <w:t>月</w:t>
      </w:r>
      <w:r w:rsidRPr="00B82FF5">
        <w:rPr>
          <w:szCs w:val="21"/>
        </w:rPr>
        <w:t>25</w:t>
      </w:r>
      <w:r w:rsidRPr="00B82FF5">
        <w:rPr>
          <w:rFonts w:hint="eastAsia"/>
          <w:szCs w:val="21"/>
        </w:rPr>
        <w:t>日</w:t>
      </w:r>
      <w:r w:rsidR="00EF70F4" w:rsidRPr="00EC25D6">
        <w:rPr>
          <w:szCs w:val="21"/>
        </w:rPr>
        <w:t>已</w:t>
      </w:r>
      <w:r w:rsidRPr="00B82FF5">
        <w:rPr>
          <w:rFonts w:hint="eastAsia"/>
          <w:szCs w:val="21"/>
        </w:rPr>
        <w:t>全部支付</w:t>
      </w:r>
      <w:r w:rsidRPr="00EC25D6">
        <w:rPr>
          <w:szCs w:val="21"/>
        </w:rPr>
        <w:t>。</w:t>
      </w:r>
      <w:r w:rsidR="00833433" w:rsidRPr="00EC25D6" w:rsidDel="00833433">
        <w:rPr>
          <w:szCs w:val="21"/>
        </w:rPr>
        <w:t xml:space="preserve"> </w:t>
      </w:r>
    </w:p>
    <w:p w:rsidR="00414EA8" w:rsidRPr="00EC25D6" w:rsidRDefault="00296416" w:rsidP="00A5019E">
      <w:pPr>
        <w:overflowPunct w:val="0"/>
        <w:spacing w:line="360" w:lineRule="auto"/>
        <w:ind w:firstLineChars="200" w:firstLine="480"/>
        <w:rPr>
          <w:rFonts w:eastAsiaTheme="majorEastAsia"/>
          <w:sz w:val="24"/>
        </w:rPr>
      </w:pPr>
      <w:r w:rsidRPr="00EC25D6">
        <w:rPr>
          <w:rFonts w:eastAsiaTheme="majorEastAsia"/>
          <w:sz w:val="24"/>
        </w:rPr>
        <w:t>（</w:t>
      </w:r>
      <w:r w:rsidR="00050C40" w:rsidRPr="00EC25D6">
        <w:rPr>
          <w:rFonts w:eastAsiaTheme="majorEastAsia"/>
          <w:sz w:val="24"/>
        </w:rPr>
        <w:t>五</w:t>
      </w:r>
      <w:r w:rsidRPr="00EC25D6">
        <w:rPr>
          <w:rFonts w:eastAsiaTheme="majorEastAsia"/>
          <w:sz w:val="24"/>
        </w:rPr>
        <w:t>）</w:t>
      </w:r>
      <w:r w:rsidR="006D7145" w:rsidRPr="00EC25D6">
        <w:rPr>
          <w:rFonts w:eastAsiaTheme="majorEastAsia"/>
          <w:sz w:val="24"/>
        </w:rPr>
        <w:t>截至</w:t>
      </w:r>
      <w:r w:rsidR="00903847" w:rsidRPr="00EC25D6">
        <w:rPr>
          <w:rFonts w:eastAsiaTheme="majorEastAsia"/>
          <w:sz w:val="24"/>
        </w:rPr>
        <w:t>本次</w:t>
      </w:r>
      <w:r w:rsidR="006D7145" w:rsidRPr="00EC25D6">
        <w:rPr>
          <w:rFonts w:eastAsiaTheme="majorEastAsia"/>
          <w:sz w:val="24"/>
        </w:rPr>
        <w:t>清算</w:t>
      </w:r>
      <w:r w:rsidR="0014744F" w:rsidRPr="00EC25D6">
        <w:rPr>
          <w:rFonts w:eastAsiaTheme="majorEastAsia"/>
          <w:sz w:val="24"/>
        </w:rPr>
        <w:t>报告</w:t>
      </w:r>
      <w:r w:rsidR="006D7145" w:rsidRPr="00EC25D6">
        <w:rPr>
          <w:rFonts w:eastAsiaTheme="majorEastAsia"/>
          <w:sz w:val="24"/>
        </w:rPr>
        <w:t>期结束日</w:t>
      </w:r>
      <w:r w:rsidR="00B97498" w:rsidRPr="00EC25D6">
        <w:rPr>
          <w:rFonts w:eastAsiaTheme="majorEastAsia"/>
          <w:sz w:val="24"/>
        </w:rPr>
        <w:t>的剩余财</w:t>
      </w:r>
      <w:r w:rsidR="002E2E3D" w:rsidRPr="00EC25D6">
        <w:rPr>
          <w:rFonts w:eastAsiaTheme="majorEastAsia"/>
          <w:sz w:val="24"/>
        </w:rPr>
        <w:t>产情况</w:t>
      </w:r>
    </w:p>
    <w:p w:rsidR="002E2E3D" w:rsidRPr="00EC25D6" w:rsidRDefault="002E2E3D" w:rsidP="00A5019E">
      <w:pPr>
        <w:overflowPunct w:val="0"/>
        <w:spacing w:line="360" w:lineRule="auto"/>
        <w:ind w:rightChars="2" w:right="4"/>
        <w:jc w:val="right"/>
        <w:rPr>
          <w:rFonts w:eastAsiaTheme="majorEastAsia"/>
          <w:sz w:val="22"/>
          <w:szCs w:val="22"/>
        </w:rPr>
      </w:pPr>
      <w:r w:rsidRPr="00EC25D6">
        <w:rPr>
          <w:rFonts w:eastAsiaTheme="majorEastAsia"/>
          <w:sz w:val="22"/>
          <w:szCs w:val="22"/>
        </w:rPr>
        <w:t>单位：人民币元</w:t>
      </w:r>
    </w:p>
    <w:tbl>
      <w:tblPr>
        <w:tblW w:w="85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3117"/>
      </w:tblGrid>
      <w:tr w:rsidR="00681391" w:rsidRPr="00EC25D6" w:rsidTr="00ED6643">
        <w:tc>
          <w:tcPr>
            <w:tcW w:w="5387" w:type="dxa"/>
          </w:tcPr>
          <w:p w:rsidR="006E7570" w:rsidRPr="00EC25D6" w:rsidRDefault="006E7570" w:rsidP="00A5019E">
            <w:pPr>
              <w:overflowPunct w:val="0"/>
              <w:jc w:val="center"/>
              <w:rPr>
                <w:rFonts w:eastAsiaTheme="majorEastAsia"/>
                <w:szCs w:val="21"/>
              </w:rPr>
            </w:pPr>
            <w:r w:rsidRPr="00EC25D6">
              <w:rPr>
                <w:rFonts w:eastAsiaTheme="majorEastAsia"/>
                <w:szCs w:val="21"/>
              </w:rPr>
              <w:t>项目</w:t>
            </w:r>
          </w:p>
        </w:tc>
        <w:tc>
          <w:tcPr>
            <w:tcW w:w="3117" w:type="dxa"/>
          </w:tcPr>
          <w:p w:rsidR="006E7570" w:rsidRPr="00EC25D6" w:rsidRDefault="006E7570" w:rsidP="00A5019E">
            <w:pPr>
              <w:overflowPunct w:val="0"/>
              <w:jc w:val="right"/>
              <w:rPr>
                <w:rFonts w:eastAsiaTheme="majorEastAsia"/>
                <w:szCs w:val="21"/>
              </w:rPr>
            </w:pPr>
            <w:r w:rsidRPr="00EC25D6">
              <w:rPr>
                <w:rFonts w:eastAsiaTheme="majorEastAsia"/>
                <w:szCs w:val="21"/>
              </w:rPr>
              <w:t>金额</w:t>
            </w:r>
          </w:p>
        </w:tc>
      </w:tr>
      <w:tr w:rsidR="00681391" w:rsidRPr="00EC25D6" w:rsidTr="00ED6643">
        <w:tc>
          <w:tcPr>
            <w:tcW w:w="5387" w:type="dxa"/>
          </w:tcPr>
          <w:p w:rsidR="006E7570" w:rsidRPr="00EC25D6" w:rsidRDefault="006E7570" w:rsidP="001F112E">
            <w:pPr>
              <w:overflowPunct w:val="0"/>
              <w:autoSpaceDE w:val="0"/>
              <w:autoSpaceDN w:val="0"/>
              <w:snapToGrid w:val="0"/>
              <w:rPr>
                <w:rFonts w:eastAsiaTheme="majorEastAsia"/>
                <w:szCs w:val="21"/>
              </w:rPr>
            </w:pPr>
            <w:r w:rsidRPr="00EC25D6">
              <w:rPr>
                <w:rFonts w:eastAsiaTheme="majorEastAsia"/>
                <w:szCs w:val="21"/>
              </w:rPr>
              <w:t>一、最后运作日</w:t>
            </w:r>
            <w:r w:rsidR="00833433" w:rsidRPr="00EC25D6">
              <w:rPr>
                <w:rFonts w:eastAsiaTheme="majorEastAsia"/>
                <w:szCs w:val="21"/>
              </w:rPr>
              <w:t>2025</w:t>
            </w:r>
            <w:r w:rsidR="00833433" w:rsidRPr="00EC25D6">
              <w:rPr>
                <w:rFonts w:eastAsiaTheme="majorEastAsia"/>
                <w:szCs w:val="21"/>
              </w:rPr>
              <w:t>年</w:t>
            </w:r>
            <w:r w:rsidR="00833433" w:rsidRPr="00EC25D6">
              <w:rPr>
                <w:rFonts w:eastAsiaTheme="majorEastAsia"/>
                <w:szCs w:val="21"/>
              </w:rPr>
              <w:t>1</w:t>
            </w:r>
            <w:r w:rsidR="00833433" w:rsidRPr="00EC25D6">
              <w:rPr>
                <w:rFonts w:eastAsiaTheme="majorEastAsia"/>
                <w:szCs w:val="21"/>
              </w:rPr>
              <w:t>月</w:t>
            </w:r>
            <w:r w:rsidR="00833433" w:rsidRPr="00EC25D6">
              <w:rPr>
                <w:rFonts w:eastAsiaTheme="majorEastAsia"/>
                <w:szCs w:val="21"/>
              </w:rPr>
              <w:t>23</w:t>
            </w:r>
            <w:r w:rsidR="00833433" w:rsidRPr="00EC25D6">
              <w:rPr>
                <w:rFonts w:eastAsiaTheme="majorEastAsia"/>
                <w:szCs w:val="21"/>
              </w:rPr>
              <w:t>日</w:t>
            </w:r>
            <w:r w:rsidRPr="00EC25D6">
              <w:rPr>
                <w:rFonts w:eastAsiaTheme="majorEastAsia"/>
                <w:szCs w:val="21"/>
              </w:rPr>
              <w:t>基金净资产</w:t>
            </w:r>
          </w:p>
        </w:tc>
        <w:tc>
          <w:tcPr>
            <w:tcW w:w="3117" w:type="dxa"/>
            <w:vAlign w:val="center"/>
          </w:tcPr>
          <w:p w:rsidR="0002737A" w:rsidRPr="00EC25D6" w:rsidRDefault="00DC64F0" w:rsidP="00EA17B6">
            <w:pPr>
              <w:overflowPunct w:val="0"/>
              <w:autoSpaceDE w:val="0"/>
              <w:autoSpaceDN w:val="0"/>
              <w:snapToGrid w:val="0"/>
              <w:ind w:left="1026"/>
              <w:jc w:val="right"/>
              <w:rPr>
                <w:sz w:val="20"/>
                <w:szCs w:val="20"/>
              </w:rPr>
            </w:pPr>
            <w:r w:rsidRPr="00EC25D6">
              <w:rPr>
                <w:sz w:val="20"/>
                <w:szCs w:val="20"/>
              </w:rPr>
              <w:t>11,415,738.62</w:t>
            </w:r>
          </w:p>
        </w:tc>
      </w:tr>
      <w:tr w:rsidR="00681391" w:rsidRPr="00EC25D6" w:rsidTr="00ED6643">
        <w:tc>
          <w:tcPr>
            <w:tcW w:w="5387" w:type="dxa"/>
          </w:tcPr>
          <w:p w:rsidR="00474CA9" w:rsidRPr="00EC25D6" w:rsidRDefault="00474CA9" w:rsidP="00A5019E">
            <w:pPr>
              <w:overflowPunct w:val="0"/>
              <w:autoSpaceDE w:val="0"/>
              <w:autoSpaceDN w:val="0"/>
              <w:snapToGrid w:val="0"/>
              <w:rPr>
                <w:rFonts w:eastAsiaTheme="majorEastAsia"/>
                <w:szCs w:val="21"/>
              </w:rPr>
            </w:pPr>
            <w:r w:rsidRPr="00EC25D6">
              <w:rPr>
                <w:rFonts w:eastAsiaTheme="majorEastAsia"/>
                <w:szCs w:val="21"/>
              </w:rPr>
              <w:t>减：最后运作日有效赎回、转换转出申请对应赎回款</w:t>
            </w:r>
          </w:p>
        </w:tc>
        <w:tc>
          <w:tcPr>
            <w:tcW w:w="3117" w:type="dxa"/>
            <w:vAlign w:val="center"/>
          </w:tcPr>
          <w:p w:rsidR="00474CA9" w:rsidRPr="00EC25D6" w:rsidDel="00474CA9" w:rsidRDefault="0030173F" w:rsidP="00EA17B6">
            <w:pPr>
              <w:widowControl/>
              <w:jc w:val="right"/>
              <w:rPr>
                <w:kern w:val="0"/>
                <w:sz w:val="20"/>
                <w:szCs w:val="20"/>
              </w:rPr>
            </w:pPr>
            <w:r w:rsidRPr="00EC25D6">
              <w:rPr>
                <w:sz w:val="20"/>
                <w:szCs w:val="20"/>
              </w:rPr>
              <w:t xml:space="preserve">277,514.47 </w:t>
            </w:r>
          </w:p>
        </w:tc>
      </w:tr>
      <w:tr w:rsidR="00ED6643" w:rsidRPr="00EC25D6" w:rsidTr="00EA17B6">
        <w:tc>
          <w:tcPr>
            <w:tcW w:w="5387" w:type="dxa"/>
          </w:tcPr>
          <w:p w:rsidR="00ED6643" w:rsidRPr="00EC25D6" w:rsidRDefault="00ED6643" w:rsidP="00ED6643">
            <w:pPr>
              <w:overflowPunct w:val="0"/>
              <w:autoSpaceDE w:val="0"/>
              <w:autoSpaceDN w:val="0"/>
              <w:snapToGrid w:val="0"/>
              <w:rPr>
                <w:rFonts w:eastAsiaTheme="majorEastAsia"/>
                <w:szCs w:val="21"/>
              </w:rPr>
            </w:pPr>
            <w:r w:rsidRPr="00EC25D6">
              <w:rPr>
                <w:rFonts w:eastAsiaTheme="majorEastAsia"/>
                <w:szCs w:val="21"/>
              </w:rPr>
              <w:t>加：清算报告期间净收益</w:t>
            </w:r>
          </w:p>
        </w:tc>
        <w:tc>
          <w:tcPr>
            <w:tcW w:w="3117" w:type="dxa"/>
            <w:vAlign w:val="bottom"/>
          </w:tcPr>
          <w:p w:rsidR="00ED6643" w:rsidRPr="00EC25D6" w:rsidRDefault="00ED6643" w:rsidP="00EA17B6">
            <w:pPr>
              <w:overflowPunct w:val="0"/>
              <w:autoSpaceDE w:val="0"/>
              <w:autoSpaceDN w:val="0"/>
              <w:snapToGrid w:val="0"/>
              <w:ind w:left="1026"/>
              <w:jc w:val="right"/>
              <w:rPr>
                <w:sz w:val="20"/>
                <w:szCs w:val="20"/>
              </w:rPr>
            </w:pPr>
            <w:r w:rsidRPr="00EC25D6">
              <w:rPr>
                <w:sz w:val="20"/>
                <w:szCs w:val="20"/>
              </w:rPr>
              <w:t xml:space="preserve">45,518.03  </w:t>
            </w:r>
          </w:p>
        </w:tc>
      </w:tr>
      <w:tr w:rsidR="00ED6643" w:rsidRPr="00EC25D6" w:rsidTr="00ED6643">
        <w:trPr>
          <w:trHeight w:val="101"/>
        </w:trPr>
        <w:tc>
          <w:tcPr>
            <w:tcW w:w="5387" w:type="dxa"/>
          </w:tcPr>
          <w:p w:rsidR="00ED6643" w:rsidRPr="00EC25D6" w:rsidRDefault="00ED6643" w:rsidP="00ED6643">
            <w:pPr>
              <w:overflowPunct w:val="0"/>
              <w:autoSpaceDE w:val="0"/>
              <w:autoSpaceDN w:val="0"/>
              <w:snapToGrid w:val="0"/>
              <w:rPr>
                <w:rFonts w:eastAsiaTheme="majorEastAsia"/>
                <w:szCs w:val="21"/>
              </w:rPr>
            </w:pPr>
            <w:r w:rsidRPr="00EC25D6">
              <w:rPr>
                <w:rFonts w:eastAsiaTheme="majorEastAsia"/>
                <w:szCs w:val="21"/>
              </w:rPr>
              <w:t>二、</w:t>
            </w:r>
            <w:r w:rsidRPr="00EC25D6">
              <w:rPr>
                <w:rFonts w:eastAsiaTheme="majorEastAsia"/>
                <w:szCs w:val="21"/>
              </w:rPr>
              <w:t>2025</w:t>
            </w:r>
            <w:r w:rsidRPr="00EC25D6">
              <w:rPr>
                <w:rFonts w:eastAsiaTheme="majorEastAsia"/>
                <w:szCs w:val="21"/>
              </w:rPr>
              <w:t>年</w:t>
            </w:r>
            <w:r w:rsidRPr="00EC25D6">
              <w:rPr>
                <w:rFonts w:eastAsiaTheme="majorEastAsia"/>
                <w:szCs w:val="21"/>
              </w:rPr>
              <w:t>3</w:t>
            </w:r>
            <w:r w:rsidRPr="00EC25D6">
              <w:rPr>
                <w:rFonts w:eastAsiaTheme="majorEastAsia"/>
                <w:szCs w:val="21"/>
              </w:rPr>
              <w:t>月</w:t>
            </w:r>
            <w:r w:rsidRPr="00EC25D6">
              <w:rPr>
                <w:rFonts w:eastAsiaTheme="majorEastAsia"/>
                <w:szCs w:val="21"/>
              </w:rPr>
              <w:t>14</w:t>
            </w:r>
            <w:r w:rsidRPr="00EC25D6">
              <w:rPr>
                <w:rFonts w:eastAsiaTheme="majorEastAsia"/>
                <w:szCs w:val="21"/>
              </w:rPr>
              <w:t>日基金净资产</w:t>
            </w:r>
          </w:p>
        </w:tc>
        <w:tc>
          <w:tcPr>
            <w:tcW w:w="3117" w:type="dxa"/>
            <w:vAlign w:val="center"/>
          </w:tcPr>
          <w:p w:rsidR="00ED6643" w:rsidRPr="00EC25D6" w:rsidRDefault="00ED6643" w:rsidP="00EA17B6">
            <w:pPr>
              <w:overflowPunct w:val="0"/>
              <w:autoSpaceDE w:val="0"/>
              <w:autoSpaceDN w:val="0"/>
              <w:snapToGrid w:val="0"/>
              <w:ind w:left="1026"/>
              <w:jc w:val="right"/>
              <w:rPr>
                <w:sz w:val="20"/>
                <w:szCs w:val="20"/>
              </w:rPr>
            </w:pPr>
            <w:r w:rsidRPr="00EC25D6">
              <w:rPr>
                <w:sz w:val="20"/>
                <w:szCs w:val="20"/>
              </w:rPr>
              <w:t>11,183,742.18</w:t>
            </w:r>
          </w:p>
        </w:tc>
      </w:tr>
    </w:tbl>
    <w:p w:rsidR="00E958C5" w:rsidRPr="00EC25D6" w:rsidRDefault="00511F74" w:rsidP="0056360F">
      <w:pPr>
        <w:overflowPunct w:val="0"/>
        <w:autoSpaceDE w:val="0"/>
        <w:autoSpaceDN w:val="0"/>
        <w:snapToGrid w:val="0"/>
        <w:spacing w:beforeLines="50" w:line="360" w:lineRule="auto"/>
        <w:ind w:leftChars="273" w:left="573" w:firstLineChars="200" w:firstLine="480"/>
        <w:rPr>
          <w:rFonts w:eastAsiaTheme="majorEastAsia"/>
          <w:kern w:val="0"/>
          <w:sz w:val="24"/>
          <w:lang w:bidi="th-TH"/>
        </w:rPr>
      </w:pPr>
      <w:r w:rsidRPr="00EC25D6">
        <w:rPr>
          <w:rFonts w:eastAsiaTheme="majorEastAsia"/>
          <w:sz w:val="24"/>
        </w:rPr>
        <w:t>截至</w:t>
      </w:r>
      <w:r w:rsidR="00F11A32" w:rsidRPr="00EC25D6">
        <w:rPr>
          <w:rFonts w:eastAsiaTheme="majorEastAsia"/>
          <w:sz w:val="24"/>
        </w:rPr>
        <w:t>本基金</w:t>
      </w:r>
      <w:r w:rsidRPr="00EC25D6">
        <w:rPr>
          <w:rFonts w:eastAsiaTheme="majorEastAsia"/>
          <w:sz w:val="24"/>
        </w:rPr>
        <w:t>清算</w:t>
      </w:r>
      <w:r w:rsidR="00127676" w:rsidRPr="00EC25D6">
        <w:rPr>
          <w:rFonts w:eastAsiaTheme="majorEastAsia"/>
          <w:sz w:val="24"/>
        </w:rPr>
        <w:t>报告</w:t>
      </w:r>
      <w:r w:rsidRPr="00EC25D6">
        <w:rPr>
          <w:rFonts w:eastAsiaTheme="majorEastAsia"/>
          <w:kern w:val="0"/>
          <w:sz w:val="24"/>
          <w:lang w:bidi="th-TH"/>
        </w:rPr>
        <w:t>期结束日</w:t>
      </w:r>
      <w:r w:rsidR="00833433" w:rsidRPr="00EC25D6">
        <w:rPr>
          <w:rFonts w:eastAsiaTheme="majorEastAsia"/>
          <w:kern w:val="0"/>
          <w:sz w:val="24"/>
          <w:lang w:bidi="th-TH"/>
        </w:rPr>
        <w:t>2025</w:t>
      </w:r>
      <w:r w:rsidR="00833433" w:rsidRPr="00EC25D6">
        <w:rPr>
          <w:rFonts w:eastAsiaTheme="majorEastAsia"/>
          <w:kern w:val="0"/>
          <w:sz w:val="24"/>
          <w:lang w:bidi="th-TH"/>
        </w:rPr>
        <w:t>年</w:t>
      </w:r>
      <w:r w:rsidR="00833433" w:rsidRPr="00EC25D6">
        <w:rPr>
          <w:rFonts w:eastAsiaTheme="majorEastAsia"/>
          <w:kern w:val="0"/>
          <w:sz w:val="24"/>
          <w:lang w:bidi="th-TH"/>
        </w:rPr>
        <w:t>3</w:t>
      </w:r>
      <w:r w:rsidR="00833433" w:rsidRPr="00EC25D6">
        <w:rPr>
          <w:rFonts w:eastAsiaTheme="majorEastAsia"/>
          <w:kern w:val="0"/>
          <w:sz w:val="24"/>
          <w:lang w:bidi="th-TH"/>
        </w:rPr>
        <w:t>月</w:t>
      </w:r>
      <w:r w:rsidR="00833433" w:rsidRPr="00EC25D6">
        <w:rPr>
          <w:rFonts w:eastAsiaTheme="majorEastAsia"/>
          <w:kern w:val="0"/>
          <w:sz w:val="24"/>
          <w:lang w:bidi="th-TH"/>
        </w:rPr>
        <w:t>14</w:t>
      </w:r>
      <w:r w:rsidR="00833433" w:rsidRPr="00EC25D6">
        <w:rPr>
          <w:rFonts w:eastAsiaTheme="majorEastAsia"/>
          <w:kern w:val="0"/>
          <w:sz w:val="24"/>
          <w:lang w:bidi="th-TH"/>
        </w:rPr>
        <w:t>日</w:t>
      </w:r>
      <w:r w:rsidRPr="00EC25D6">
        <w:rPr>
          <w:rFonts w:eastAsiaTheme="majorEastAsia"/>
          <w:kern w:val="0"/>
          <w:sz w:val="24"/>
          <w:lang w:bidi="th-TH"/>
        </w:rPr>
        <w:t>，本基金剩余</w:t>
      </w:r>
      <w:r w:rsidR="00E54CD1" w:rsidRPr="00EC25D6">
        <w:rPr>
          <w:rFonts w:eastAsiaTheme="majorEastAsia"/>
          <w:kern w:val="0"/>
          <w:sz w:val="24"/>
          <w:lang w:bidi="th-TH"/>
        </w:rPr>
        <w:t>财</w:t>
      </w:r>
      <w:r w:rsidRPr="00EC25D6">
        <w:rPr>
          <w:rFonts w:eastAsiaTheme="majorEastAsia"/>
          <w:kern w:val="0"/>
          <w:sz w:val="24"/>
          <w:lang w:bidi="th-TH"/>
        </w:rPr>
        <w:t>产为人民币</w:t>
      </w:r>
      <w:r w:rsidR="00ED6643" w:rsidRPr="00EC25D6">
        <w:rPr>
          <w:color w:val="000000"/>
          <w:kern w:val="0"/>
          <w:sz w:val="24"/>
          <w:lang w:bidi="th-TH"/>
        </w:rPr>
        <w:t>11,183,742.18</w:t>
      </w:r>
      <w:r w:rsidR="00F778DA" w:rsidRPr="00EC25D6">
        <w:rPr>
          <w:rFonts w:eastAsiaTheme="majorEastAsia"/>
          <w:kern w:val="0"/>
          <w:sz w:val="24"/>
          <w:lang w:bidi="th-TH"/>
        </w:rPr>
        <w:t>元</w:t>
      </w:r>
      <w:r w:rsidR="006667DC" w:rsidRPr="00EC25D6">
        <w:rPr>
          <w:rFonts w:eastAsiaTheme="majorEastAsia"/>
          <w:kern w:val="0"/>
          <w:sz w:val="24"/>
          <w:lang w:bidi="th-TH"/>
        </w:rPr>
        <w:t>。</w:t>
      </w:r>
      <w:r w:rsidR="00F41EE3" w:rsidRPr="00EC25D6">
        <w:rPr>
          <w:rFonts w:eastAsiaTheme="majorEastAsia"/>
          <w:kern w:val="0"/>
          <w:sz w:val="24"/>
          <w:lang w:bidi="th-TH"/>
        </w:rPr>
        <w:t>自清算</w:t>
      </w:r>
      <w:r w:rsidR="00F11A32" w:rsidRPr="00EC25D6">
        <w:rPr>
          <w:rFonts w:eastAsiaTheme="majorEastAsia"/>
          <w:kern w:val="0"/>
          <w:sz w:val="24"/>
          <w:lang w:bidi="th-TH"/>
        </w:rPr>
        <w:t>报告</w:t>
      </w:r>
      <w:r w:rsidR="00F41EE3" w:rsidRPr="00EC25D6">
        <w:rPr>
          <w:rFonts w:eastAsiaTheme="majorEastAsia"/>
          <w:kern w:val="0"/>
          <w:sz w:val="24"/>
          <w:lang w:bidi="th-TH"/>
        </w:rPr>
        <w:t>期结束日次日</w:t>
      </w:r>
      <w:r w:rsidR="00BA2FAF" w:rsidRPr="00EC25D6">
        <w:rPr>
          <w:rFonts w:eastAsiaTheme="majorEastAsia"/>
          <w:kern w:val="0"/>
          <w:sz w:val="24"/>
          <w:lang w:bidi="th-TH"/>
        </w:rPr>
        <w:t>（</w:t>
      </w:r>
      <w:r w:rsidR="00833433" w:rsidRPr="00EC25D6">
        <w:rPr>
          <w:rFonts w:eastAsiaTheme="majorEastAsia"/>
          <w:kern w:val="0"/>
          <w:sz w:val="24"/>
          <w:lang w:bidi="th-TH"/>
        </w:rPr>
        <w:t>2025</w:t>
      </w:r>
      <w:r w:rsidR="00833433" w:rsidRPr="00EC25D6">
        <w:rPr>
          <w:rFonts w:eastAsiaTheme="majorEastAsia"/>
          <w:kern w:val="0"/>
          <w:sz w:val="24"/>
          <w:lang w:bidi="th-TH"/>
        </w:rPr>
        <w:t>年</w:t>
      </w:r>
      <w:r w:rsidR="00833433" w:rsidRPr="00EC25D6">
        <w:rPr>
          <w:rFonts w:eastAsiaTheme="majorEastAsia"/>
          <w:kern w:val="0"/>
          <w:sz w:val="24"/>
          <w:lang w:bidi="th-TH"/>
        </w:rPr>
        <w:t>3</w:t>
      </w:r>
      <w:r w:rsidR="00833433" w:rsidRPr="00EC25D6">
        <w:rPr>
          <w:rFonts w:eastAsiaTheme="majorEastAsia"/>
          <w:kern w:val="0"/>
          <w:sz w:val="24"/>
          <w:lang w:bidi="th-TH"/>
        </w:rPr>
        <w:t>月</w:t>
      </w:r>
      <w:r w:rsidR="00833433" w:rsidRPr="00EC25D6">
        <w:rPr>
          <w:rFonts w:eastAsiaTheme="majorEastAsia"/>
          <w:kern w:val="0"/>
          <w:sz w:val="24"/>
          <w:lang w:bidi="th-TH"/>
        </w:rPr>
        <w:t>15</w:t>
      </w:r>
      <w:r w:rsidR="00833433" w:rsidRPr="00EC25D6">
        <w:rPr>
          <w:rFonts w:eastAsiaTheme="majorEastAsia"/>
          <w:kern w:val="0"/>
          <w:sz w:val="24"/>
          <w:lang w:bidi="th-TH"/>
        </w:rPr>
        <w:t>日</w:t>
      </w:r>
      <w:r w:rsidR="00BA2FAF" w:rsidRPr="00EC25D6">
        <w:rPr>
          <w:rFonts w:eastAsiaTheme="majorEastAsia"/>
          <w:kern w:val="0"/>
          <w:sz w:val="24"/>
          <w:lang w:bidi="th-TH"/>
        </w:rPr>
        <w:t>）</w:t>
      </w:r>
      <w:r w:rsidR="00F41EE3" w:rsidRPr="00EC25D6">
        <w:rPr>
          <w:rFonts w:eastAsiaTheme="majorEastAsia"/>
          <w:kern w:val="0"/>
          <w:sz w:val="24"/>
          <w:lang w:bidi="th-TH"/>
        </w:rPr>
        <w:t>至</w:t>
      </w:r>
      <w:r w:rsidR="00903847" w:rsidRPr="00EC25D6">
        <w:rPr>
          <w:rFonts w:eastAsiaTheme="majorEastAsia"/>
          <w:kern w:val="0"/>
          <w:sz w:val="24"/>
          <w:lang w:bidi="th-TH"/>
        </w:rPr>
        <w:t>本次</w:t>
      </w:r>
      <w:r w:rsidR="00F41EE3" w:rsidRPr="00EC25D6">
        <w:rPr>
          <w:rFonts w:eastAsiaTheme="majorEastAsia"/>
          <w:kern w:val="0"/>
          <w:sz w:val="24"/>
          <w:lang w:bidi="th-TH"/>
        </w:rPr>
        <w:t>清算款划出前一日的银行存款</w:t>
      </w:r>
      <w:r w:rsidR="00122759" w:rsidRPr="00EC25D6">
        <w:rPr>
          <w:rFonts w:eastAsiaTheme="majorEastAsia"/>
          <w:kern w:val="0"/>
          <w:sz w:val="24"/>
          <w:lang w:bidi="th-TH"/>
        </w:rPr>
        <w:t>等</w:t>
      </w:r>
      <w:r w:rsidR="00F41EE3" w:rsidRPr="00EC25D6">
        <w:rPr>
          <w:rFonts w:eastAsiaTheme="majorEastAsia"/>
          <w:kern w:val="0"/>
          <w:sz w:val="24"/>
          <w:lang w:bidi="th-TH"/>
        </w:rPr>
        <w:t>产生的</w:t>
      </w:r>
      <w:r w:rsidR="00EE4A3B" w:rsidRPr="00EC25D6">
        <w:rPr>
          <w:rFonts w:eastAsiaTheme="majorEastAsia"/>
          <w:kern w:val="0"/>
          <w:sz w:val="24"/>
          <w:lang w:bidi="th-TH"/>
        </w:rPr>
        <w:t>利息亦</w:t>
      </w:r>
      <w:r w:rsidR="00D83393" w:rsidRPr="00EC25D6">
        <w:rPr>
          <w:rFonts w:eastAsiaTheme="majorEastAsia"/>
          <w:kern w:val="0"/>
          <w:sz w:val="24"/>
          <w:lang w:bidi="th-TH"/>
        </w:rPr>
        <w:t>归</w:t>
      </w:r>
      <w:r w:rsidR="005B3529" w:rsidRPr="00EC25D6">
        <w:rPr>
          <w:rFonts w:eastAsiaTheme="majorEastAsia"/>
          <w:kern w:val="0"/>
          <w:sz w:val="24"/>
          <w:lang w:bidi="th-TH"/>
        </w:rPr>
        <w:t>基金份额持有人所有。</w:t>
      </w:r>
    </w:p>
    <w:p w:rsidR="00B42CD6"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w:t>
      </w:r>
      <w:r w:rsidR="00050C40" w:rsidRPr="00EC25D6">
        <w:rPr>
          <w:rFonts w:eastAsiaTheme="majorEastAsia"/>
          <w:bCs/>
          <w:sz w:val="24"/>
        </w:rPr>
        <w:t>六</w:t>
      </w:r>
      <w:r w:rsidRPr="00EC25D6">
        <w:rPr>
          <w:rFonts w:eastAsiaTheme="majorEastAsia"/>
          <w:bCs/>
          <w:sz w:val="24"/>
        </w:rPr>
        <w:t>）基金清算报告的告知</w:t>
      </w:r>
      <w:r w:rsidR="00B11A3F" w:rsidRPr="00EC25D6">
        <w:rPr>
          <w:rFonts w:eastAsiaTheme="majorEastAsia"/>
          <w:bCs/>
          <w:sz w:val="24"/>
        </w:rPr>
        <w:t>及</w:t>
      </w:r>
      <w:r w:rsidR="006469C2" w:rsidRPr="00EC25D6">
        <w:rPr>
          <w:rFonts w:eastAsiaTheme="majorEastAsia"/>
          <w:bCs/>
          <w:sz w:val="24"/>
        </w:rPr>
        <w:t>剩余</w:t>
      </w:r>
      <w:r w:rsidR="00B11A3F" w:rsidRPr="00EC25D6">
        <w:rPr>
          <w:rFonts w:eastAsiaTheme="majorEastAsia"/>
          <w:bCs/>
          <w:sz w:val="24"/>
        </w:rPr>
        <w:t>财产分配</w:t>
      </w:r>
      <w:r w:rsidRPr="00EC25D6">
        <w:rPr>
          <w:rFonts w:eastAsiaTheme="majorEastAsia"/>
          <w:bCs/>
          <w:sz w:val="24"/>
        </w:rPr>
        <w:t>安排</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本清算报告</w:t>
      </w:r>
      <w:r w:rsidR="00F767D5" w:rsidRPr="00EC25D6">
        <w:rPr>
          <w:rFonts w:eastAsiaTheme="majorEastAsia"/>
          <w:bCs/>
          <w:sz w:val="24"/>
        </w:rPr>
        <w:t>已经基金托管人复核，</w:t>
      </w:r>
      <w:r w:rsidR="00323F33" w:rsidRPr="00EC25D6">
        <w:rPr>
          <w:rFonts w:eastAsiaTheme="majorEastAsia"/>
          <w:bCs/>
          <w:sz w:val="24"/>
        </w:rPr>
        <w:t>将</w:t>
      </w:r>
      <w:r w:rsidR="006469C2" w:rsidRPr="00EC25D6">
        <w:rPr>
          <w:rFonts w:eastAsiaTheme="majorEastAsia"/>
          <w:bCs/>
          <w:sz w:val="24"/>
        </w:rPr>
        <w:t>与会计师事务所出具的</w:t>
      </w:r>
      <w:r w:rsidR="00B4462A" w:rsidRPr="00EC25D6">
        <w:rPr>
          <w:rFonts w:eastAsiaTheme="majorEastAsia"/>
          <w:bCs/>
          <w:sz w:val="24"/>
        </w:rPr>
        <w:t>清算</w:t>
      </w:r>
      <w:r w:rsidR="006469C2" w:rsidRPr="00EC25D6">
        <w:rPr>
          <w:rFonts w:eastAsiaTheme="majorEastAsia"/>
          <w:bCs/>
          <w:sz w:val="24"/>
        </w:rPr>
        <w:t>审计报告、律师事务所出具的法律意见书一并</w:t>
      </w:r>
      <w:r w:rsidRPr="00EC25D6">
        <w:rPr>
          <w:rFonts w:eastAsiaTheme="majorEastAsia"/>
          <w:bCs/>
          <w:sz w:val="24"/>
        </w:rPr>
        <w:t>报中国</w:t>
      </w:r>
      <w:r w:rsidR="007532E6" w:rsidRPr="00EC25D6">
        <w:rPr>
          <w:rFonts w:eastAsiaTheme="majorEastAsia"/>
          <w:bCs/>
          <w:sz w:val="24"/>
        </w:rPr>
        <w:t>证监会</w:t>
      </w:r>
      <w:r w:rsidRPr="00EC25D6">
        <w:rPr>
          <w:rFonts w:eastAsiaTheme="majorEastAsia"/>
          <w:bCs/>
          <w:sz w:val="24"/>
        </w:rPr>
        <w:t>备案后向基金份额持有人公告。</w:t>
      </w:r>
      <w:r w:rsidR="004B1F42" w:rsidRPr="00EC25D6">
        <w:rPr>
          <w:rFonts w:eastAsiaTheme="majorEastAsia"/>
          <w:bCs/>
          <w:sz w:val="24"/>
        </w:rPr>
        <w:t>清算报告公告后，</w:t>
      </w:r>
      <w:r w:rsidR="00B11A3F" w:rsidRPr="00EC25D6">
        <w:rPr>
          <w:rFonts w:eastAsiaTheme="majorEastAsia"/>
          <w:bCs/>
          <w:sz w:val="24"/>
        </w:rPr>
        <w:t>基金管理人将遵照法律法规、基金合同等规定及时进行</w:t>
      </w:r>
      <w:r w:rsidR="00F83EF2" w:rsidRPr="00EC25D6">
        <w:rPr>
          <w:rFonts w:eastAsiaTheme="majorEastAsia"/>
          <w:bCs/>
          <w:sz w:val="24"/>
        </w:rPr>
        <w:t>剩余财产</w:t>
      </w:r>
      <w:r w:rsidR="00B11A3F" w:rsidRPr="00EC25D6">
        <w:rPr>
          <w:rFonts w:eastAsiaTheme="majorEastAsia"/>
          <w:bCs/>
          <w:sz w:val="24"/>
        </w:rPr>
        <w:t>分配</w:t>
      </w:r>
      <w:r w:rsidR="00444C6B" w:rsidRPr="00EC25D6">
        <w:rPr>
          <w:rFonts w:eastAsiaTheme="majorEastAsia"/>
          <w:bCs/>
          <w:sz w:val="24"/>
        </w:rPr>
        <w:t>。</w:t>
      </w:r>
    </w:p>
    <w:p w:rsidR="0097630C" w:rsidRPr="00EC25D6" w:rsidRDefault="0097630C"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8" w:name="_Toc447194472"/>
      <w:r w:rsidRPr="00EC25D6">
        <w:rPr>
          <w:rStyle w:val="2CharCharChar"/>
          <w:rFonts w:ascii="Times New Roman" w:eastAsiaTheme="majorEastAsia" w:hAnsi="Times New Roman"/>
          <w:b/>
          <w:bCs w:val="0"/>
          <w:szCs w:val="24"/>
        </w:rPr>
        <w:t>五、备查文件</w:t>
      </w:r>
      <w:bookmarkEnd w:id="8"/>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（一）备查文件目录</w:t>
      </w:r>
      <w:r w:rsidRPr="00EC25D6">
        <w:rPr>
          <w:rFonts w:eastAsiaTheme="majorEastAsia"/>
          <w:bCs/>
          <w:sz w:val="24"/>
        </w:rPr>
        <w:t xml:space="preserve"> </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1</w:t>
      </w:r>
      <w:r w:rsidRPr="00EC25D6">
        <w:rPr>
          <w:rFonts w:eastAsiaTheme="majorEastAsia"/>
          <w:bCs/>
          <w:sz w:val="24"/>
        </w:rPr>
        <w:t>、</w:t>
      </w:r>
      <w:r w:rsidR="00467FBE" w:rsidRPr="00EC25D6">
        <w:rPr>
          <w:rFonts w:eastAsiaTheme="majorEastAsia"/>
          <w:bCs/>
          <w:sz w:val="24"/>
        </w:rPr>
        <w:t>《</w:t>
      </w:r>
      <w:r w:rsidR="00833433" w:rsidRPr="00EC25D6">
        <w:rPr>
          <w:rFonts w:eastAsiaTheme="majorEastAsia"/>
          <w:bCs/>
          <w:sz w:val="24"/>
        </w:rPr>
        <w:t>华夏新锦顺灵活配置混合型证券投资基金</w:t>
      </w:r>
      <w:r w:rsidR="00EC25D6" w:rsidRPr="00EC25D6">
        <w:rPr>
          <w:rFonts w:eastAsiaTheme="majorEastAsia" w:hint="eastAsia"/>
          <w:bCs/>
          <w:sz w:val="24"/>
        </w:rPr>
        <w:t>2025</w:t>
      </w:r>
      <w:r w:rsidR="00EC25D6" w:rsidRPr="00EC25D6">
        <w:rPr>
          <w:rFonts w:eastAsiaTheme="majorEastAsia" w:hint="eastAsia"/>
          <w:bCs/>
          <w:sz w:val="24"/>
        </w:rPr>
        <w:t>年</w:t>
      </w:r>
      <w:r w:rsidR="00EC25D6" w:rsidRPr="00EC25D6">
        <w:rPr>
          <w:rFonts w:eastAsiaTheme="majorEastAsia" w:hint="eastAsia"/>
          <w:bCs/>
          <w:sz w:val="24"/>
        </w:rPr>
        <w:t>1</w:t>
      </w:r>
      <w:r w:rsidR="00EC25D6" w:rsidRPr="00EC25D6">
        <w:rPr>
          <w:rFonts w:eastAsiaTheme="majorEastAsia" w:hint="eastAsia"/>
          <w:bCs/>
          <w:sz w:val="24"/>
        </w:rPr>
        <w:t>月</w:t>
      </w:r>
      <w:r w:rsidR="00EC25D6" w:rsidRPr="00EC25D6">
        <w:rPr>
          <w:rFonts w:eastAsiaTheme="majorEastAsia" w:hint="eastAsia"/>
          <w:bCs/>
          <w:sz w:val="24"/>
        </w:rPr>
        <w:t>23</w:t>
      </w:r>
      <w:r w:rsidR="00EC25D6" w:rsidRPr="00EC25D6">
        <w:rPr>
          <w:rFonts w:eastAsiaTheme="majorEastAsia" w:hint="eastAsia"/>
          <w:bCs/>
          <w:sz w:val="24"/>
        </w:rPr>
        <w:t>日（最后运作日）清算审计报告</w:t>
      </w:r>
      <w:r w:rsidR="00467FBE" w:rsidRPr="00EC25D6">
        <w:rPr>
          <w:rFonts w:eastAsiaTheme="majorEastAsia"/>
          <w:bCs/>
          <w:sz w:val="24"/>
        </w:rPr>
        <w:t>》</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2</w:t>
      </w:r>
      <w:r w:rsidRPr="00EC25D6">
        <w:rPr>
          <w:rFonts w:eastAsiaTheme="majorEastAsia"/>
          <w:bCs/>
          <w:sz w:val="24"/>
        </w:rPr>
        <w:t>、</w:t>
      </w:r>
      <w:r w:rsidR="002D19D6" w:rsidRPr="00EC25D6">
        <w:rPr>
          <w:rFonts w:eastAsiaTheme="majorEastAsia"/>
          <w:bCs/>
          <w:sz w:val="24"/>
        </w:rPr>
        <w:t>《</w:t>
      </w:r>
      <w:r w:rsidR="00634971" w:rsidRPr="00EC25D6">
        <w:rPr>
          <w:rFonts w:eastAsiaTheme="majorEastAsia"/>
          <w:bCs/>
          <w:sz w:val="24"/>
        </w:rPr>
        <w:t>关于</w:t>
      </w:r>
      <w:r w:rsidR="00833433" w:rsidRPr="00EC25D6">
        <w:rPr>
          <w:rFonts w:eastAsiaTheme="majorEastAsia"/>
          <w:bCs/>
          <w:sz w:val="24"/>
        </w:rPr>
        <w:t>华夏新锦顺灵活配置混合型证券投资基金</w:t>
      </w:r>
      <w:r w:rsidR="00634971" w:rsidRPr="00EC25D6">
        <w:rPr>
          <w:rFonts w:eastAsiaTheme="majorEastAsia"/>
          <w:bCs/>
          <w:sz w:val="24"/>
        </w:rPr>
        <w:t>清算的法律意见</w:t>
      </w:r>
      <w:r w:rsidR="002D19D6" w:rsidRPr="00EC25D6">
        <w:rPr>
          <w:rFonts w:eastAsiaTheme="majorEastAsia"/>
          <w:bCs/>
          <w:sz w:val="24"/>
        </w:rPr>
        <w:t>》</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（二）存放地点</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备查文件存放于基金管理人</w:t>
      </w:r>
      <w:r w:rsidR="00E764F1" w:rsidRPr="00EC25D6">
        <w:rPr>
          <w:rFonts w:eastAsiaTheme="majorEastAsia"/>
          <w:bCs/>
          <w:sz w:val="24"/>
        </w:rPr>
        <w:t>、基金托管人</w:t>
      </w:r>
      <w:r w:rsidRPr="00EC25D6">
        <w:rPr>
          <w:rFonts w:eastAsiaTheme="majorEastAsia"/>
          <w:bCs/>
          <w:sz w:val="24"/>
        </w:rPr>
        <w:t>处。</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（三）查阅方式</w:t>
      </w:r>
    </w:p>
    <w:p w:rsidR="0097630C" w:rsidRPr="00EC25D6"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EC25D6">
        <w:rPr>
          <w:rFonts w:eastAsiaTheme="majorEastAsia"/>
          <w:bCs/>
          <w:sz w:val="24"/>
        </w:rPr>
        <w:t>投资者可在营业时间免费查阅备查文件。</w:t>
      </w:r>
    </w:p>
    <w:p w:rsidR="007735E5" w:rsidRPr="00EC25D6" w:rsidRDefault="007735E5" w:rsidP="00A5019E">
      <w:pPr>
        <w:overflowPunct w:val="0"/>
        <w:autoSpaceDE w:val="0"/>
        <w:autoSpaceDN w:val="0"/>
        <w:snapToGrid w:val="0"/>
        <w:spacing w:line="360" w:lineRule="auto"/>
        <w:ind w:leftChars="273" w:left="573" w:firstLineChars="200" w:firstLine="480"/>
        <w:jc w:val="right"/>
        <w:rPr>
          <w:rFonts w:eastAsiaTheme="majorEastAsia"/>
          <w:sz w:val="24"/>
        </w:rPr>
      </w:pPr>
    </w:p>
    <w:p w:rsidR="00D60085" w:rsidRPr="00EC25D6" w:rsidRDefault="00833433" w:rsidP="001F7D05">
      <w:pPr>
        <w:overflowPunct w:val="0"/>
        <w:autoSpaceDE w:val="0"/>
        <w:autoSpaceDN w:val="0"/>
        <w:snapToGrid w:val="0"/>
        <w:spacing w:line="360" w:lineRule="auto"/>
        <w:ind w:leftChars="273" w:left="573" w:firstLineChars="200" w:firstLine="480"/>
        <w:jc w:val="right"/>
        <w:rPr>
          <w:rFonts w:eastAsiaTheme="majorEastAsia"/>
          <w:bCs/>
          <w:sz w:val="24"/>
        </w:rPr>
      </w:pPr>
      <w:r w:rsidRPr="00EC25D6">
        <w:rPr>
          <w:rFonts w:eastAsiaTheme="majorEastAsia"/>
          <w:bCs/>
          <w:sz w:val="24"/>
        </w:rPr>
        <w:t>华夏新锦顺灵活配置混合型证券投资基金</w:t>
      </w:r>
      <w:r w:rsidR="006678E6" w:rsidRPr="00EC25D6">
        <w:rPr>
          <w:rFonts w:eastAsiaTheme="majorEastAsia"/>
          <w:bCs/>
          <w:sz w:val="24"/>
        </w:rPr>
        <w:t>基金</w:t>
      </w:r>
      <w:r w:rsidR="005C0942" w:rsidRPr="00EC25D6">
        <w:rPr>
          <w:rFonts w:eastAsiaTheme="majorEastAsia"/>
          <w:bCs/>
          <w:sz w:val="24"/>
        </w:rPr>
        <w:t>财产清算组</w:t>
      </w:r>
    </w:p>
    <w:p w:rsidR="00D97ADD" w:rsidRPr="00EC25D6" w:rsidRDefault="00D97ADD" w:rsidP="00D97ADD">
      <w:pPr>
        <w:overflowPunct w:val="0"/>
        <w:autoSpaceDE w:val="0"/>
        <w:autoSpaceDN w:val="0"/>
        <w:snapToGrid w:val="0"/>
        <w:spacing w:line="360" w:lineRule="auto"/>
        <w:ind w:leftChars="273" w:left="573" w:firstLineChars="200" w:firstLine="480"/>
        <w:jc w:val="right"/>
        <w:rPr>
          <w:rFonts w:eastAsiaTheme="majorEastAsia"/>
          <w:sz w:val="24"/>
        </w:rPr>
      </w:pPr>
      <w:r w:rsidRPr="00EC25D6">
        <w:rPr>
          <w:rFonts w:eastAsiaTheme="majorEastAsia"/>
          <w:sz w:val="24"/>
        </w:rPr>
        <w:t>二</w:t>
      </w:r>
      <w:r w:rsidR="00326032" w:rsidRPr="00EC25D6">
        <w:rPr>
          <w:color w:val="000000"/>
          <w:sz w:val="24"/>
        </w:rPr>
        <w:t>〇</w:t>
      </w:r>
      <w:r w:rsidRPr="00EC25D6">
        <w:rPr>
          <w:rFonts w:eastAsiaTheme="majorEastAsia"/>
          <w:sz w:val="24"/>
        </w:rPr>
        <w:t>二五年</w:t>
      </w:r>
      <w:r w:rsidR="00FC0208" w:rsidRPr="00EC25D6">
        <w:rPr>
          <w:rFonts w:eastAsiaTheme="majorEastAsia"/>
          <w:sz w:val="24"/>
        </w:rPr>
        <w:t>三</w:t>
      </w:r>
      <w:r w:rsidRPr="00EC25D6">
        <w:rPr>
          <w:rFonts w:eastAsiaTheme="majorEastAsia"/>
          <w:sz w:val="24"/>
        </w:rPr>
        <w:t>月二十</w:t>
      </w:r>
      <w:r w:rsidR="00FC0208" w:rsidRPr="00EC25D6">
        <w:rPr>
          <w:rFonts w:eastAsiaTheme="majorEastAsia"/>
          <w:sz w:val="24"/>
        </w:rPr>
        <w:t>一</w:t>
      </w:r>
      <w:r w:rsidRPr="00EC25D6">
        <w:rPr>
          <w:rFonts w:eastAsiaTheme="majorEastAsia"/>
          <w:sz w:val="24"/>
        </w:rPr>
        <w:t>日</w:t>
      </w:r>
    </w:p>
    <w:p w:rsidR="002E2E3D" w:rsidRPr="00EC25D6" w:rsidRDefault="002E2E3D" w:rsidP="00D97ADD">
      <w:pPr>
        <w:overflowPunct w:val="0"/>
        <w:autoSpaceDE w:val="0"/>
        <w:autoSpaceDN w:val="0"/>
        <w:snapToGrid w:val="0"/>
        <w:spacing w:line="360" w:lineRule="auto"/>
        <w:ind w:leftChars="273" w:left="573" w:firstLineChars="200" w:firstLine="480"/>
        <w:jc w:val="right"/>
        <w:rPr>
          <w:rFonts w:eastAsiaTheme="majorEastAsia"/>
          <w:sz w:val="24"/>
        </w:rPr>
      </w:pPr>
    </w:p>
    <w:sectPr w:rsidR="002E2E3D" w:rsidRPr="00EC25D6" w:rsidSect="00A5019E">
      <w:headerReference w:type="even" r:id="rId9"/>
      <w:headerReference w:type="default" r:id="rId10"/>
      <w:footerReference w:type="even" r:id="rId11"/>
      <w:footerReference w:type="default" r:id="rId12"/>
      <w:headerReference w:type="first" r:id="rId13"/>
      <w:footerReference w:type="first" r:id="rId14"/>
      <w:pgSz w:w="11906" w:h="16838"/>
      <w:pgMar w:top="1247" w:right="1435" w:bottom="1247" w:left="1418" w:header="850" w:footer="851" w:gutter="0"/>
      <w:cols w:space="720"/>
      <w:titlePg/>
      <w:docGrid w:type="lines" w:linePitch="367" w:charSpace="1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F4039" w16cid:durableId="41135709"/>
  <w16cid:commentId w16cid:paraId="0268953F" w16cid:durableId="0ED99827"/>
  <w16cid:commentId w16cid:paraId="00BFBAE7" w16cid:durableId="2167B7E1"/>
  <w16cid:commentId w16cid:paraId="54E78955" w16cid:durableId="29B9AFD0"/>
  <w16cid:commentId w16cid:paraId="10DFD739" w16cid:durableId="61420097"/>
</w16cid:commentsIds>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3BA" w:rsidRDefault="001363BA">
      <w:r>
        <w:separator/>
      </w:r>
    </w:p>
  </w:endnote>
  <w:endnote w:type="continuationSeparator" w:id="0">
    <w:p w:rsidR="001363BA" w:rsidRDefault="00136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85" w:rsidRDefault="0076018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F8" w:rsidRDefault="001E473B">
    <w:pPr>
      <w:pStyle w:val="a9"/>
      <w:jc w:val="center"/>
    </w:pPr>
    <w:r w:rsidRPr="001E473B">
      <w:fldChar w:fldCharType="begin"/>
    </w:r>
    <w:r w:rsidR="009062F8">
      <w:instrText xml:space="preserve"> PAGE   \* MERGEFORMAT </w:instrText>
    </w:r>
    <w:r w:rsidRPr="001E473B">
      <w:fldChar w:fldCharType="separate"/>
    </w:r>
    <w:r w:rsidR="0056360F" w:rsidRPr="0056360F">
      <w:rPr>
        <w:noProof/>
        <w:lang w:val="zh-CN"/>
      </w:rPr>
      <w:t>2</w:t>
    </w:r>
    <w:r>
      <w:rPr>
        <w:noProof/>
        <w:lang w:val="zh-CN"/>
      </w:rPr>
      <w:fldChar w:fldCharType="end"/>
    </w:r>
  </w:p>
  <w:p w:rsidR="009062F8" w:rsidRDefault="009062F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85" w:rsidRDefault="007601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3BA" w:rsidRDefault="001363BA">
      <w:r>
        <w:separator/>
      </w:r>
    </w:p>
  </w:footnote>
  <w:footnote w:type="continuationSeparator" w:id="0">
    <w:p w:rsidR="001363BA" w:rsidRDefault="00136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85" w:rsidRDefault="0076018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F8" w:rsidRPr="00AC526B" w:rsidRDefault="00FC0208" w:rsidP="003E6510">
    <w:pPr>
      <w:pStyle w:val="a8"/>
      <w:pBdr>
        <w:bottom w:val="single" w:sz="4" w:space="1" w:color="auto"/>
      </w:pBdr>
      <w:jc w:val="right"/>
      <w:rPr>
        <w:rFonts w:hAnsi="宋体"/>
        <w:bCs/>
        <w:color w:val="000000"/>
        <w:sz w:val="18"/>
        <w:szCs w:val="18"/>
      </w:rPr>
    </w:pPr>
    <w:r w:rsidRPr="00FC0208">
      <w:rPr>
        <w:rFonts w:hAnsi="宋体" w:hint="eastAsia"/>
        <w:sz w:val="18"/>
        <w:szCs w:val="18"/>
      </w:rPr>
      <w:t>华夏新锦顺灵活配置混合型证券投资基金清算报告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85" w:rsidRDefault="0076018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85C"/>
    <w:multiLevelType w:val="hybridMultilevel"/>
    <w:tmpl w:val="1A9C3754"/>
    <w:lvl w:ilvl="0" w:tplc="EBE0B3B6">
      <w:start w:val="1"/>
      <w:numFmt w:val="decimal"/>
      <w:lvlText w:val="%1、"/>
      <w:lvlJc w:val="left"/>
      <w:pPr>
        <w:ind w:left="780" w:hanging="36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47B0C49"/>
    <w:multiLevelType w:val="hybridMultilevel"/>
    <w:tmpl w:val="F3A2132A"/>
    <w:lvl w:ilvl="0" w:tplc="A96E6152">
      <w:start w:val="1"/>
      <w:numFmt w:val="decimal"/>
      <w:lvlText w:val="（%1）"/>
      <w:lvlJc w:val="left"/>
      <w:pPr>
        <w:ind w:left="987" w:hanging="420"/>
      </w:pPr>
      <w:rPr>
        <w:b w:val="0"/>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54771D3A"/>
    <w:multiLevelType w:val="hybridMultilevel"/>
    <w:tmpl w:val="2332A876"/>
    <w:lvl w:ilvl="0" w:tplc="3C585D78">
      <w:start w:val="1"/>
      <w:numFmt w:val="japaneseCounting"/>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B5251B"/>
    <w:multiLevelType w:val="singleLevel"/>
    <w:tmpl w:val="54B5251B"/>
    <w:lvl w:ilvl="0">
      <w:start w:val="7"/>
      <w:numFmt w:val="decimal"/>
      <w:lvlText w:val="(%1)"/>
      <w:lvlJc w:val="left"/>
    </w:lvl>
  </w:abstractNum>
  <w:abstractNum w:abstractNumId="4">
    <w:nsid w:val="5C1B4DBB"/>
    <w:multiLevelType w:val="hybridMultilevel"/>
    <w:tmpl w:val="408E01E8"/>
    <w:lvl w:ilvl="0" w:tplc="B6F8FA4E">
      <w:start w:val="1"/>
      <w:numFmt w:val="decimal"/>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6BD30A5"/>
    <w:multiLevelType w:val="multilevel"/>
    <w:tmpl w:val="66BD30A5"/>
    <w:lvl w:ilvl="0">
      <w:start w:val="1"/>
      <w:numFmt w:val="decimal"/>
      <w:lvlText w:val="(%1)"/>
      <w:lvlJc w:val="left"/>
      <w:pPr>
        <w:ind w:left="1069" w:hanging="360"/>
      </w:pPr>
      <w:rPr>
        <w:rFonts w:ascii="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701355E9"/>
    <w:multiLevelType w:val="hybridMultilevel"/>
    <w:tmpl w:val="453EE5BC"/>
    <w:lvl w:ilvl="0" w:tplc="B6989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drawingGridHorizontalSpacing w:val="211"/>
  <w:drawingGridVerticalSpacing w:val="367"/>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seFELayout/>
  </w:compat>
  <w:rsids>
    <w:rsidRoot w:val="00A80CFF"/>
    <w:rsid w:val="0000061E"/>
    <w:rsid w:val="00000A38"/>
    <w:rsid w:val="00001D19"/>
    <w:rsid w:val="00001E37"/>
    <w:rsid w:val="000020D6"/>
    <w:rsid w:val="00002765"/>
    <w:rsid w:val="00002FA1"/>
    <w:rsid w:val="000032C8"/>
    <w:rsid w:val="00003F2D"/>
    <w:rsid w:val="000048BD"/>
    <w:rsid w:val="00004B67"/>
    <w:rsid w:val="00005DF8"/>
    <w:rsid w:val="000066C0"/>
    <w:rsid w:val="00006CC1"/>
    <w:rsid w:val="00006D30"/>
    <w:rsid w:val="00006D6C"/>
    <w:rsid w:val="0000716F"/>
    <w:rsid w:val="00007680"/>
    <w:rsid w:val="00007AB5"/>
    <w:rsid w:val="00007DC6"/>
    <w:rsid w:val="000107A8"/>
    <w:rsid w:val="00010BD2"/>
    <w:rsid w:val="0001137F"/>
    <w:rsid w:val="00011BF9"/>
    <w:rsid w:val="000120E6"/>
    <w:rsid w:val="00012A65"/>
    <w:rsid w:val="00012BA8"/>
    <w:rsid w:val="00012FCA"/>
    <w:rsid w:val="000140D6"/>
    <w:rsid w:val="00014281"/>
    <w:rsid w:val="00014C63"/>
    <w:rsid w:val="00015008"/>
    <w:rsid w:val="000153B0"/>
    <w:rsid w:val="00015966"/>
    <w:rsid w:val="000177DA"/>
    <w:rsid w:val="00017D6B"/>
    <w:rsid w:val="00020343"/>
    <w:rsid w:val="00020526"/>
    <w:rsid w:val="0002068D"/>
    <w:rsid w:val="00020C40"/>
    <w:rsid w:val="00020CD3"/>
    <w:rsid w:val="0002189E"/>
    <w:rsid w:val="00021B0A"/>
    <w:rsid w:val="00021D40"/>
    <w:rsid w:val="00021E88"/>
    <w:rsid w:val="000220B0"/>
    <w:rsid w:val="0002272D"/>
    <w:rsid w:val="00022E2E"/>
    <w:rsid w:val="00023390"/>
    <w:rsid w:val="00023FFB"/>
    <w:rsid w:val="000244FC"/>
    <w:rsid w:val="00024A0A"/>
    <w:rsid w:val="00024D19"/>
    <w:rsid w:val="00025292"/>
    <w:rsid w:val="000254D4"/>
    <w:rsid w:val="00026022"/>
    <w:rsid w:val="000269A5"/>
    <w:rsid w:val="0002737A"/>
    <w:rsid w:val="000279DC"/>
    <w:rsid w:val="00027D40"/>
    <w:rsid w:val="00030891"/>
    <w:rsid w:val="00030FFF"/>
    <w:rsid w:val="000310D3"/>
    <w:rsid w:val="00031419"/>
    <w:rsid w:val="000314E0"/>
    <w:rsid w:val="00031826"/>
    <w:rsid w:val="00031BC8"/>
    <w:rsid w:val="00031F26"/>
    <w:rsid w:val="00031F9F"/>
    <w:rsid w:val="00032474"/>
    <w:rsid w:val="00032896"/>
    <w:rsid w:val="00032968"/>
    <w:rsid w:val="00032E93"/>
    <w:rsid w:val="00033E98"/>
    <w:rsid w:val="0003434C"/>
    <w:rsid w:val="00034449"/>
    <w:rsid w:val="00034716"/>
    <w:rsid w:val="00034D2C"/>
    <w:rsid w:val="00034D74"/>
    <w:rsid w:val="00034D77"/>
    <w:rsid w:val="00036062"/>
    <w:rsid w:val="00036765"/>
    <w:rsid w:val="000369F9"/>
    <w:rsid w:val="00036E5B"/>
    <w:rsid w:val="00036E69"/>
    <w:rsid w:val="000371F0"/>
    <w:rsid w:val="00037D37"/>
    <w:rsid w:val="00037EFC"/>
    <w:rsid w:val="000401D1"/>
    <w:rsid w:val="0004152B"/>
    <w:rsid w:val="00041942"/>
    <w:rsid w:val="00042232"/>
    <w:rsid w:val="0004236A"/>
    <w:rsid w:val="00042669"/>
    <w:rsid w:val="00042E3C"/>
    <w:rsid w:val="000431BC"/>
    <w:rsid w:val="0004329B"/>
    <w:rsid w:val="000437DF"/>
    <w:rsid w:val="000443FE"/>
    <w:rsid w:val="000448F0"/>
    <w:rsid w:val="000451BF"/>
    <w:rsid w:val="000464D7"/>
    <w:rsid w:val="00046C18"/>
    <w:rsid w:val="00046C8E"/>
    <w:rsid w:val="0004700B"/>
    <w:rsid w:val="000472B7"/>
    <w:rsid w:val="00047527"/>
    <w:rsid w:val="0004790E"/>
    <w:rsid w:val="0004797C"/>
    <w:rsid w:val="00047E14"/>
    <w:rsid w:val="00047F5B"/>
    <w:rsid w:val="00050A85"/>
    <w:rsid w:val="00050C40"/>
    <w:rsid w:val="00051A5D"/>
    <w:rsid w:val="00052D32"/>
    <w:rsid w:val="00052E2B"/>
    <w:rsid w:val="0005311D"/>
    <w:rsid w:val="000533A1"/>
    <w:rsid w:val="0005437E"/>
    <w:rsid w:val="000544BA"/>
    <w:rsid w:val="00054DD3"/>
    <w:rsid w:val="00055402"/>
    <w:rsid w:val="00055BDC"/>
    <w:rsid w:val="000571E6"/>
    <w:rsid w:val="000577DE"/>
    <w:rsid w:val="00057973"/>
    <w:rsid w:val="000602E4"/>
    <w:rsid w:val="00060881"/>
    <w:rsid w:val="00060C0C"/>
    <w:rsid w:val="000617D7"/>
    <w:rsid w:val="0006246B"/>
    <w:rsid w:val="00063B84"/>
    <w:rsid w:val="00063EC4"/>
    <w:rsid w:val="00064170"/>
    <w:rsid w:val="000641B2"/>
    <w:rsid w:val="00064766"/>
    <w:rsid w:val="00064858"/>
    <w:rsid w:val="00064FD2"/>
    <w:rsid w:val="000650F0"/>
    <w:rsid w:val="00065192"/>
    <w:rsid w:val="000657E7"/>
    <w:rsid w:val="00065929"/>
    <w:rsid w:val="00065C7B"/>
    <w:rsid w:val="00066E03"/>
    <w:rsid w:val="0006702A"/>
    <w:rsid w:val="0006718A"/>
    <w:rsid w:val="00067394"/>
    <w:rsid w:val="000674FC"/>
    <w:rsid w:val="0006763A"/>
    <w:rsid w:val="000678C4"/>
    <w:rsid w:val="00067901"/>
    <w:rsid w:val="000704B5"/>
    <w:rsid w:val="0007095B"/>
    <w:rsid w:val="0007156E"/>
    <w:rsid w:val="000716A0"/>
    <w:rsid w:val="000719B6"/>
    <w:rsid w:val="000725AB"/>
    <w:rsid w:val="000734EC"/>
    <w:rsid w:val="00073CC8"/>
    <w:rsid w:val="00073D4F"/>
    <w:rsid w:val="000740B2"/>
    <w:rsid w:val="000746F3"/>
    <w:rsid w:val="00075002"/>
    <w:rsid w:val="00075278"/>
    <w:rsid w:val="000754D7"/>
    <w:rsid w:val="00075892"/>
    <w:rsid w:val="00076564"/>
    <w:rsid w:val="00076613"/>
    <w:rsid w:val="00076D57"/>
    <w:rsid w:val="00076D94"/>
    <w:rsid w:val="00077822"/>
    <w:rsid w:val="00077EFF"/>
    <w:rsid w:val="0008130B"/>
    <w:rsid w:val="000824E5"/>
    <w:rsid w:val="00082F12"/>
    <w:rsid w:val="00083782"/>
    <w:rsid w:val="00083820"/>
    <w:rsid w:val="000838DE"/>
    <w:rsid w:val="00083D40"/>
    <w:rsid w:val="000846EE"/>
    <w:rsid w:val="000846F6"/>
    <w:rsid w:val="00084859"/>
    <w:rsid w:val="00084F78"/>
    <w:rsid w:val="0008500D"/>
    <w:rsid w:val="000860CB"/>
    <w:rsid w:val="000861E6"/>
    <w:rsid w:val="000864C5"/>
    <w:rsid w:val="00086893"/>
    <w:rsid w:val="000877CE"/>
    <w:rsid w:val="000900BC"/>
    <w:rsid w:val="00090C4B"/>
    <w:rsid w:val="00091288"/>
    <w:rsid w:val="00092322"/>
    <w:rsid w:val="0009329F"/>
    <w:rsid w:val="0009347F"/>
    <w:rsid w:val="000936A0"/>
    <w:rsid w:val="00093A9D"/>
    <w:rsid w:val="00093BD0"/>
    <w:rsid w:val="000940DF"/>
    <w:rsid w:val="00094B25"/>
    <w:rsid w:val="00094B35"/>
    <w:rsid w:val="000953C7"/>
    <w:rsid w:val="00096284"/>
    <w:rsid w:val="00096430"/>
    <w:rsid w:val="0009696F"/>
    <w:rsid w:val="0009720F"/>
    <w:rsid w:val="00097AD1"/>
    <w:rsid w:val="00097D22"/>
    <w:rsid w:val="000A0527"/>
    <w:rsid w:val="000A10BC"/>
    <w:rsid w:val="000A1FCB"/>
    <w:rsid w:val="000A229F"/>
    <w:rsid w:val="000A2567"/>
    <w:rsid w:val="000A2568"/>
    <w:rsid w:val="000A2BB3"/>
    <w:rsid w:val="000A3A06"/>
    <w:rsid w:val="000A4006"/>
    <w:rsid w:val="000A599E"/>
    <w:rsid w:val="000A5BD6"/>
    <w:rsid w:val="000A638E"/>
    <w:rsid w:val="000A63AD"/>
    <w:rsid w:val="000A6488"/>
    <w:rsid w:val="000A73F5"/>
    <w:rsid w:val="000A7EA4"/>
    <w:rsid w:val="000B1037"/>
    <w:rsid w:val="000B2253"/>
    <w:rsid w:val="000B2707"/>
    <w:rsid w:val="000B2F3D"/>
    <w:rsid w:val="000B2F90"/>
    <w:rsid w:val="000B309B"/>
    <w:rsid w:val="000B316B"/>
    <w:rsid w:val="000B359C"/>
    <w:rsid w:val="000B399E"/>
    <w:rsid w:val="000B429C"/>
    <w:rsid w:val="000B4329"/>
    <w:rsid w:val="000B45F8"/>
    <w:rsid w:val="000B4F95"/>
    <w:rsid w:val="000B54F2"/>
    <w:rsid w:val="000B660A"/>
    <w:rsid w:val="000B710A"/>
    <w:rsid w:val="000B73D4"/>
    <w:rsid w:val="000C00CA"/>
    <w:rsid w:val="000C0502"/>
    <w:rsid w:val="000C1077"/>
    <w:rsid w:val="000C187F"/>
    <w:rsid w:val="000C2B03"/>
    <w:rsid w:val="000C2E5B"/>
    <w:rsid w:val="000C2EAD"/>
    <w:rsid w:val="000C39F6"/>
    <w:rsid w:val="000C4238"/>
    <w:rsid w:val="000C57B5"/>
    <w:rsid w:val="000C69D0"/>
    <w:rsid w:val="000D0B59"/>
    <w:rsid w:val="000D0C67"/>
    <w:rsid w:val="000D1173"/>
    <w:rsid w:val="000D1634"/>
    <w:rsid w:val="000D1729"/>
    <w:rsid w:val="000D1745"/>
    <w:rsid w:val="000D1AEB"/>
    <w:rsid w:val="000D2842"/>
    <w:rsid w:val="000D292A"/>
    <w:rsid w:val="000D5392"/>
    <w:rsid w:val="000D6043"/>
    <w:rsid w:val="000D63E4"/>
    <w:rsid w:val="000D7266"/>
    <w:rsid w:val="000D74EE"/>
    <w:rsid w:val="000D7A26"/>
    <w:rsid w:val="000E04C8"/>
    <w:rsid w:val="000E1D39"/>
    <w:rsid w:val="000E1E2A"/>
    <w:rsid w:val="000E253C"/>
    <w:rsid w:val="000E3337"/>
    <w:rsid w:val="000E3620"/>
    <w:rsid w:val="000E3F7E"/>
    <w:rsid w:val="000E498A"/>
    <w:rsid w:val="000E4E50"/>
    <w:rsid w:val="000E50B5"/>
    <w:rsid w:val="000E60AC"/>
    <w:rsid w:val="000E6E0E"/>
    <w:rsid w:val="000E7121"/>
    <w:rsid w:val="000E72B2"/>
    <w:rsid w:val="000E7D73"/>
    <w:rsid w:val="000E7E53"/>
    <w:rsid w:val="000E7EC9"/>
    <w:rsid w:val="000F0116"/>
    <w:rsid w:val="000F0E7B"/>
    <w:rsid w:val="000F172A"/>
    <w:rsid w:val="000F1A54"/>
    <w:rsid w:val="000F1E05"/>
    <w:rsid w:val="000F21E9"/>
    <w:rsid w:val="000F2BC7"/>
    <w:rsid w:val="000F301A"/>
    <w:rsid w:val="000F3525"/>
    <w:rsid w:val="000F45D8"/>
    <w:rsid w:val="000F4649"/>
    <w:rsid w:val="000F4BA4"/>
    <w:rsid w:val="000F54C1"/>
    <w:rsid w:val="000F56B9"/>
    <w:rsid w:val="000F59B8"/>
    <w:rsid w:val="000F5DAB"/>
    <w:rsid w:val="000F5E97"/>
    <w:rsid w:val="000F6087"/>
    <w:rsid w:val="000F759D"/>
    <w:rsid w:val="000F7C43"/>
    <w:rsid w:val="000F7ECC"/>
    <w:rsid w:val="00100929"/>
    <w:rsid w:val="00100A36"/>
    <w:rsid w:val="00101188"/>
    <w:rsid w:val="00101A6F"/>
    <w:rsid w:val="00102342"/>
    <w:rsid w:val="001029CC"/>
    <w:rsid w:val="00103503"/>
    <w:rsid w:val="00104E61"/>
    <w:rsid w:val="00104F1E"/>
    <w:rsid w:val="00105C42"/>
    <w:rsid w:val="00105CE8"/>
    <w:rsid w:val="001062B0"/>
    <w:rsid w:val="00106ED0"/>
    <w:rsid w:val="00107A08"/>
    <w:rsid w:val="00107F4E"/>
    <w:rsid w:val="00107F80"/>
    <w:rsid w:val="0011023F"/>
    <w:rsid w:val="00110C59"/>
    <w:rsid w:val="00111355"/>
    <w:rsid w:val="00111919"/>
    <w:rsid w:val="00112431"/>
    <w:rsid w:val="00112C6A"/>
    <w:rsid w:val="00112EE2"/>
    <w:rsid w:val="00112F1A"/>
    <w:rsid w:val="00113355"/>
    <w:rsid w:val="00113BD4"/>
    <w:rsid w:val="00113C04"/>
    <w:rsid w:val="0011470C"/>
    <w:rsid w:val="0011557E"/>
    <w:rsid w:val="001156C3"/>
    <w:rsid w:val="00116043"/>
    <w:rsid w:val="00117B3A"/>
    <w:rsid w:val="00117D39"/>
    <w:rsid w:val="00117EA9"/>
    <w:rsid w:val="00120F24"/>
    <w:rsid w:val="001210DD"/>
    <w:rsid w:val="00121E48"/>
    <w:rsid w:val="00122003"/>
    <w:rsid w:val="00122759"/>
    <w:rsid w:val="00122E81"/>
    <w:rsid w:val="00122F7B"/>
    <w:rsid w:val="00124404"/>
    <w:rsid w:val="001253D0"/>
    <w:rsid w:val="00125BF4"/>
    <w:rsid w:val="0012605E"/>
    <w:rsid w:val="00127676"/>
    <w:rsid w:val="00127761"/>
    <w:rsid w:val="00130D2E"/>
    <w:rsid w:val="00131485"/>
    <w:rsid w:val="00131495"/>
    <w:rsid w:val="0013204D"/>
    <w:rsid w:val="0013264E"/>
    <w:rsid w:val="0013319B"/>
    <w:rsid w:val="00133685"/>
    <w:rsid w:val="00134148"/>
    <w:rsid w:val="00135579"/>
    <w:rsid w:val="001355AE"/>
    <w:rsid w:val="00135CA4"/>
    <w:rsid w:val="00135F6D"/>
    <w:rsid w:val="00136200"/>
    <w:rsid w:val="001363BA"/>
    <w:rsid w:val="00136421"/>
    <w:rsid w:val="001373CA"/>
    <w:rsid w:val="00137D71"/>
    <w:rsid w:val="001406F8"/>
    <w:rsid w:val="00140D65"/>
    <w:rsid w:val="00140DA3"/>
    <w:rsid w:val="001411E0"/>
    <w:rsid w:val="00141BE9"/>
    <w:rsid w:val="0014248F"/>
    <w:rsid w:val="00142CE3"/>
    <w:rsid w:val="0014325F"/>
    <w:rsid w:val="00143721"/>
    <w:rsid w:val="00143973"/>
    <w:rsid w:val="00146101"/>
    <w:rsid w:val="001467B0"/>
    <w:rsid w:val="001469C4"/>
    <w:rsid w:val="00146A11"/>
    <w:rsid w:val="001470E6"/>
    <w:rsid w:val="0014726D"/>
    <w:rsid w:val="0014744F"/>
    <w:rsid w:val="001478C5"/>
    <w:rsid w:val="00150032"/>
    <w:rsid w:val="001507BE"/>
    <w:rsid w:val="00150890"/>
    <w:rsid w:val="00150B20"/>
    <w:rsid w:val="001511C6"/>
    <w:rsid w:val="00151764"/>
    <w:rsid w:val="001518CF"/>
    <w:rsid w:val="001521FE"/>
    <w:rsid w:val="00152D72"/>
    <w:rsid w:val="001535B8"/>
    <w:rsid w:val="00153DEA"/>
    <w:rsid w:val="00153E88"/>
    <w:rsid w:val="0015446B"/>
    <w:rsid w:val="001546E8"/>
    <w:rsid w:val="00154A69"/>
    <w:rsid w:val="001553C5"/>
    <w:rsid w:val="00156092"/>
    <w:rsid w:val="001563D9"/>
    <w:rsid w:val="00156B7B"/>
    <w:rsid w:val="001574C6"/>
    <w:rsid w:val="00157B83"/>
    <w:rsid w:val="00160E7A"/>
    <w:rsid w:val="00160EE0"/>
    <w:rsid w:val="00161CD5"/>
    <w:rsid w:val="00166787"/>
    <w:rsid w:val="00166961"/>
    <w:rsid w:val="001670A5"/>
    <w:rsid w:val="00167F97"/>
    <w:rsid w:val="00167FF8"/>
    <w:rsid w:val="001700E9"/>
    <w:rsid w:val="001709C4"/>
    <w:rsid w:val="00170B3E"/>
    <w:rsid w:val="00170D7A"/>
    <w:rsid w:val="00170E48"/>
    <w:rsid w:val="00171C67"/>
    <w:rsid w:val="00171FCC"/>
    <w:rsid w:val="00172314"/>
    <w:rsid w:val="0017256A"/>
    <w:rsid w:val="0017341B"/>
    <w:rsid w:val="00173470"/>
    <w:rsid w:val="00173AD1"/>
    <w:rsid w:val="00173F5A"/>
    <w:rsid w:val="00174D78"/>
    <w:rsid w:val="00175AE1"/>
    <w:rsid w:val="00176890"/>
    <w:rsid w:val="00177117"/>
    <w:rsid w:val="001775AD"/>
    <w:rsid w:val="00180086"/>
    <w:rsid w:val="00180BF4"/>
    <w:rsid w:val="00181C10"/>
    <w:rsid w:val="00181D58"/>
    <w:rsid w:val="00183238"/>
    <w:rsid w:val="00183D3D"/>
    <w:rsid w:val="00184CD3"/>
    <w:rsid w:val="001859ED"/>
    <w:rsid w:val="00185EBB"/>
    <w:rsid w:val="00186433"/>
    <w:rsid w:val="0018646A"/>
    <w:rsid w:val="00186797"/>
    <w:rsid w:val="00186B03"/>
    <w:rsid w:val="00191D9B"/>
    <w:rsid w:val="0019214B"/>
    <w:rsid w:val="00192324"/>
    <w:rsid w:val="001923E9"/>
    <w:rsid w:val="001925B6"/>
    <w:rsid w:val="00192BB0"/>
    <w:rsid w:val="00192C4E"/>
    <w:rsid w:val="0019316A"/>
    <w:rsid w:val="00193294"/>
    <w:rsid w:val="00194025"/>
    <w:rsid w:val="00194447"/>
    <w:rsid w:val="001944A9"/>
    <w:rsid w:val="00194771"/>
    <w:rsid w:val="001949EB"/>
    <w:rsid w:val="00194C47"/>
    <w:rsid w:val="00194FFC"/>
    <w:rsid w:val="0019579B"/>
    <w:rsid w:val="00195C4C"/>
    <w:rsid w:val="00196C3C"/>
    <w:rsid w:val="00196E1B"/>
    <w:rsid w:val="00197AA3"/>
    <w:rsid w:val="001A0240"/>
    <w:rsid w:val="001A0397"/>
    <w:rsid w:val="001A0680"/>
    <w:rsid w:val="001A0E93"/>
    <w:rsid w:val="001A1DF3"/>
    <w:rsid w:val="001A3661"/>
    <w:rsid w:val="001A3F51"/>
    <w:rsid w:val="001A40C8"/>
    <w:rsid w:val="001A412B"/>
    <w:rsid w:val="001A44EB"/>
    <w:rsid w:val="001A6146"/>
    <w:rsid w:val="001A6E37"/>
    <w:rsid w:val="001A7AE4"/>
    <w:rsid w:val="001A7B95"/>
    <w:rsid w:val="001B064B"/>
    <w:rsid w:val="001B107D"/>
    <w:rsid w:val="001B11A2"/>
    <w:rsid w:val="001B12E1"/>
    <w:rsid w:val="001B20BF"/>
    <w:rsid w:val="001B2216"/>
    <w:rsid w:val="001B2D83"/>
    <w:rsid w:val="001B32D4"/>
    <w:rsid w:val="001B35F3"/>
    <w:rsid w:val="001B42FF"/>
    <w:rsid w:val="001B4F1A"/>
    <w:rsid w:val="001B598D"/>
    <w:rsid w:val="001B5BED"/>
    <w:rsid w:val="001B5BF3"/>
    <w:rsid w:val="001B6D3B"/>
    <w:rsid w:val="001B7FB2"/>
    <w:rsid w:val="001C05E1"/>
    <w:rsid w:val="001C0874"/>
    <w:rsid w:val="001C1594"/>
    <w:rsid w:val="001C30A1"/>
    <w:rsid w:val="001C5136"/>
    <w:rsid w:val="001C5386"/>
    <w:rsid w:val="001C5C70"/>
    <w:rsid w:val="001C68DC"/>
    <w:rsid w:val="001C6A16"/>
    <w:rsid w:val="001C7350"/>
    <w:rsid w:val="001D07D8"/>
    <w:rsid w:val="001D18BA"/>
    <w:rsid w:val="001D1EE9"/>
    <w:rsid w:val="001D271E"/>
    <w:rsid w:val="001D29AE"/>
    <w:rsid w:val="001D2AF1"/>
    <w:rsid w:val="001D5104"/>
    <w:rsid w:val="001D514B"/>
    <w:rsid w:val="001D549D"/>
    <w:rsid w:val="001D5BE7"/>
    <w:rsid w:val="001D6DDF"/>
    <w:rsid w:val="001D738F"/>
    <w:rsid w:val="001D77A9"/>
    <w:rsid w:val="001D7860"/>
    <w:rsid w:val="001D7FD2"/>
    <w:rsid w:val="001E037B"/>
    <w:rsid w:val="001E05F0"/>
    <w:rsid w:val="001E0B80"/>
    <w:rsid w:val="001E1F25"/>
    <w:rsid w:val="001E2440"/>
    <w:rsid w:val="001E2A7E"/>
    <w:rsid w:val="001E327C"/>
    <w:rsid w:val="001E3303"/>
    <w:rsid w:val="001E35D9"/>
    <w:rsid w:val="001E3E51"/>
    <w:rsid w:val="001E41CF"/>
    <w:rsid w:val="001E42C8"/>
    <w:rsid w:val="001E473B"/>
    <w:rsid w:val="001E4883"/>
    <w:rsid w:val="001E4898"/>
    <w:rsid w:val="001E4EA9"/>
    <w:rsid w:val="001E5371"/>
    <w:rsid w:val="001E54A7"/>
    <w:rsid w:val="001E57E9"/>
    <w:rsid w:val="001E643D"/>
    <w:rsid w:val="001E6639"/>
    <w:rsid w:val="001E71EF"/>
    <w:rsid w:val="001E75DD"/>
    <w:rsid w:val="001E7644"/>
    <w:rsid w:val="001E76E0"/>
    <w:rsid w:val="001E7903"/>
    <w:rsid w:val="001E7FF8"/>
    <w:rsid w:val="001F023A"/>
    <w:rsid w:val="001F0765"/>
    <w:rsid w:val="001F07E5"/>
    <w:rsid w:val="001F0944"/>
    <w:rsid w:val="001F1034"/>
    <w:rsid w:val="001F10E2"/>
    <w:rsid w:val="001F112E"/>
    <w:rsid w:val="001F1579"/>
    <w:rsid w:val="001F1A79"/>
    <w:rsid w:val="001F2291"/>
    <w:rsid w:val="001F2E33"/>
    <w:rsid w:val="001F3AE8"/>
    <w:rsid w:val="001F481F"/>
    <w:rsid w:val="001F504C"/>
    <w:rsid w:val="001F52B7"/>
    <w:rsid w:val="001F545D"/>
    <w:rsid w:val="001F5851"/>
    <w:rsid w:val="001F5E17"/>
    <w:rsid w:val="001F62B7"/>
    <w:rsid w:val="001F65F6"/>
    <w:rsid w:val="001F7B8D"/>
    <w:rsid w:val="001F7D05"/>
    <w:rsid w:val="00200037"/>
    <w:rsid w:val="00200440"/>
    <w:rsid w:val="00200DA9"/>
    <w:rsid w:val="00200E5C"/>
    <w:rsid w:val="00201799"/>
    <w:rsid w:val="00202030"/>
    <w:rsid w:val="0020203D"/>
    <w:rsid w:val="002020A2"/>
    <w:rsid w:val="002024AF"/>
    <w:rsid w:val="002028A9"/>
    <w:rsid w:val="00202E61"/>
    <w:rsid w:val="002031C4"/>
    <w:rsid w:val="0020329C"/>
    <w:rsid w:val="0020359B"/>
    <w:rsid w:val="00204641"/>
    <w:rsid w:val="0020477D"/>
    <w:rsid w:val="00204935"/>
    <w:rsid w:val="00204DED"/>
    <w:rsid w:val="00205F3A"/>
    <w:rsid w:val="002060EB"/>
    <w:rsid w:val="00207129"/>
    <w:rsid w:val="0020720B"/>
    <w:rsid w:val="002074F9"/>
    <w:rsid w:val="0021111A"/>
    <w:rsid w:val="00212024"/>
    <w:rsid w:val="002126BA"/>
    <w:rsid w:val="00212C51"/>
    <w:rsid w:val="0021326A"/>
    <w:rsid w:val="00213E72"/>
    <w:rsid w:val="0021648F"/>
    <w:rsid w:val="00216E62"/>
    <w:rsid w:val="00217709"/>
    <w:rsid w:val="00217A96"/>
    <w:rsid w:val="0022087A"/>
    <w:rsid w:val="00220C6C"/>
    <w:rsid w:val="0022153F"/>
    <w:rsid w:val="00221E28"/>
    <w:rsid w:val="0022216B"/>
    <w:rsid w:val="002221DF"/>
    <w:rsid w:val="002222F2"/>
    <w:rsid w:val="002226C3"/>
    <w:rsid w:val="00223147"/>
    <w:rsid w:val="00223588"/>
    <w:rsid w:val="00224132"/>
    <w:rsid w:val="002248C0"/>
    <w:rsid w:val="00225666"/>
    <w:rsid w:val="00225BAB"/>
    <w:rsid w:val="00225ECA"/>
    <w:rsid w:val="00226012"/>
    <w:rsid w:val="00227150"/>
    <w:rsid w:val="0022770E"/>
    <w:rsid w:val="00227900"/>
    <w:rsid w:val="00227AF0"/>
    <w:rsid w:val="00227FEE"/>
    <w:rsid w:val="00230240"/>
    <w:rsid w:val="00230943"/>
    <w:rsid w:val="0023163C"/>
    <w:rsid w:val="002318BD"/>
    <w:rsid w:val="00232101"/>
    <w:rsid w:val="00232FAE"/>
    <w:rsid w:val="00233379"/>
    <w:rsid w:val="00233E08"/>
    <w:rsid w:val="002340D8"/>
    <w:rsid w:val="0023430E"/>
    <w:rsid w:val="00234590"/>
    <w:rsid w:val="00234E2B"/>
    <w:rsid w:val="00234F4C"/>
    <w:rsid w:val="0023609E"/>
    <w:rsid w:val="00236645"/>
    <w:rsid w:val="00236668"/>
    <w:rsid w:val="002368F4"/>
    <w:rsid w:val="00236D59"/>
    <w:rsid w:val="002375F9"/>
    <w:rsid w:val="00237CA1"/>
    <w:rsid w:val="00237DEA"/>
    <w:rsid w:val="00237EB0"/>
    <w:rsid w:val="00240208"/>
    <w:rsid w:val="002406B8"/>
    <w:rsid w:val="002409DE"/>
    <w:rsid w:val="00240E98"/>
    <w:rsid w:val="00241851"/>
    <w:rsid w:val="002424A9"/>
    <w:rsid w:val="00242610"/>
    <w:rsid w:val="002428CB"/>
    <w:rsid w:val="00242EEC"/>
    <w:rsid w:val="00245A08"/>
    <w:rsid w:val="00245FCB"/>
    <w:rsid w:val="0024635E"/>
    <w:rsid w:val="0024735B"/>
    <w:rsid w:val="00247A3B"/>
    <w:rsid w:val="00247D06"/>
    <w:rsid w:val="002501CA"/>
    <w:rsid w:val="0025022F"/>
    <w:rsid w:val="00250AA7"/>
    <w:rsid w:val="00250FB9"/>
    <w:rsid w:val="00253C9C"/>
    <w:rsid w:val="0025464C"/>
    <w:rsid w:val="0025519F"/>
    <w:rsid w:val="00255346"/>
    <w:rsid w:val="00255A5F"/>
    <w:rsid w:val="00255C82"/>
    <w:rsid w:val="00256389"/>
    <w:rsid w:val="0025688A"/>
    <w:rsid w:val="002570F0"/>
    <w:rsid w:val="00257785"/>
    <w:rsid w:val="0025779E"/>
    <w:rsid w:val="00257BC7"/>
    <w:rsid w:val="0026059D"/>
    <w:rsid w:val="00260CB4"/>
    <w:rsid w:val="00261748"/>
    <w:rsid w:val="00261841"/>
    <w:rsid w:val="00262769"/>
    <w:rsid w:val="00262821"/>
    <w:rsid w:val="002633D3"/>
    <w:rsid w:val="00265324"/>
    <w:rsid w:val="00265C3D"/>
    <w:rsid w:val="00265C4B"/>
    <w:rsid w:val="002661DE"/>
    <w:rsid w:val="002677F3"/>
    <w:rsid w:val="00267AFD"/>
    <w:rsid w:val="00270751"/>
    <w:rsid w:val="00272422"/>
    <w:rsid w:val="002724AE"/>
    <w:rsid w:val="002725E2"/>
    <w:rsid w:val="00272B09"/>
    <w:rsid w:val="00272FD6"/>
    <w:rsid w:val="002744FE"/>
    <w:rsid w:val="00274D92"/>
    <w:rsid w:val="002755F1"/>
    <w:rsid w:val="00275763"/>
    <w:rsid w:val="00275976"/>
    <w:rsid w:val="00275C52"/>
    <w:rsid w:val="00275F08"/>
    <w:rsid w:val="0027697A"/>
    <w:rsid w:val="00276B1F"/>
    <w:rsid w:val="00276D43"/>
    <w:rsid w:val="002800A3"/>
    <w:rsid w:val="0028071F"/>
    <w:rsid w:val="002811A0"/>
    <w:rsid w:val="002812F5"/>
    <w:rsid w:val="002831CE"/>
    <w:rsid w:val="00283474"/>
    <w:rsid w:val="00283940"/>
    <w:rsid w:val="00284888"/>
    <w:rsid w:val="00284D2A"/>
    <w:rsid w:val="0028504E"/>
    <w:rsid w:val="002856C1"/>
    <w:rsid w:val="00286203"/>
    <w:rsid w:val="0028663D"/>
    <w:rsid w:val="002867DB"/>
    <w:rsid w:val="002869B4"/>
    <w:rsid w:val="00286E24"/>
    <w:rsid w:val="00287021"/>
    <w:rsid w:val="00287286"/>
    <w:rsid w:val="00287560"/>
    <w:rsid w:val="00287A99"/>
    <w:rsid w:val="0029017E"/>
    <w:rsid w:val="002904A6"/>
    <w:rsid w:val="002918EE"/>
    <w:rsid w:val="00292ACD"/>
    <w:rsid w:val="0029412E"/>
    <w:rsid w:val="002942D1"/>
    <w:rsid w:val="002944C4"/>
    <w:rsid w:val="0029475E"/>
    <w:rsid w:val="00294C2F"/>
    <w:rsid w:val="00294EF9"/>
    <w:rsid w:val="00294FF4"/>
    <w:rsid w:val="0029571C"/>
    <w:rsid w:val="00295B87"/>
    <w:rsid w:val="00295DBB"/>
    <w:rsid w:val="002962B1"/>
    <w:rsid w:val="00296416"/>
    <w:rsid w:val="0029678D"/>
    <w:rsid w:val="0029686C"/>
    <w:rsid w:val="00297043"/>
    <w:rsid w:val="00297256"/>
    <w:rsid w:val="002A05D8"/>
    <w:rsid w:val="002A16D0"/>
    <w:rsid w:val="002A2BA2"/>
    <w:rsid w:val="002A2C02"/>
    <w:rsid w:val="002A309C"/>
    <w:rsid w:val="002A30E6"/>
    <w:rsid w:val="002A3532"/>
    <w:rsid w:val="002A3F10"/>
    <w:rsid w:val="002A43D9"/>
    <w:rsid w:val="002A4B9B"/>
    <w:rsid w:val="002A4C20"/>
    <w:rsid w:val="002A53D4"/>
    <w:rsid w:val="002A552A"/>
    <w:rsid w:val="002A5783"/>
    <w:rsid w:val="002A5C65"/>
    <w:rsid w:val="002A616D"/>
    <w:rsid w:val="002A6C3C"/>
    <w:rsid w:val="002A7017"/>
    <w:rsid w:val="002A7458"/>
    <w:rsid w:val="002A75F0"/>
    <w:rsid w:val="002A77ED"/>
    <w:rsid w:val="002A7862"/>
    <w:rsid w:val="002B0986"/>
    <w:rsid w:val="002B0D70"/>
    <w:rsid w:val="002B3284"/>
    <w:rsid w:val="002B3A31"/>
    <w:rsid w:val="002B3E2D"/>
    <w:rsid w:val="002B45AB"/>
    <w:rsid w:val="002B486D"/>
    <w:rsid w:val="002B4CEE"/>
    <w:rsid w:val="002B4D38"/>
    <w:rsid w:val="002B5385"/>
    <w:rsid w:val="002B5F55"/>
    <w:rsid w:val="002B6513"/>
    <w:rsid w:val="002B6EAE"/>
    <w:rsid w:val="002B7BF5"/>
    <w:rsid w:val="002C1F04"/>
    <w:rsid w:val="002C1FBF"/>
    <w:rsid w:val="002C2713"/>
    <w:rsid w:val="002C27B0"/>
    <w:rsid w:val="002C2A2E"/>
    <w:rsid w:val="002C2BCF"/>
    <w:rsid w:val="002C33A1"/>
    <w:rsid w:val="002C381D"/>
    <w:rsid w:val="002C3F56"/>
    <w:rsid w:val="002C571C"/>
    <w:rsid w:val="002C6B5C"/>
    <w:rsid w:val="002C6F48"/>
    <w:rsid w:val="002C6FA1"/>
    <w:rsid w:val="002C72FC"/>
    <w:rsid w:val="002C7ACA"/>
    <w:rsid w:val="002D08BE"/>
    <w:rsid w:val="002D08DC"/>
    <w:rsid w:val="002D0E1D"/>
    <w:rsid w:val="002D1535"/>
    <w:rsid w:val="002D19D6"/>
    <w:rsid w:val="002D1C25"/>
    <w:rsid w:val="002D1C4E"/>
    <w:rsid w:val="002D1E37"/>
    <w:rsid w:val="002D2704"/>
    <w:rsid w:val="002D350E"/>
    <w:rsid w:val="002D3798"/>
    <w:rsid w:val="002D424B"/>
    <w:rsid w:val="002D4B51"/>
    <w:rsid w:val="002D4B7A"/>
    <w:rsid w:val="002D4BAD"/>
    <w:rsid w:val="002D5359"/>
    <w:rsid w:val="002D6191"/>
    <w:rsid w:val="002D62AA"/>
    <w:rsid w:val="002D6356"/>
    <w:rsid w:val="002D689D"/>
    <w:rsid w:val="002D6DE6"/>
    <w:rsid w:val="002D6EBD"/>
    <w:rsid w:val="002D7012"/>
    <w:rsid w:val="002D76C6"/>
    <w:rsid w:val="002D78EC"/>
    <w:rsid w:val="002D7D28"/>
    <w:rsid w:val="002E1044"/>
    <w:rsid w:val="002E155C"/>
    <w:rsid w:val="002E2238"/>
    <w:rsid w:val="002E22A5"/>
    <w:rsid w:val="002E24D7"/>
    <w:rsid w:val="002E2E3D"/>
    <w:rsid w:val="002E35A3"/>
    <w:rsid w:val="002E36E9"/>
    <w:rsid w:val="002E3E26"/>
    <w:rsid w:val="002E3FCE"/>
    <w:rsid w:val="002E528F"/>
    <w:rsid w:val="002E529E"/>
    <w:rsid w:val="002E5CBC"/>
    <w:rsid w:val="002E6C38"/>
    <w:rsid w:val="002E6EC1"/>
    <w:rsid w:val="002E6ED0"/>
    <w:rsid w:val="002E789C"/>
    <w:rsid w:val="002E7FD1"/>
    <w:rsid w:val="002F0335"/>
    <w:rsid w:val="002F0423"/>
    <w:rsid w:val="002F085E"/>
    <w:rsid w:val="002F1562"/>
    <w:rsid w:val="002F1958"/>
    <w:rsid w:val="002F1E20"/>
    <w:rsid w:val="002F2BC8"/>
    <w:rsid w:val="002F2CB2"/>
    <w:rsid w:val="002F3685"/>
    <w:rsid w:val="002F398E"/>
    <w:rsid w:val="002F450E"/>
    <w:rsid w:val="002F5907"/>
    <w:rsid w:val="002F6447"/>
    <w:rsid w:val="002F6800"/>
    <w:rsid w:val="002F69CB"/>
    <w:rsid w:val="00300C6F"/>
    <w:rsid w:val="0030173F"/>
    <w:rsid w:val="0030195B"/>
    <w:rsid w:val="00302C91"/>
    <w:rsid w:val="00302FF7"/>
    <w:rsid w:val="003036E3"/>
    <w:rsid w:val="0030473A"/>
    <w:rsid w:val="00305015"/>
    <w:rsid w:val="00305212"/>
    <w:rsid w:val="003060CF"/>
    <w:rsid w:val="00306385"/>
    <w:rsid w:val="00306AF8"/>
    <w:rsid w:val="00307A31"/>
    <w:rsid w:val="003104B0"/>
    <w:rsid w:val="00310620"/>
    <w:rsid w:val="00310789"/>
    <w:rsid w:val="00310F1E"/>
    <w:rsid w:val="00311604"/>
    <w:rsid w:val="00311A43"/>
    <w:rsid w:val="00311EE3"/>
    <w:rsid w:val="00312399"/>
    <w:rsid w:val="003127DF"/>
    <w:rsid w:val="00312950"/>
    <w:rsid w:val="00312984"/>
    <w:rsid w:val="00312CF3"/>
    <w:rsid w:val="00312F2B"/>
    <w:rsid w:val="00313621"/>
    <w:rsid w:val="00313791"/>
    <w:rsid w:val="00313E42"/>
    <w:rsid w:val="00314027"/>
    <w:rsid w:val="00314A1B"/>
    <w:rsid w:val="003157AC"/>
    <w:rsid w:val="00315A89"/>
    <w:rsid w:val="00315B11"/>
    <w:rsid w:val="00315E6C"/>
    <w:rsid w:val="00315E92"/>
    <w:rsid w:val="0031693A"/>
    <w:rsid w:val="00317BAD"/>
    <w:rsid w:val="00320398"/>
    <w:rsid w:val="00320E8E"/>
    <w:rsid w:val="00322199"/>
    <w:rsid w:val="003222CD"/>
    <w:rsid w:val="00322C37"/>
    <w:rsid w:val="00322E4A"/>
    <w:rsid w:val="0032350F"/>
    <w:rsid w:val="0032361D"/>
    <w:rsid w:val="00323A09"/>
    <w:rsid w:val="00323DA3"/>
    <w:rsid w:val="00323F33"/>
    <w:rsid w:val="003240A9"/>
    <w:rsid w:val="003245C8"/>
    <w:rsid w:val="00326032"/>
    <w:rsid w:val="003261CC"/>
    <w:rsid w:val="003267B5"/>
    <w:rsid w:val="00326938"/>
    <w:rsid w:val="00326972"/>
    <w:rsid w:val="00326B7B"/>
    <w:rsid w:val="00327A84"/>
    <w:rsid w:val="0033098A"/>
    <w:rsid w:val="00331034"/>
    <w:rsid w:val="003319D6"/>
    <w:rsid w:val="00332050"/>
    <w:rsid w:val="003322FA"/>
    <w:rsid w:val="0033258D"/>
    <w:rsid w:val="00332697"/>
    <w:rsid w:val="00332CE4"/>
    <w:rsid w:val="00333CAD"/>
    <w:rsid w:val="003343C8"/>
    <w:rsid w:val="00335069"/>
    <w:rsid w:val="00336379"/>
    <w:rsid w:val="003366C5"/>
    <w:rsid w:val="0033750F"/>
    <w:rsid w:val="00340434"/>
    <w:rsid w:val="00340436"/>
    <w:rsid w:val="00341298"/>
    <w:rsid w:val="003412B3"/>
    <w:rsid w:val="00341A3A"/>
    <w:rsid w:val="00341BBE"/>
    <w:rsid w:val="00342002"/>
    <w:rsid w:val="0034237A"/>
    <w:rsid w:val="0034262D"/>
    <w:rsid w:val="00342855"/>
    <w:rsid w:val="0034420E"/>
    <w:rsid w:val="0034446F"/>
    <w:rsid w:val="003461A7"/>
    <w:rsid w:val="00347661"/>
    <w:rsid w:val="003477F2"/>
    <w:rsid w:val="00347C02"/>
    <w:rsid w:val="0035018A"/>
    <w:rsid w:val="00350399"/>
    <w:rsid w:val="00350518"/>
    <w:rsid w:val="00350D06"/>
    <w:rsid w:val="00350D83"/>
    <w:rsid w:val="003518C6"/>
    <w:rsid w:val="00351C9F"/>
    <w:rsid w:val="00351F80"/>
    <w:rsid w:val="003527BD"/>
    <w:rsid w:val="00352A91"/>
    <w:rsid w:val="00352D12"/>
    <w:rsid w:val="00353BAB"/>
    <w:rsid w:val="00354673"/>
    <w:rsid w:val="00355155"/>
    <w:rsid w:val="0035578B"/>
    <w:rsid w:val="003557C0"/>
    <w:rsid w:val="00356516"/>
    <w:rsid w:val="00356E0D"/>
    <w:rsid w:val="00357234"/>
    <w:rsid w:val="003578F3"/>
    <w:rsid w:val="00357BA4"/>
    <w:rsid w:val="003602E9"/>
    <w:rsid w:val="003608FB"/>
    <w:rsid w:val="0036099B"/>
    <w:rsid w:val="00360C03"/>
    <w:rsid w:val="00361382"/>
    <w:rsid w:val="00362994"/>
    <w:rsid w:val="00363CEF"/>
    <w:rsid w:val="003645A6"/>
    <w:rsid w:val="00365086"/>
    <w:rsid w:val="00365750"/>
    <w:rsid w:val="00365B9C"/>
    <w:rsid w:val="00365C1B"/>
    <w:rsid w:val="003662E7"/>
    <w:rsid w:val="00366482"/>
    <w:rsid w:val="003668DC"/>
    <w:rsid w:val="003669DB"/>
    <w:rsid w:val="00366B31"/>
    <w:rsid w:val="00367556"/>
    <w:rsid w:val="003678EA"/>
    <w:rsid w:val="003679C9"/>
    <w:rsid w:val="00370543"/>
    <w:rsid w:val="00370ED3"/>
    <w:rsid w:val="0037147D"/>
    <w:rsid w:val="00371A52"/>
    <w:rsid w:val="003721BA"/>
    <w:rsid w:val="00372B01"/>
    <w:rsid w:val="003734E0"/>
    <w:rsid w:val="00373642"/>
    <w:rsid w:val="00373C57"/>
    <w:rsid w:val="00374727"/>
    <w:rsid w:val="00374B69"/>
    <w:rsid w:val="00375183"/>
    <w:rsid w:val="00375AB3"/>
    <w:rsid w:val="00375C69"/>
    <w:rsid w:val="00375D63"/>
    <w:rsid w:val="00376B10"/>
    <w:rsid w:val="00376D1F"/>
    <w:rsid w:val="00376D7C"/>
    <w:rsid w:val="00376E3D"/>
    <w:rsid w:val="00376EE5"/>
    <w:rsid w:val="00376F23"/>
    <w:rsid w:val="003771A3"/>
    <w:rsid w:val="0037738F"/>
    <w:rsid w:val="003813B4"/>
    <w:rsid w:val="003822C0"/>
    <w:rsid w:val="00382E8E"/>
    <w:rsid w:val="003832CF"/>
    <w:rsid w:val="003834D1"/>
    <w:rsid w:val="00383B68"/>
    <w:rsid w:val="00383F68"/>
    <w:rsid w:val="00384337"/>
    <w:rsid w:val="0038466F"/>
    <w:rsid w:val="00384883"/>
    <w:rsid w:val="00384E03"/>
    <w:rsid w:val="003855C6"/>
    <w:rsid w:val="00385A85"/>
    <w:rsid w:val="00385E9F"/>
    <w:rsid w:val="00386395"/>
    <w:rsid w:val="003865E6"/>
    <w:rsid w:val="0038663C"/>
    <w:rsid w:val="00386C0B"/>
    <w:rsid w:val="00386F30"/>
    <w:rsid w:val="00386F85"/>
    <w:rsid w:val="0038732B"/>
    <w:rsid w:val="00387878"/>
    <w:rsid w:val="00387FF6"/>
    <w:rsid w:val="00390753"/>
    <w:rsid w:val="00390A32"/>
    <w:rsid w:val="00391CD6"/>
    <w:rsid w:val="00392477"/>
    <w:rsid w:val="003924CD"/>
    <w:rsid w:val="00392D0F"/>
    <w:rsid w:val="003936E8"/>
    <w:rsid w:val="00393C5E"/>
    <w:rsid w:val="00395831"/>
    <w:rsid w:val="00396272"/>
    <w:rsid w:val="00396F54"/>
    <w:rsid w:val="003A0065"/>
    <w:rsid w:val="003A0280"/>
    <w:rsid w:val="003A0B7A"/>
    <w:rsid w:val="003A0CB1"/>
    <w:rsid w:val="003A0CC9"/>
    <w:rsid w:val="003A0D84"/>
    <w:rsid w:val="003A101E"/>
    <w:rsid w:val="003A2570"/>
    <w:rsid w:val="003A26CC"/>
    <w:rsid w:val="003A2917"/>
    <w:rsid w:val="003A2A0E"/>
    <w:rsid w:val="003A2AF4"/>
    <w:rsid w:val="003A2FE5"/>
    <w:rsid w:val="003A3307"/>
    <w:rsid w:val="003A3D57"/>
    <w:rsid w:val="003A4650"/>
    <w:rsid w:val="003A48AF"/>
    <w:rsid w:val="003A5579"/>
    <w:rsid w:val="003A57E6"/>
    <w:rsid w:val="003A6C23"/>
    <w:rsid w:val="003A6CE2"/>
    <w:rsid w:val="003A7845"/>
    <w:rsid w:val="003A7DD7"/>
    <w:rsid w:val="003B0A65"/>
    <w:rsid w:val="003B175D"/>
    <w:rsid w:val="003B2791"/>
    <w:rsid w:val="003B2CE7"/>
    <w:rsid w:val="003B2E4F"/>
    <w:rsid w:val="003B40DF"/>
    <w:rsid w:val="003B49F3"/>
    <w:rsid w:val="003B4A3D"/>
    <w:rsid w:val="003B4E23"/>
    <w:rsid w:val="003B4F1B"/>
    <w:rsid w:val="003B4FEE"/>
    <w:rsid w:val="003B50EA"/>
    <w:rsid w:val="003B5C89"/>
    <w:rsid w:val="003B5FC4"/>
    <w:rsid w:val="003B67FE"/>
    <w:rsid w:val="003B753F"/>
    <w:rsid w:val="003B7554"/>
    <w:rsid w:val="003B770E"/>
    <w:rsid w:val="003B7758"/>
    <w:rsid w:val="003B7C20"/>
    <w:rsid w:val="003C089A"/>
    <w:rsid w:val="003C0E08"/>
    <w:rsid w:val="003C1664"/>
    <w:rsid w:val="003C1893"/>
    <w:rsid w:val="003C451A"/>
    <w:rsid w:val="003C5271"/>
    <w:rsid w:val="003C5807"/>
    <w:rsid w:val="003C5A13"/>
    <w:rsid w:val="003C61A3"/>
    <w:rsid w:val="003C6306"/>
    <w:rsid w:val="003C6DF0"/>
    <w:rsid w:val="003C750B"/>
    <w:rsid w:val="003C7D4D"/>
    <w:rsid w:val="003C7FF9"/>
    <w:rsid w:val="003D012F"/>
    <w:rsid w:val="003D0713"/>
    <w:rsid w:val="003D09D0"/>
    <w:rsid w:val="003D1313"/>
    <w:rsid w:val="003D1533"/>
    <w:rsid w:val="003D184C"/>
    <w:rsid w:val="003D21D5"/>
    <w:rsid w:val="003D37CB"/>
    <w:rsid w:val="003D48A9"/>
    <w:rsid w:val="003D4D89"/>
    <w:rsid w:val="003D54FF"/>
    <w:rsid w:val="003D5CC1"/>
    <w:rsid w:val="003D5E9F"/>
    <w:rsid w:val="003D601D"/>
    <w:rsid w:val="003D6052"/>
    <w:rsid w:val="003E03E7"/>
    <w:rsid w:val="003E044E"/>
    <w:rsid w:val="003E10B6"/>
    <w:rsid w:val="003E21E7"/>
    <w:rsid w:val="003E28CC"/>
    <w:rsid w:val="003E33D5"/>
    <w:rsid w:val="003E33FE"/>
    <w:rsid w:val="003E3513"/>
    <w:rsid w:val="003E48E0"/>
    <w:rsid w:val="003E5EB7"/>
    <w:rsid w:val="003E600C"/>
    <w:rsid w:val="003E6510"/>
    <w:rsid w:val="003E6781"/>
    <w:rsid w:val="003E69E3"/>
    <w:rsid w:val="003E7432"/>
    <w:rsid w:val="003E7CE9"/>
    <w:rsid w:val="003F0372"/>
    <w:rsid w:val="003F05B4"/>
    <w:rsid w:val="003F0D20"/>
    <w:rsid w:val="003F1997"/>
    <w:rsid w:val="003F1EAA"/>
    <w:rsid w:val="003F2546"/>
    <w:rsid w:val="003F4304"/>
    <w:rsid w:val="003F4458"/>
    <w:rsid w:val="003F5188"/>
    <w:rsid w:val="003F5741"/>
    <w:rsid w:val="003F5D5D"/>
    <w:rsid w:val="003F66DD"/>
    <w:rsid w:val="003F687C"/>
    <w:rsid w:val="003F6A7B"/>
    <w:rsid w:val="003F72B7"/>
    <w:rsid w:val="003F79C4"/>
    <w:rsid w:val="003F7B51"/>
    <w:rsid w:val="004001D6"/>
    <w:rsid w:val="00400399"/>
    <w:rsid w:val="00400457"/>
    <w:rsid w:val="0040079F"/>
    <w:rsid w:val="00401084"/>
    <w:rsid w:val="004013A6"/>
    <w:rsid w:val="0040141F"/>
    <w:rsid w:val="00401843"/>
    <w:rsid w:val="00402A4A"/>
    <w:rsid w:val="00403752"/>
    <w:rsid w:val="00403AAE"/>
    <w:rsid w:val="00403AEA"/>
    <w:rsid w:val="00403FDA"/>
    <w:rsid w:val="00404933"/>
    <w:rsid w:val="00404D62"/>
    <w:rsid w:val="004052BA"/>
    <w:rsid w:val="00405E70"/>
    <w:rsid w:val="00406A4D"/>
    <w:rsid w:val="00406E35"/>
    <w:rsid w:val="00407781"/>
    <w:rsid w:val="00407C00"/>
    <w:rsid w:val="004102AE"/>
    <w:rsid w:val="004116D2"/>
    <w:rsid w:val="00411C06"/>
    <w:rsid w:val="00412D91"/>
    <w:rsid w:val="00414DCB"/>
    <w:rsid w:val="00414EA8"/>
    <w:rsid w:val="00415103"/>
    <w:rsid w:val="00415716"/>
    <w:rsid w:val="00415813"/>
    <w:rsid w:val="00416540"/>
    <w:rsid w:val="00416942"/>
    <w:rsid w:val="00416B6B"/>
    <w:rsid w:val="00416B9C"/>
    <w:rsid w:val="00416CD8"/>
    <w:rsid w:val="00416FB5"/>
    <w:rsid w:val="00417718"/>
    <w:rsid w:val="00417A00"/>
    <w:rsid w:val="0042034A"/>
    <w:rsid w:val="004203A9"/>
    <w:rsid w:val="00421D2A"/>
    <w:rsid w:val="004228A5"/>
    <w:rsid w:val="00422F63"/>
    <w:rsid w:val="00423655"/>
    <w:rsid w:val="00423700"/>
    <w:rsid w:val="004237D1"/>
    <w:rsid w:val="0042444F"/>
    <w:rsid w:val="00424A39"/>
    <w:rsid w:val="004250FA"/>
    <w:rsid w:val="00425F90"/>
    <w:rsid w:val="00426994"/>
    <w:rsid w:val="00427AD6"/>
    <w:rsid w:val="00430166"/>
    <w:rsid w:val="004303B5"/>
    <w:rsid w:val="004305BB"/>
    <w:rsid w:val="00430729"/>
    <w:rsid w:val="004310E6"/>
    <w:rsid w:val="00431FCD"/>
    <w:rsid w:val="00432BBC"/>
    <w:rsid w:val="00432D2D"/>
    <w:rsid w:val="00433944"/>
    <w:rsid w:val="004339BD"/>
    <w:rsid w:val="00433E35"/>
    <w:rsid w:val="004341DE"/>
    <w:rsid w:val="004343D9"/>
    <w:rsid w:val="00434712"/>
    <w:rsid w:val="00434C3E"/>
    <w:rsid w:val="00434DE7"/>
    <w:rsid w:val="00435BC8"/>
    <w:rsid w:val="004362E5"/>
    <w:rsid w:val="00436DDA"/>
    <w:rsid w:val="00436F35"/>
    <w:rsid w:val="004370BC"/>
    <w:rsid w:val="0043787F"/>
    <w:rsid w:val="00437BD7"/>
    <w:rsid w:val="004402C4"/>
    <w:rsid w:val="004405A6"/>
    <w:rsid w:val="00440C16"/>
    <w:rsid w:val="00442384"/>
    <w:rsid w:val="0044299D"/>
    <w:rsid w:val="00442A09"/>
    <w:rsid w:val="00442F4D"/>
    <w:rsid w:val="00443031"/>
    <w:rsid w:val="0044431D"/>
    <w:rsid w:val="00444C6B"/>
    <w:rsid w:val="0044587D"/>
    <w:rsid w:val="00445A38"/>
    <w:rsid w:val="00445AB0"/>
    <w:rsid w:val="00445C19"/>
    <w:rsid w:val="00446B97"/>
    <w:rsid w:val="00446CBD"/>
    <w:rsid w:val="00450266"/>
    <w:rsid w:val="0045059B"/>
    <w:rsid w:val="004506BD"/>
    <w:rsid w:val="004508E6"/>
    <w:rsid w:val="004511D5"/>
    <w:rsid w:val="004521D3"/>
    <w:rsid w:val="00453412"/>
    <w:rsid w:val="00453B21"/>
    <w:rsid w:val="004542FC"/>
    <w:rsid w:val="004551D4"/>
    <w:rsid w:val="00455B6F"/>
    <w:rsid w:val="004565B3"/>
    <w:rsid w:val="00461942"/>
    <w:rsid w:val="00461AEA"/>
    <w:rsid w:val="00462DC2"/>
    <w:rsid w:val="004648F6"/>
    <w:rsid w:val="00465351"/>
    <w:rsid w:val="00465AB6"/>
    <w:rsid w:val="00467B77"/>
    <w:rsid w:val="00467F17"/>
    <w:rsid w:val="00467FBE"/>
    <w:rsid w:val="00471ABA"/>
    <w:rsid w:val="00472629"/>
    <w:rsid w:val="00472658"/>
    <w:rsid w:val="00472E4D"/>
    <w:rsid w:val="00473A30"/>
    <w:rsid w:val="00473C95"/>
    <w:rsid w:val="00473D93"/>
    <w:rsid w:val="00474016"/>
    <w:rsid w:val="00474119"/>
    <w:rsid w:val="0047426A"/>
    <w:rsid w:val="00474CA9"/>
    <w:rsid w:val="00474CB3"/>
    <w:rsid w:val="00474E64"/>
    <w:rsid w:val="004771E8"/>
    <w:rsid w:val="00477242"/>
    <w:rsid w:val="00477371"/>
    <w:rsid w:val="004779AE"/>
    <w:rsid w:val="00480303"/>
    <w:rsid w:val="00480619"/>
    <w:rsid w:val="004809A8"/>
    <w:rsid w:val="00480B0E"/>
    <w:rsid w:val="004814DF"/>
    <w:rsid w:val="0048291F"/>
    <w:rsid w:val="00482B22"/>
    <w:rsid w:val="00482F5A"/>
    <w:rsid w:val="00483249"/>
    <w:rsid w:val="0048344C"/>
    <w:rsid w:val="00483620"/>
    <w:rsid w:val="00483881"/>
    <w:rsid w:val="00483B7F"/>
    <w:rsid w:val="00483BD1"/>
    <w:rsid w:val="00483BF0"/>
    <w:rsid w:val="00484E5B"/>
    <w:rsid w:val="00485583"/>
    <w:rsid w:val="00485A64"/>
    <w:rsid w:val="00485D44"/>
    <w:rsid w:val="00486D0A"/>
    <w:rsid w:val="0048745D"/>
    <w:rsid w:val="004876EB"/>
    <w:rsid w:val="004879F4"/>
    <w:rsid w:val="00490A49"/>
    <w:rsid w:val="00490E3F"/>
    <w:rsid w:val="00491588"/>
    <w:rsid w:val="00491B9E"/>
    <w:rsid w:val="00491F82"/>
    <w:rsid w:val="00492282"/>
    <w:rsid w:val="00492AFC"/>
    <w:rsid w:val="00494433"/>
    <w:rsid w:val="00494CAB"/>
    <w:rsid w:val="004958A4"/>
    <w:rsid w:val="0049622E"/>
    <w:rsid w:val="00496CE0"/>
    <w:rsid w:val="004A011D"/>
    <w:rsid w:val="004A094A"/>
    <w:rsid w:val="004A0AFB"/>
    <w:rsid w:val="004A0D6A"/>
    <w:rsid w:val="004A20C2"/>
    <w:rsid w:val="004A3262"/>
    <w:rsid w:val="004A353A"/>
    <w:rsid w:val="004A3C87"/>
    <w:rsid w:val="004A3D22"/>
    <w:rsid w:val="004A3DC3"/>
    <w:rsid w:val="004A43B7"/>
    <w:rsid w:val="004A51E1"/>
    <w:rsid w:val="004A52A6"/>
    <w:rsid w:val="004A5710"/>
    <w:rsid w:val="004A5FAB"/>
    <w:rsid w:val="004A6812"/>
    <w:rsid w:val="004A7E2B"/>
    <w:rsid w:val="004A7F42"/>
    <w:rsid w:val="004B000B"/>
    <w:rsid w:val="004B013F"/>
    <w:rsid w:val="004B150E"/>
    <w:rsid w:val="004B154C"/>
    <w:rsid w:val="004B1D82"/>
    <w:rsid w:val="004B1F42"/>
    <w:rsid w:val="004B20CF"/>
    <w:rsid w:val="004B298B"/>
    <w:rsid w:val="004B302C"/>
    <w:rsid w:val="004B325B"/>
    <w:rsid w:val="004B3B25"/>
    <w:rsid w:val="004B4517"/>
    <w:rsid w:val="004B4BE4"/>
    <w:rsid w:val="004B546A"/>
    <w:rsid w:val="004B5922"/>
    <w:rsid w:val="004B59F2"/>
    <w:rsid w:val="004B62A2"/>
    <w:rsid w:val="004B63C9"/>
    <w:rsid w:val="004B63EC"/>
    <w:rsid w:val="004B64ED"/>
    <w:rsid w:val="004B65C4"/>
    <w:rsid w:val="004B7497"/>
    <w:rsid w:val="004B751A"/>
    <w:rsid w:val="004C0588"/>
    <w:rsid w:val="004C0677"/>
    <w:rsid w:val="004C06E8"/>
    <w:rsid w:val="004C1640"/>
    <w:rsid w:val="004C2111"/>
    <w:rsid w:val="004C2277"/>
    <w:rsid w:val="004C249F"/>
    <w:rsid w:val="004C2876"/>
    <w:rsid w:val="004C3CA4"/>
    <w:rsid w:val="004C49D1"/>
    <w:rsid w:val="004C4E8D"/>
    <w:rsid w:val="004C5113"/>
    <w:rsid w:val="004C51E5"/>
    <w:rsid w:val="004C5278"/>
    <w:rsid w:val="004C56CA"/>
    <w:rsid w:val="004C5833"/>
    <w:rsid w:val="004C5F48"/>
    <w:rsid w:val="004C73E7"/>
    <w:rsid w:val="004C7F05"/>
    <w:rsid w:val="004D0C07"/>
    <w:rsid w:val="004D0E9F"/>
    <w:rsid w:val="004D1020"/>
    <w:rsid w:val="004D13D5"/>
    <w:rsid w:val="004D19B5"/>
    <w:rsid w:val="004D25F6"/>
    <w:rsid w:val="004D3552"/>
    <w:rsid w:val="004D3BE7"/>
    <w:rsid w:val="004D3F36"/>
    <w:rsid w:val="004D4929"/>
    <w:rsid w:val="004D6927"/>
    <w:rsid w:val="004D77DD"/>
    <w:rsid w:val="004D7D96"/>
    <w:rsid w:val="004E0352"/>
    <w:rsid w:val="004E0955"/>
    <w:rsid w:val="004E0B33"/>
    <w:rsid w:val="004E112A"/>
    <w:rsid w:val="004E113D"/>
    <w:rsid w:val="004E16AC"/>
    <w:rsid w:val="004E1781"/>
    <w:rsid w:val="004E1B62"/>
    <w:rsid w:val="004E364F"/>
    <w:rsid w:val="004E429F"/>
    <w:rsid w:val="004E4EC1"/>
    <w:rsid w:val="004E61C4"/>
    <w:rsid w:val="004E6E64"/>
    <w:rsid w:val="004E7199"/>
    <w:rsid w:val="004E7685"/>
    <w:rsid w:val="004E7D7D"/>
    <w:rsid w:val="004E7E75"/>
    <w:rsid w:val="004F018C"/>
    <w:rsid w:val="004F0CEA"/>
    <w:rsid w:val="004F1045"/>
    <w:rsid w:val="004F1080"/>
    <w:rsid w:val="004F1144"/>
    <w:rsid w:val="004F14BB"/>
    <w:rsid w:val="004F1822"/>
    <w:rsid w:val="004F32A2"/>
    <w:rsid w:val="004F380B"/>
    <w:rsid w:val="004F3AF6"/>
    <w:rsid w:val="004F3B80"/>
    <w:rsid w:val="004F46EA"/>
    <w:rsid w:val="004F52CF"/>
    <w:rsid w:val="004F5BDA"/>
    <w:rsid w:val="004F5DE5"/>
    <w:rsid w:val="004F5E62"/>
    <w:rsid w:val="004F6138"/>
    <w:rsid w:val="004F6D89"/>
    <w:rsid w:val="004F739C"/>
    <w:rsid w:val="004F75FE"/>
    <w:rsid w:val="004F76E2"/>
    <w:rsid w:val="0050004B"/>
    <w:rsid w:val="005007DD"/>
    <w:rsid w:val="0050165A"/>
    <w:rsid w:val="00501983"/>
    <w:rsid w:val="00501C19"/>
    <w:rsid w:val="0050237D"/>
    <w:rsid w:val="00502610"/>
    <w:rsid w:val="00502B76"/>
    <w:rsid w:val="00502C30"/>
    <w:rsid w:val="00502C9A"/>
    <w:rsid w:val="00502E63"/>
    <w:rsid w:val="005031CC"/>
    <w:rsid w:val="00503247"/>
    <w:rsid w:val="00503957"/>
    <w:rsid w:val="00503A89"/>
    <w:rsid w:val="0050552B"/>
    <w:rsid w:val="00505C83"/>
    <w:rsid w:val="00506009"/>
    <w:rsid w:val="005065B2"/>
    <w:rsid w:val="005069E5"/>
    <w:rsid w:val="00506FFB"/>
    <w:rsid w:val="00507243"/>
    <w:rsid w:val="00507394"/>
    <w:rsid w:val="0050744C"/>
    <w:rsid w:val="005075E1"/>
    <w:rsid w:val="00507CD0"/>
    <w:rsid w:val="00511AA5"/>
    <w:rsid w:val="00511C56"/>
    <w:rsid w:val="00511E07"/>
    <w:rsid w:val="00511F74"/>
    <w:rsid w:val="00514373"/>
    <w:rsid w:val="0051469E"/>
    <w:rsid w:val="005148CA"/>
    <w:rsid w:val="00514BD6"/>
    <w:rsid w:val="00514FFA"/>
    <w:rsid w:val="005158FD"/>
    <w:rsid w:val="0051597B"/>
    <w:rsid w:val="00515F4F"/>
    <w:rsid w:val="00516132"/>
    <w:rsid w:val="00516587"/>
    <w:rsid w:val="00516D14"/>
    <w:rsid w:val="00516F9E"/>
    <w:rsid w:val="00516FE4"/>
    <w:rsid w:val="00516FF9"/>
    <w:rsid w:val="00517766"/>
    <w:rsid w:val="005202FB"/>
    <w:rsid w:val="00520C5C"/>
    <w:rsid w:val="00520F0A"/>
    <w:rsid w:val="0052159E"/>
    <w:rsid w:val="00521817"/>
    <w:rsid w:val="005218CD"/>
    <w:rsid w:val="00522DAF"/>
    <w:rsid w:val="0052319B"/>
    <w:rsid w:val="00523292"/>
    <w:rsid w:val="00523569"/>
    <w:rsid w:val="005243CC"/>
    <w:rsid w:val="005250BC"/>
    <w:rsid w:val="00525289"/>
    <w:rsid w:val="0052543D"/>
    <w:rsid w:val="005254F6"/>
    <w:rsid w:val="00525ACF"/>
    <w:rsid w:val="00525AF2"/>
    <w:rsid w:val="00525D25"/>
    <w:rsid w:val="00525E5B"/>
    <w:rsid w:val="005267B2"/>
    <w:rsid w:val="00526858"/>
    <w:rsid w:val="00526CB8"/>
    <w:rsid w:val="00527285"/>
    <w:rsid w:val="005279AB"/>
    <w:rsid w:val="00530898"/>
    <w:rsid w:val="005309A7"/>
    <w:rsid w:val="00531DA9"/>
    <w:rsid w:val="0053317B"/>
    <w:rsid w:val="0053406F"/>
    <w:rsid w:val="005344A2"/>
    <w:rsid w:val="00534EB3"/>
    <w:rsid w:val="00535AE0"/>
    <w:rsid w:val="0053612F"/>
    <w:rsid w:val="005365E4"/>
    <w:rsid w:val="0053694F"/>
    <w:rsid w:val="00536BC1"/>
    <w:rsid w:val="00537B82"/>
    <w:rsid w:val="005416E4"/>
    <w:rsid w:val="00541C18"/>
    <w:rsid w:val="00541FD5"/>
    <w:rsid w:val="00542C15"/>
    <w:rsid w:val="00542EC9"/>
    <w:rsid w:val="00542F55"/>
    <w:rsid w:val="005430F8"/>
    <w:rsid w:val="00543511"/>
    <w:rsid w:val="0054369F"/>
    <w:rsid w:val="00543D9A"/>
    <w:rsid w:val="00544366"/>
    <w:rsid w:val="005443BD"/>
    <w:rsid w:val="00544818"/>
    <w:rsid w:val="00544BA8"/>
    <w:rsid w:val="0054535F"/>
    <w:rsid w:val="005463DE"/>
    <w:rsid w:val="00547144"/>
    <w:rsid w:val="005473CA"/>
    <w:rsid w:val="00547F8E"/>
    <w:rsid w:val="0055042B"/>
    <w:rsid w:val="0055061C"/>
    <w:rsid w:val="0055088F"/>
    <w:rsid w:val="00550FCA"/>
    <w:rsid w:val="005510CA"/>
    <w:rsid w:val="005512AE"/>
    <w:rsid w:val="005519AC"/>
    <w:rsid w:val="00552222"/>
    <w:rsid w:val="00553226"/>
    <w:rsid w:val="00553702"/>
    <w:rsid w:val="005541BC"/>
    <w:rsid w:val="00554458"/>
    <w:rsid w:val="005544ED"/>
    <w:rsid w:val="005550B8"/>
    <w:rsid w:val="00555808"/>
    <w:rsid w:val="00555C1E"/>
    <w:rsid w:val="00555CCD"/>
    <w:rsid w:val="00555E4B"/>
    <w:rsid w:val="00556202"/>
    <w:rsid w:val="005562E7"/>
    <w:rsid w:val="005562F8"/>
    <w:rsid w:val="0055663A"/>
    <w:rsid w:val="0055668A"/>
    <w:rsid w:val="005568B4"/>
    <w:rsid w:val="00556AE3"/>
    <w:rsid w:val="00556D35"/>
    <w:rsid w:val="00556D95"/>
    <w:rsid w:val="00556FA5"/>
    <w:rsid w:val="0055701E"/>
    <w:rsid w:val="005571EC"/>
    <w:rsid w:val="0056018F"/>
    <w:rsid w:val="005609B2"/>
    <w:rsid w:val="00560A3A"/>
    <w:rsid w:val="00561145"/>
    <w:rsid w:val="0056115E"/>
    <w:rsid w:val="005617FA"/>
    <w:rsid w:val="005625E1"/>
    <w:rsid w:val="00562932"/>
    <w:rsid w:val="00562A86"/>
    <w:rsid w:val="00562DE2"/>
    <w:rsid w:val="00562E02"/>
    <w:rsid w:val="0056347A"/>
    <w:rsid w:val="0056360F"/>
    <w:rsid w:val="005640C8"/>
    <w:rsid w:val="005650DE"/>
    <w:rsid w:val="005655D1"/>
    <w:rsid w:val="00567B18"/>
    <w:rsid w:val="0057035D"/>
    <w:rsid w:val="00570D35"/>
    <w:rsid w:val="00571017"/>
    <w:rsid w:val="005717E4"/>
    <w:rsid w:val="00571F5A"/>
    <w:rsid w:val="00572DDC"/>
    <w:rsid w:val="005734BC"/>
    <w:rsid w:val="0057385F"/>
    <w:rsid w:val="00573A9D"/>
    <w:rsid w:val="00576A4E"/>
    <w:rsid w:val="00576C50"/>
    <w:rsid w:val="005773BB"/>
    <w:rsid w:val="005775FA"/>
    <w:rsid w:val="0057771A"/>
    <w:rsid w:val="00577F21"/>
    <w:rsid w:val="0058007A"/>
    <w:rsid w:val="0058049C"/>
    <w:rsid w:val="005804F6"/>
    <w:rsid w:val="0058071D"/>
    <w:rsid w:val="00580A10"/>
    <w:rsid w:val="005817CB"/>
    <w:rsid w:val="00581C65"/>
    <w:rsid w:val="005827B2"/>
    <w:rsid w:val="00582C05"/>
    <w:rsid w:val="00583083"/>
    <w:rsid w:val="00583C22"/>
    <w:rsid w:val="00584A49"/>
    <w:rsid w:val="00585015"/>
    <w:rsid w:val="00585413"/>
    <w:rsid w:val="00585920"/>
    <w:rsid w:val="00585E37"/>
    <w:rsid w:val="00586031"/>
    <w:rsid w:val="00586277"/>
    <w:rsid w:val="005863BB"/>
    <w:rsid w:val="00586B85"/>
    <w:rsid w:val="00586BE4"/>
    <w:rsid w:val="00587FB4"/>
    <w:rsid w:val="00590548"/>
    <w:rsid w:val="00590ADB"/>
    <w:rsid w:val="00590DD8"/>
    <w:rsid w:val="00590DE7"/>
    <w:rsid w:val="00590E0B"/>
    <w:rsid w:val="0059197E"/>
    <w:rsid w:val="00591CD5"/>
    <w:rsid w:val="00592C86"/>
    <w:rsid w:val="00592D1D"/>
    <w:rsid w:val="00593242"/>
    <w:rsid w:val="00593628"/>
    <w:rsid w:val="00593F87"/>
    <w:rsid w:val="0059470E"/>
    <w:rsid w:val="005951C4"/>
    <w:rsid w:val="00595D63"/>
    <w:rsid w:val="00595D64"/>
    <w:rsid w:val="00596938"/>
    <w:rsid w:val="00596AD8"/>
    <w:rsid w:val="00596DBF"/>
    <w:rsid w:val="00597343"/>
    <w:rsid w:val="00597A7A"/>
    <w:rsid w:val="00597EA5"/>
    <w:rsid w:val="00597ED2"/>
    <w:rsid w:val="005A104C"/>
    <w:rsid w:val="005A1250"/>
    <w:rsid w:val="005A1D42"/>
    <w:rsid w:val="005A3284"/>
    <w:rsid w:val="005A3488"/>
    <w:rsid w:val="005A3ABB"/>
    <w:rsid w:val="005A3C82"/>
    <w:rsid w:val="005A417A"/>
    <w:rsid w:val="005A46CD"/>
    <w:rsid w:val="005A4B61"/>
    <w:rsid w:val="005A4D8F"/>
    <w:rsid w:val="005A5695"/>
    <w:rsid w:val="005A5FF6"/>
    <w:rsid w:val="005A6C10"/>
    <w:rsid w:val="005A6CCA"/>
    <w:rsid w:val="005A6E43"/>
    <w:rsid w:val="005A6EDA"/>
    <w:rsid w:val="005A7AA9"/>
    <w:rsid w:val="005A7B59"/>
    <w:rsid w:val="005A7EED"/>
    <w:rsid w:val="005B0E48"/>
    <w:rsid w:val="005B1491"/>
    <w:rsid w:val="005B149D"/>
    <w:rsid w:val="005B28AA"/>
    <w:rsid w:val="005B2908"/>
    <w:rsid w:val="005B29BD"/>
    <w:rsid w:val="005B2B41"/>
    <w:rsid w:val="005B307D"/>
    <w:rsid w:val="005B348A"/>
    <w:rsid w:val="005B3529"/>
    <w:rsid w:val="005B41FE"/>
    <w:rsid w:val="005B451E"/>
    <w:rsid w:val="005B53FD"/>
    <w:rsid w:val="005B6531"/>
    <w:rsid w:val="005B68B5"/>
    <w:rsid w:val="005B71DA"/>
    <w:rsid w:val="005B7229"/>
    <w:rsid w:val="005C04AC"/>
    <w:rsid w:val="005C07E3"/>
    <w:rsid w:val="005C0826"/>
    <w:rsid w:val="005C0942"/>
    <w:rsid w:val="005C0AF2"/>
    <w:rsid w:val="005C0DD5"/>
    <w:rsid w:val="005C10F4"/>
    <w:rsid w:val="005C1A18"/>
    <w:rsid w:val="005C1BC0"/>
    <w:rsid w:val="005C2690"/>
    <w:rsid w:val="005C2891"/>
    <w:rsid w:val="005C2AFF"/>
    <w:rsid w:val="005C2F39"/>
    <w:rsid w:val="005C3179"/>
    <w:rsid w:val="005C3808"/>
    <w:rsid w:val="005C3FF2"/>
    <w:rsid w:val="005C424D"/>
    <w:rsid w:val="005C4B7E"/>
    <w:rsid w:val="005C5C0D"/>
    <w:rsid w:val="005C61BD"/>
    <w:rsid w:val="005C6363"/>
    <w:rsid w:val="005C7BE2"/>
    <w:rsid w:val="005D0B2A"/>
    <w:rsid w:val="005D129D"/>
    <w:rsid w:val="005D16F3"/>
    <w:rsid w:val="005D1D6C"/>
    <w:rsid w:val="005D2014"/>
    <w:rsid w:val="005D2A2D"/>
    <w:rsid w:val="005D3186"/>
    <w:rsid w:val="005D32F0"/>
    <w:rsid w:val="005D362E"/>
    <w:rsid w:val="005D432B"/>
    <w:rsid w:val="005D5736"/>
    <w:rsid w:val="005D6080"/>
    <w:rsid w:val="005D67F7"/>
    <w:rsid w:val="005D6D42"/>
    <w:rsid w:val="005D7300"/>
    <w:rsid w:val="005D7824"/>
    <w:rsid w:val="005D7D4A"/>
    <w:rsid w:val="005E0CC7"/>
    <w:rsid w:val="005E1170"/>
    <w:rsid w:val="005E1772"/>
    <w:rsid w:val="005E1893"/>
    <w:rsid w:val="005E1BF7"/>
    <w:rsid w:val="005E1EC8"/>
    <w:rsid w:val="005E2084"/>
    <w:rsid w:val="005E21FB"/>
    <w:rsid w:val="005E22D8"/>
    <w:rsid w:val="005E2734"/>
    <w:rsid w:val="005E2F7E"/>
    <w:rsid w:val="005E596E"/>
    <w:rsid w:val="005E5BD9"/>
    <w:rsid w:val="005E60E1"/>
    <w:rsid w:val="005E69A8"/>
    <w:rsid w:val="005E7001"/>
    <w:rsid w:val="005E7232"/>
    <w:rsid w:val="005F042C"/>
    <w:rsid w:val="005F0762"/>
    <w:rsid w:val="005F0E10"/>
    <w:rsid w:val="005F1115"/>
    <w:rsid w:val="005F252E"/>
    <w:rsid w:val="005F271D"/>
    <w:rsid w:val="005F284F"/>
    <w:rsid w:val="005F2E6B"/>
    <w:rsid w:val="005F309E"/>
    <w:rsid w:val="005F3DE9"/>
    <w:rsid w:val="005F43DA"/>
    <w:rsid w:val="005F4483"/>
    <w:rsid w:val="005F44AF"/>
    <w:rsid w:val="005F45F0"/>
    <w:rsid w:val="005F68CC"/>
    <w:rsid w:val="005F77F4"/>
    <w:rsid w:val="00600200"/>
    <w:rsid w:val="00600D66"/>
    <w:rsid w:val="0060119F"/>
    <w:rsid w:val="00601FA4"/>
    <w:rsid w:val="00602244"/>
    <w:rsid w:val="00602E1C"/>
    <w:rsid w:val="0060310C"/>
    <w:rsid w:val="00603282"/>
    <w:rsid w:val="00603E15"/>
    <w:rsid w:val="00604612"/>
    <w:rsid w:val="006047F9"/>
    <w:rsid w:val="00604F51"/>
    <w:rsid w:val="00605244"/>
    <w:rsid w:val="00605B7D"/>
    <w:rsid w:val="0060605B"/>
    <w:rsid w:val="00606F19"/>
    <w:rsid w:val="00607A7E"/>
    <w:rsid w:val="0061018E"/>
    <w:rsid w:val="00611E2E"/>
    <w:rsid w:val="00611E4A"/>
    <w:rsid w:val="00611EA0"/>
    <w:rsid w:val="0061203F"/>
    <w:rsid w:val="00612452"/>
    <w:rsid w:val="00612726"/>
    <w:rsid w:val="00612D0F"/>
    <w:rsid w:val="00612E7F"/>
    <w:rsid w:val="00613898"/>
    <w:rsid w:val="00613C0A"/>
    <w:rsid w:val="00613C44"/>
    <w:rsid w:val="006166A2"/>
    <w:rsid w:val="00617197"/>
    <w:rsid w:val="0061724A"/>
    <w:rsid w:val="00617427"/>
    <w:rsid w:val="006202D2"/>
    <w:rsid w:val="00621038"/>
    <w:rsid w:val="0062126D"/>
    <w:rsid w:val="006220BF"/>
    <w:rsid w:val="00622189"/>
    <w:rsid w:val="00622B32"/>
    <w:rsid w:val="00622DA1"/>
    <w:rsid w:val="00622F72"/>
    <w:rsid w:val="006235B0"/>
    <w:rsid w:val="00623690"/>
    <w:rsid w:val="00624E72"/>
    <w:rsid w:val="00624F2D"/>
    <w:rsid w:val="0062541C"/>
    <w:rsid w:val="006266AE"/>
    <w:rsid w:val="00626E61"/>
    <w:rsid w:val="006277B3"/>
    <w:rsid w:val="006279BC"/>
    <w:rsid w:val="00627A12"/>
    <w:rsid w:val="00627E5A"/>
    <w:rsid w:val="00630102"/>
    <w:rsid w:val="00630A46"/>
    <w:rsid w:val="00630A7D"/>
    <w:rsid w:val="00630CBE"/>
    <w:rsid w:val="00631839"/>
    <w:rsid w:val="00631DEA"/>
    <w:rsid w:val="006324EA"/>
    <w:rsid w:val="0063254A"/>
    <w:rsid w:val="00632FDD"/>
    <w:rsid w:val="00633210"/>
    <w:rsid w:val="00634433"/>
    <w:rsid w:val="00634971"/>
    <w:rsid w:val="00634B2F"/>
    <w:rsid w:val="00634C02"/>
    <w:rsid w:val="00635818"/>
    <w:rsid w:val="00635A2F"/>
    <w:rsid w:val="00635B14"/>
    <w:rsid w:val="00636C4C"/>
    <w:rsid w:val="00637022"/>
    <w:rsid w:val="0063745F"/>
    <w:rsid w:val="00637B61"/>
    <w:rsid w:val="006402F0"/>
    <w:rsid w:val="00640362"/>
    <w:rsid w:val="00641E0B"/>
    <w:rsid w:val="00643091"/>
    <w:rsid w:val="006435D2"/>
    <w:rsid w:val="0064389B"/>
    <w:rsid w:val="00643E64"/>
    <w:rsid w:val="00644ACA"/>
    <w:rsid w:val="00645E3B"/>
    <w:rsid w:val="00645F5A"/>
    <w:rsid w:val="006469C2"/>
    <w:rsid w:val="00647357"/>
    <w:rsid w:val="006477BF"/>
    <w:rsid w:val="006502A9"/>
    <w:rsid w:val="006509C7"/>
    <w:rsid w:val="006514D4"/>
    <w:rsid w:val="00651C77"/>
    <w:rsid w:val="006527E5"/>
    <w:rsid w:val="00652B2D"/>
    <w:rsid w:val="00652BDB"/>
    <w:rsid w:val="00652D38"/>
    <w:rsid w:val="00653291"/>
    <w:rsid w:val="00653430"/>
    <w:rsid w:val="00653AEE"/>
    <w:rsid w:val="00653B98"/>
    <w:rsid w:val="00653FA9"/>
    <w:rsid w:val="006546D8"/>
    <w:rsid w:val="00654D78"/>
    <w:rsid w:val="006555F4"/>
    <w:rsid w:val="00655EC8"/>
    <w:rsid w:val="00656009"/>
    <w:rsid w:val="006567B2"/>
    <w:rsid w:val="0065701C"/>
    <w:rsid w:val="0065738A"/>
    <w:rsid w:val="006578C8"/>
    <w:rsid w:val="006578DA"/>
    <w:rsid w:val="00660528"/>
    <w:rsid w:val="006610BF"/>
    <w:rsid w:val="006626F1"/>
    <w:rsid w:val="00662A86"/>
    <w:rsid w:val="00663419"/>
    <w:rsid w:val="006639B1"/>
    <w:rsid w:val="00663BA6"/>
    <w:rsid w:val="006640F9"/>
    <w:rsid w:val="006646EF"/>
    <w:rsid w:val="00664A94"/>
    <w:rsid w:val="006650D3"/>
    <w:rsid w:val="006666A5"/>
    <w:rsid w:val="006667DC"/>
    <w:rsid w:val="00666BBE"/>
    <w:rsid w:val="00666DA6"/>
    <w:rsid w:val="006678E6"/>
    <w:rsid w:val="00667D1A"/>
    <w:rsid w:val="00667E41"/>
    <w:rsid w:val="0067016A"/>
    <w:rsid w:val="006701DA"/>
    <w:rsid w:val="0067058F"/>
    <w:rsid w:val="00672048"/>
    <w:rsid w:val="0067369B"/>
    <w:rsid w:val="00674F87"/>
    <w:rsid w:val="00675AA1"/>
    <w:rsid w:val="00675CF7"/>
    <w:rsid w:val="00676215"/>
    <w:rsid w:val="00676C7D"/>
    <w:rsid w:val="006771A3"/>
    <w:rsid w:val="00680181"/>
    <w:rsid w:val="0068094A"/>
    <w:rsid w:val="00680A5F"/>
    <w:rsid w:val="00681391"/>
    <w:rsid w:val="00681FDF"/>
    <w:rsid w:val="006824AC"/>
    <w:rsid w:val="00683C9E"/>
    <w:rsid w:val="00683FE5"/>
    <w:rsid w:val="006856E3"/>
    <w:rsid w:val="00685BD4"/>
    <w:rsid w:val="00685E31"/>
    <w:rsid w:val="0068763A"/>
    <w:rsid w:val="006876DC"/>
    <w:rsid w:val="00691204"/>
    <w:rsid w:val="00691818"/>
    <w:rsid w:val="00691930"/>
    <w:rsid w:val="00691D6E"/>
    <w:rsid w:val="00694586"/>
    <w:rsid w:val="0069499B"/>
    <w:rsid w:val="006961BA"/>
    <w:rsid w:val="006967BC"/>
    <w:rsid w:val="00696E00"/>
    <w:rsid w:val="00696EA6"/>
    <w:rsid w:val="006973D9"/>
    <w:rsid w:val="006977DD"/>
    <w:rsid w:val="006A1459"/>
    <w:rsid w:val="006A1A61"/>
    <w:rsid w:val="006A1A81"/>
    <w:rsid w:val="006A2AD4"/>
    <w:rsid w:val="006A3565"/>
    <w:rsid w:val="006A36D9"/>
    <w:rsid w:val="006A38C5"/>
    <w:rsid w:val="006A4A5D"/>
    <w:rsid w:val="006A5280"/>
    <w:rsid w:val="006A58D6"/>
    <w:rsid w:val="006A6EBD"/>
    <w:rsid w:val="006A7165"/>
    <w:rsid w:val="006A738E"/>
    <w:rsid w:val="006A7E2E"/>
    <w:rsid w:val="006B0312"/>
    <w:rsid w:val="006B06EF"/>
    <w:rsid w:val="006B0A48"/>
    <w:rsid w:val="006B0F3C"/>
    <w:rsid w:val="006B1438"/>
    <w:rsid w:val="006B271E"/>
    <w:rsid w:val="006B2D9A"/>
    <w:rsid w:val="006B2E62"/>
    <w:rsid w:val="006B38C3"/>
    <w:rsid w:val="006B38EE"/>
    <w:rsid w:val="006B42FF"/>
    <w:rsid w:val="006B461D"/>
    <w:rsid w:val="006B4EBE"/>
    <w:rsid w:val="006B5072"/>
    <w:rsid w:val="006B5D2F"/>
    <w:rsid w:val="006B61B5"/>
    <w:rsid w:val="006B6276"/>
    <w:rsid w:val="006B6B80"/>
    <w:rsid w:val="006B78C1"/>
    <w:rsid w:val="006C04A3"/>
    <w:rsid w:val="006C18CB"/>
    <w:rsid w:val="006C195A"/>
    <w:rsid w:val="006C1B22"/>
    <w:rsid w:val="006C2424"/>
    <w:rsid w:val="006C2C2C"/>
    <w:rsid w:val="006C3B92"/>
    <w:rsid w:val="006C53F1"/>
    <w:rsid w:val="006C58E0"/>
    <w:rsid w:val="006C6C29"/>
    <w:rsid w:val="006C6D78"/>
    <w:rsid w:val="006C7044"/>
    <w:rsid w:val="006C716E"/>
    <w:rsid w:val="006C77B5"/>
    <w:rsid w:val="006D0731"/>
    <w:rsid w:val="006D1646"/>
    <w:rsid w:val="006D1818"/>
    <w:rsid w:val="006D248F"/>
    <w:rsid w:val="006D2B46"/>
    <w:rsid w:val="006D380D"/>
    <w:rsid w:val="006D383D"/>
    <w:rsid w:val="006D404A"/>
    <w:rsid w:val="006D41C4"/>
    <w:rsid w:val="006D4357"/>
    <w:rsid w:val="006D439A"/>
    <w:rsid w:val="006D47D3"/>
    <w:rsid w:val="006D4920"/>
    <w:rsid w:val="006D4BD7"/>
    <w:rsid w:val="006D4F2A"/>
    <w:rsid w:val="006D5749"/>
    <w:rsid w:val="006D5EAE"/>
    <w:rsid w:val="006D5EE8"/>
    <w:rsid w:val="006D669D"/>
    <w:rsid w:val="006D680F"/>
    <w:rsid w:val="006D69B7"/>
    <w:rsid w:val="006D6F20"/>
    <w:rsid w:val="006D7145"/>
    <w:rsid w:val="006D7CA9"/>
    <w:rsid w:val="006D7EE8"/>
    <w:rsid w:val="006E121C"/>
    <w:rsid w:val="006E1278"/>
    <w:rsid w:val="006E12BF"/>
    <w:rsid w:val="006E1430"/>
    <w:rsid w:val="006E1D3D"/>
    <w:rsid w:val="006E21AF"/>
    <w:rsid w:val="006E2C00"/>
    <w:rsid w:val="006E3384"/>
    <w:rsid w:val="006E33DA"/>
    <w:rsid w:val="006E3802"/>
    <w:rsid w:val="006E456D"/>
    <w:rsid w:val="006E4979"/>
    <w:rsid w:val="006E5DEE"/>
    <w:rsid w:val="006E6695"/>
    <w:rsid w:val="006E66C3"/>
    <w:rsid w:val="006E67C9"/>
    <w:rsid w:val="006E6876"/>
    <w:rsid w:val="006E7570"/>
    <w:rsid w:val="006E7F69"/>
    <w:rsid w:val="006F0425"/>
    <w:rsid w:val="006F0CD7"/>
    <w:rsid w:val="006F0ED9"/>
    <w:rsid w:val="006F1552"/>
    <w:rsid w:val="006F179F"/>
    <w:rsid w:val="006F1A43"/>
    <w:rsid w:val="006F21D4"/>
    <w:rsid w:val="006F2404"/>
    <w:rsid w:val="006F273A"/>
    <w:rsid w:val="006F3137"/>
    <w:rsid w:val="006F4DE7"/>
    <w:rsid w:val="006F5208"/>
    <w:rsid w:val="006F5499"/>
    <w:rsid w:val="006F55F6"/>
    <w:rsid w:val="006F5742"/>
    <w:rsid w:val="006F577D"/>
    <w:rsid w:val="006F5C03"/>
    <w:rsid w:val="006F5ED9"/>
    <w:rsid w:val="006F5FD0"/>
    <w:rsid w:val="006F6994"/>
    <w:rsid w:val="006F69BC"/>
    <w:rsid w:val="006F6E22"/>
    <w:rsid w:val="00700569"/>
    <w:rsid w:val="00701222"/>
    <w:rsid w:val="0070147C"/>
    <w:rsid w:val="00701C17"/>
    <w:rsid w:val="007023AA"/>
    <w:rsid w:val="00703322"/>
    <w:rsid w:val="007034ED"/>
    <w:rsid w:val="007036B1"/>
    <w:rsid w:val="00704767"/>
    <w:rsid w:val="0070477B"/>
    <w:rsid w:val="007047AB"/>
    <w:rsid w:val="0070659C"/>
    <w:rsid w:val="00706A92"/>
    <w:rsid w:val="00706E54"/>
    <w:rsid w:val="00707965"/>
    <w:rsid w:val="00707D66"/>
    <w:rsid w:val="00707EEE"/>
    <w:rsid w:val="007122B4"/>
    <w:rsid w:val="007124DA"/>
    <w:rsid w:val="00712D20"/>
    <w:rsid w:val="00713C8E"/>
    <w:rsid w:val="00714002"/>
    <w:rsid w:val="0071431A"/>
    <w:rsid w:val="007151D6"/>
    <w:rsid w:val="007151EF"/>
    <w:rsid w:val="00715E14"/>
    <w:rsid w:val="00715FD7"/>
    <w:rsid w:val="007163E2"/>
    <w:rsid w:val="007175B0"/>
    <w:rsid w:val="00721B0D"/>
    <w:rsid w:val="00722163"/>
    <w:rsid w:val="007236FF"/>
    <w:rsid w:val="00723708"/>
    <w:rsid w:val="00724AFB"/>
    <w:rsid w:val="0072670E"/>
    <w:rsid w:val="00727337"/>
    <w:rsid w:val="0072738B"/>
    <w:rsid w:val="007301C3"/>
    <w:rsid w:val="007310E4"/>
    <w:rsid w:val="00731C45"/>
    <w:rsid w:val="00731F50"/>
    <w:rsid w:val="00732005"/>
    <w:rsid w:val="007323D7"/>
    <w:rsid w:val="007335E7"/>
    <w:rsid w:val="00733A6C"/>
    <w:rsid w:val="00733BF1"/>
    <w:rsid w:val="00734448"/>
    <w:rsid w:val="00734983"/>
    <w:rsid w:val="00734B7A"/>
    <w:rsid w:val="00734C38"/>
    <w:rsid w:val="00734DC5"/>
    <w:rsid w:val="00734E3E"/>
    <w:rsid w:val="00735CD1"/>
    <w:rsid w:val="00735DE9"/>
    <w:rsid w:val="00735F2A"/>
    <w:rsid w:val="00736163"/>
    <w:rsid w:val="00736822"/>
    <w:rsid w:val="0073720B"/>
    <w:rsid w:val="007378AD"/>
    <w:rsid w:val="007404B4"/>
    <w:rsid w:val="00740937"/>
    <w:rsid w:val="00740A5F"/>
    <w:rsid w:val="00741F7E"/>
    <w:rsid w:val="0074291A"/>
    <w:rsid w:val="00742E01"/>
    <w:rsid w:val="00743126"/>
    <w:rsid w:val="00743B94"/>
    <w:rsid w:val="00743D2B"/>
    <w:rsid w:val="00744E1D"/>
    <w:rsid w:val="00745592"/>
    <w:rsid w:val="007478C3"/>
    <w:rsid w:val="00750452"/>
    <w:rsid w:val="00750F79"/>
    <w:rsid w:val="00751256"/>
    <w:rsid w:val="00751356"/>
    <w:rsid w:val="007514D5"/>
    <w:rsid w:val="00751DA7"/>
    <w:rsid w:val="0075297B"/>
    <w:rsid w:val="007532E6"/>
    <w:rsid w:val="007538FF"/>
    <w:rsid w:val="007546EF"/>
    <w:rsid w:val="00755602"/>
    <w:rsid w:val="007559AF"/>
    <w:rsid w:val="00755C68"/>
    <w:rsid w:val="00755F4D"/>
    <w:rsid w:val="007567AE"/>
    <w:rsid w:val="00756E11"/>
    <w:rsid w:val="00756F70"/>
    <w:rsid w:val="00756FB4"/>
    <w:rsid w:val="00757A8A"/>
    <w:rsid w:val="00760185"/>
    <w:rsid w:val="00760237"/>
    <w:rsid w:val="007605C9"/>
    <w:rsid w:val="007610FB"/>
    <w:rsid w:val="007611A1"/>
    <w:rsid w:val="00761634"/>
    <w:rsid w:val="007621CE"/>
    <w:rsid w:val="007623BC"/>
    <w:rsid w:val="007625EF"/>
    <w:rsid w:val="00762770"/>
    <w:rsid w:val="007630E5"/>
    <w:rsid w:val="007631AA"/>
    <w:rsid w:val="007631EC"/>
    <w:rsid w:val="0076450F"/>
    <w:rsid w:val="00765A50"/>
    <w:rsid w:val="00766025"/>
    <w:rsid w:val="00766430"/>
    <w:rsid w:val="0076648A"/>
    <w:rsid w:val="00766808"/>
    <w:rsid w:val="00766B7F"/>
    <w:rsid w:val="00766FDD"/>
    <w:rsid w:val="0077011B"/>
    <w:rsid w:val="007709CD"/>
    <w:rsid w:val="00770D4A"/>
    <w:rsid w:val="00770D90"/>
    <w:rsid w:val="007711FB"/>
    <w:rsid w:val="007714AB"/>
    <w:rsid w:val="00771F9E"/>
    <w:rsid w:val="00772402"/>
    <w:rsid w:val="0077255F"/>
    <w:rsid w:val="0077351A"/>
    <w:rsid w:val="007735E5"/>
    <w:rsid w:val="00773C22"/>
    <w:rsid w:val="00774045"/>
    <w:rsid w:val="007743DC"/>
    <w:rsid w:val="0077485A"/>
    <w:rsid w:val="00775059"/>
    <w:rsid w:val="00775331"/>
    <w:rsid w:val="00775C14"/>
    <w:rsid w:val="00775DCB"/>
    <w:rsid w:val="00776A0D"/>
    <w:rsid w:val="00776ED6"/>
    <w:rsid w:val="007777AC"/>
    <w:rsid w:val="00777C57"/>
    <w:rsid w:val="00777D4D"/>
    <w:rsid w:val="007805E1"/>
    <w:rsid w:val="00780DC8"/>
    <w:rsid w:val="007818E9"/>
    <w:rsid w:val="00781A14"/>
    <w:rsid w:val="007834D7"/>
    <w:rsid w:val="00783E8F"/>
    <w:rsid w:val="0078499D"/>
    <w:rsid w:val="00784A50"/>
    <w:rsid w:val="00784CBE"/>
    <w:rsid w:val="00784E92"/>
    <w:rsid w:val="00784FF3"/>
    <w:rsid w:val="007858AD"/>
    <w:rsid w:val="00785D45"/>
    <w:rsid w:val="0078761E"/>
    <w:rsid w:val="007878F4"/>
    <w:rsid w:val="0079039E"/>
    <w:rsid w:val="00790421"/>
    <w:rsid w:val="0079075C"/>
    <w:rsid w:val="0079122E"/>
    <w:rsid w:val="00792978"/>
    <w:rsid w:val="00792E53"/>
    <w:rsid w:val="0079312D"/>
    <w:rsid w:val="007935E9"/>
    <w:rsid w:val="0079361E"/>
    <w:rsid w:val="007941A9"/>
    <w:rsid w:val="007946AE"/>
    <w:rsid w:val="00794C70"/>
    <w:rsid w:val="00794F23"/>
    <w:rsid w:val="00794F5C"/>
    <w:rsid w:val="007956FF"/>
    <w:rsid w:val="00795C13"/>
    <w:rsid w:val="007A04D6"/>
    <w:rsid w:val="007A1E43"/>
    <w:rsid w:val="007A2372"/>
    <w:rsid w:val="007A25B7"/>
    <w:rsid w:val="007A29DA"/>
    <w:rsid w:val="007A2FFE"/>
    <w:rsid w:val="007A30EC"/>
    <w:rsid w:val="007A314F"/>
    <w:rsid w:val="007A3BB8"/>
    <w:rsid w:val="007A45AC"/>
    <w:rsid w:val="007A47A2"/>
    <w:rsid w:val="007A4980"/>
    <w:rsid w:val="007A4EAD"/>
    <w:rsid w:val="007A5AB9"/>
    <w:rsid w:val="007A64E7"/>
    <w:rsid w:val="007A7507"/>
    <w:rsid w:val="007B03FD"/>
    <w:rsid w:val="007B087C"/>
    <w:rsid w:val="007B16AA"/>
    <w:rsid w:val="007B293B"/>
    <w:rsid w:val="007B2E58"/>
    <w:rsid w:val="007B301A"/>
    <w:rsid w:val="007B3661"/>
    <w:rsid w:val="007B39DE"/>
    <w:rsid w:val="007B3C04"/>
    <w:rsid w:val="007B42D3"/>
    <w:rsid w:val="007B4813"/>
    <w:rsid w:val="007B4A54"/>
    <w:rsid w:val="007B4C0F"/>
    <w:rsid w:val="007B65E7"/>
    <w:rsid w:val="007B761F"/>
    <w:rsid w:val="007B78CC"/>
    <w:rsid w:val="007B7D4B"/>
    <w:rsid w:val="007C072A"/>
    <w:rsid w:val="007C0FF1"/>
    <w:rsid w:val="007C17F9"/>
    <w:rsid w:val="007C1C2D"/>
    <w:rsid w:val="007C1D70"/>
    <w:rsid w:val="007C22D6"/>
    <w:rsid w:val="007C28FF"/>
    <w:rsid w:val="007C31A5"/>
    <w:rsid w:val="007C3C5C"/>
    <w:rsid w:val="007C3FCA"/>
    <w:rsid w:val="007C46FC"/>
    <w:rsid w:val="007C558F"/>
    <w:rsid w:val="007C5F3D"/>
    <w:rsid w:val="007C5FA2"/>
    <w:rsid w:val="007C6AD6"/>
    <w:rsid w:val="007D020E"/>
    <w:rsid w:val="007D105B"/>
    <w:rsid w:val="007D1C9D"/>
    <w:rsid w:val="007D2257"/>
    <w:rsid w:val="007D3432"/>
    <w:rsid w:val="007D41AD"/>
    <w:rsid w:val="007D5C6F"/>
    <w:rsid w:val="007D642D"/>
    <w:rsid w:val="007D652F"/>
    <w:rsid w:val="007D65F4"/>
    <w:rsid w:val="007D700F"/>
    <w:rsid w:val="007D7091"/>
    <w:rsid w:val="007D7A4F"/>
    <w:rsid w:val="007D7CEE"/>
    <w:rsid w:val="007E03CB"/>
    <w:rsid w:val="007E0DED"/>
    <w:rsid w:val="007E17EF"/>
    <w:rsid w:val="007E1A18"/>
    <w:rsid w:val="007E25A1"/>
    <w:rsid w:val="007E2D3A"/>
    <w:rsid w:val="007E2E66"/>
    <w:rsid w:val="007E3856"/>
    <w:rsid w:val="007E3C8F"/>
    <w:rsid w:val="007E3EAB"/>
    <w:rsid w:val="007E4865"/>
    <w:rsid w:val="007E59D9"/>
    <w:rsid w:val="007E6C6A"/>
    <w:rsid w:val="007E7436"/>
    <w:rsid w:val="007F0639"/>
    <w:rsid w:val="007F10BB"/>
    <w:rsid w:val="007F144A"/>
    <w:rsid w:val="007F182F"/>
    <w:rsid w:val="007F24EA"/>
    <w:rsid w:val="007F2897"/>
    <w:rsid w:val="007F2BB1"/>
    <w:rsid w:val="007F2E2F"/>
    <w:rsid w:val="007F3936"/>
    <w:rsid w:val="007F3BC1"/>
    <w:rsid w:val="007F40B2"/>
    <w:rsid w:val="007F436F"/>
    <w:rsid w:val="007F47A6"/>
    <w:rsid w:val="007F4961"/>
    <w:rsid w:val="007F5042"/>
    <w:rsid w:val="007F523E"/>
    <w:rsid w:val="007F642F"/>
    <w:rsid w:val="007F6CB7"/>
    <w:rsid w:val="007F7312"/>
    <w:rsid w:val="007F75B4"/>
    <w:rsid w:val="008003CC"/>
    <w:rsid w:val="008007F2"/>
    <w:rsid w:val="00801501"/>
    <w:rsid w:val="00801876"/>
    <w:rsid w:val="008020CE"/>
    <w:rsid w:val="0080233B"/>
    <w:rsid w:val="00803084"/>
    <w:rsid w:val="00803A0D"/>
    <w:rsid w:val="00803BB1"/>
    <w:rsid w:val="00803EE3"/>
    <w:rsid w:val="008044D1"/>
    <w:rsid w:val="00804C10"/>
    <w:rsid w:val="0080586B"/>
    <w:rsid w:val="00806201"/>
    <w:rsid w:val="00806233"/>
    <w:rsid w:val="008067CE"/>
    <w:rsid w:val="00806CC9"/>
    <w:rsid w:val="00806D95"/>
    <w:rsid w:val="0080734C"/>
    <w:rsid w:val="008079B9"/>
    <w:rsid w:val="00807CC2"/>
    <w:rsid w:val="00810868"/>
    <w:rsid w:val="00810B81"/>
    <w:rsid w:val="00811AA2"/>
    <w:rsid w:val="00811DF5"/>
    <w:rsid w:val="00811FDD"/>
    <w:rsid w:val="008121E5"/>
    <w:rsid w:val="0081228E"/>
    <w:rsid w:val="008124B2"/>
    <w:rsid w:val="008125F7"/>
    <w:rsid w:val="008129AB"/>
    <w:rsid w:val="00812BC9"/>
    <w:rsid w:val="00814180"/>
    <w:rsid w:val="00815566"/>
    <w:rsid w:val="00815D74"/>
    <w:rsid w:val="00815F52"/>
    <w:rsid w:val="00816C43"/>
    <w:rsid w:val="00817762"/>
    <w:rsid w:val="008177E1"/>
    <w:rsid w:val="00817E40"/>
    <w:rsid w:val="00820720"/>
    <w:rsid w:val="00821924"/>
    <w:rsid w:val="0082312A"/>
    <w:rsid w:val="00823C7E"/>
    <w:rsid w:val="008245FF"/>
    <w:rsid w:val="00824843"/>
    <w:rsid w:val="00824A37"/>
    <w:rsid w:val="008255F6"/>
    <w:rsid w:val="008256CB"/>
    <w:rsid w:val="00825753"/>
    <w:rsid w:val="00825B2A"/>
    <w:rsid w:val="00825C28"/>
    <w:rsid w:val="0082646D"/>
    <w:rsid w:val="008270C0"/>
    <w:rsid w:val="008278AF"/>
    <w:rsid w:val="00830069"/>
    <w:rsid w:val="008307BA"/>
    <w:rsid w:val="0083097D"/>
    <w:rsid w:val="00830A9C"/>
    <w:rsid w:val="0083216D"/>
    <w:rsid w:val="0083245E"/>
    <w:rsid w:val="008327F7"/>
    <w:rsid w:val="00833433"/>
    <w:rsid w:val="0083374F"/>
    <w:rsid w:val="00833DF2"/>
    <w:rsid w:val="00834863"/>
    <w:rsid w:val="008348CA"/>
    <w:rsid w:val="00834DAD"/>
    <w:rsid w:val="0083569A"/>
    <w:rsid w:val="00835952"/>
    <w:rsid w:val="00835D65"/>
    <w:rsid w:val="0083604F"/>
    <w:rsid w:val="008363B1"/>
    <w:rsid w:val="0083651C"/>
    <w:rsid w:val="00836E29"/>
    <w:rsid w:val="00837115"/>
    <w:rsid w:val="008375CC"/>
    <w:rsid w:val="00837779"/>
    <w:rsid w:val="0084008F"/>
    <w:rsid w:val="008403EC"/>
    <w:rsid w:val="00841464"/>
    <w:rsid w:val="00841905"/>
    <w:rsid w:val="008419EA"/>
    <w:rsid w:val="00841D92"/>
    <w:rsid w:val="00841E11"/>
    <w:rsid w:val="008422BA"/>
    <w:rsid w:val="00842A7E"/>
    <w:rsid w:val="00843E9E"/>
    <w:rsid w:val="00844C99"/>
    <w:rsid w:val="008453C4"/>
    <w:rsid w:val="008455E9"/>
    <w:rsid w:val="00845AED"/>
    <w:rsid w:val="008505BA"/>
    <w:rsid w:val="00851205"/>
    <w:rsid w:val="00851707"/>
    <w:rsid w:val="008540D8"/>
    <w:rsid w:val="00854864"/>
    <w:rsid w:val="00854B28"/>
    <w:rsid w:val="00854E96"/>
    <w:rsid w:val="008557D3"/>
    <w:rsid w:val="00857054"/>
    <w:rsid w:val="00860115"/>
    <w:rsid w:val="00860696"/>
    <w:rsid w:val="00860A4E"/>
    <w:rsid w:val="0086136A"/>
    <w:rsid w:val="008616CB"/>
    <w:rsid w:val="00862435"/>
    <w:rsid w:val="008631B5"/>
    <w:rsid w:val="008659C7"/>
    <w:rsid w:val="00866506"/>
    <w:rsid w:val="00867024"/>
    <w:rsid w:val="0086733B"/>
    <w:rsid w:val="0086775D"/>
    <w:rsid w:val="0087016E"/>
    <w:rsid w:val="00871984"/>
    <w:rsid w:val="0087226E"/>
    <w:rsid w:val="00872E3C"/>
    <w:rsid w:val="00873D03"/>
    <w:rsid w:val="008745B1"/>
    <w:rsid w:val="00874DFD"/>
    <w:rsid w:val="0087545B"/>
    <w:rsid w:val="008754DB"/>
    <w:rsid w:val="00875EAE"/>
    <w:rsid w:val="0087651C"/>
    <w:rsid w:val="00877E9C"/>
    <w:rsid w:val="00877F5F"/>
    <w:rsid w:val="0088112A"/>
    <w:rsid w:val="008815B9"/>
    <w:rsid w:val="008819AD"/>
    <w:rsid w:val="00881F71"/>
    <w:rsid w:val="00882023"/>
    <w:rsid w:val="008827CF"/>
    <w:rsid w:val="00884451"/>
    <w:rsid w:val="00884B72"/>
    <w:rsid w:val="00885692"/>
    <w:rsid w:val="00885ADD"/>
    <w:rsid w:val="00886451"/>
    <w:rsid w:val="00886509"/>
    <w:rsid w:val="008865EF"/>
    <w:rsid w:val="0088721C"/>
    <w:rsid w:val="0088767E"/>
    <w:rsid w:val="00887CCD"/>
    <w:rsid w:val="008905E3"/>
    <w:rsid w:val="008908D1"/>
    <w:rsid w:val="00891C12"/>
    <w:rsid w:val="00892542"/>
    <w:rsid w:val="00893848"/>
    <w:rsid w:val="00893982"/>
    <w:rsid w:val="00893B9D"/>
    <w:rsid w:val="008942B1"/>
    <w:rsid w:val="0089481E"/>
    <w:rsid w:val="008956EB"/>
    <w:rsid w:val="00895E76"/>
    <w:rsid w:val="008967CA"/>
    <w:rsid w:val="00897347"/>
    <w:rsid w:val="00897AB1"/>
    <w:rsid w:val="00897C55"/>
    <w:rsid w:val="00897E63"/>
    <w:rsid w:val="008A02CB"/>
    <w:rsid w:val="008A0D16"/>
    <w:rsid w:val="008A1339"/>
    <w:rsid w:val="008A1F0F"/>
    <w:rsid w:val="008A22F5"/>
    <w:rsid w:val="008A2333"/>
    <w:rsid w:val="008A4147"/>
    <w:rsid w:val="008A4F38"/>
    <w:rsid w:val="008A56A0"/>
    <w:rsid w:val="008A61FB"/>
    <w:rsid w:val="008A62B0"/>
    <w:rsid w:val="008A6366"/>
    <w:rsid w:val="008A6978"/>
    <w:rsid w:val="008A739D"/>
    <w:rsid w:val="008B036B"/>
    <w:rsid w:val="008B0563"/>
    <w:rsid w:val="008B0896"/>
    <w:rsid w:val="008B110E"/>
    <w:rsid w:val="008B138A"/>
    <w:rsid w:val="008B1530"/>
    <w:rsid w:val="008B180E"/>
    <w:rsid w:val="008B1846"/>
    <w:rsid w:val="008B1B8F"/>
    <w:rsid w:val="008B28DF"/>
    <w:rsid w:val="008B2C58"/>
    <w:rsid w:val="008B2FEE"/>
    <w:rsid w:val="008B30C2"/>
    <w:rsid w:val="008B413A"/>
    <w:rsid w:val="008B462C"/>
    <w:rsid w:val="008B47E6"/>
    <w:rsid w:val="008B4C52"/>
    <w:rsid w:val="008B4C77"/>
    <w:rsid w:val="008B4F94"/>
    <w:rsid w:val="008B5174"/>
    <w:rsid w:val="008B5545"/>
    <w:rsid w:val="008B5596"/>
    <w:rsid w:val="008B5B20"/>
    <w:rsid w:val="008B5EC7"/>
    <w:rsid w:val="008B6A12"/>
    <w:rsid w:val="008B6D1A"/>
    <w:rsid w:val="008B7F1A"/>
    <w:rsid w:val="008C08BD"/>
    <w:rsid w:val="008C14DD"/>
    <w:rsid w:val="008C1594"/>
    <w:rsid w:val="008C18CF"/>
    <w:rsid w:val="008C23E2"/>
    <w:rsid w:val="008C27F2"/>
    <w:rsid w:val="008C3787"/>
    <w:rsid w:val="008C4B13"/>
    <w:rsid w:val="008C4E65"/>
    <w:rsid w:val="008C5905"/>
    <w:rsid w:val="008C5978"/>
    <w:rsid w:val="008C5DBE"/>
    <w:rsid w:val="008C5F1F"/>
    <w:rsid w:val="008C5F66"/>
    <w:rsid w:val="008C638A"/>
    <w:rsid w:val="008C6737"/>
    <w:rsid w:val="008C6854"/>
    <w:rsid w:val="008C68D7"/>
    <w:rsid w:val="008C69E2"/>
    <w:rsid w:val="008C6BF9"/>
    <w:rsid w:val="008C711A"/>
    <w:rsid w:val="008C711E"/>
    <w:rsid w:val="008C748C"/>
    <w:rsid w:val="008C7D1E"/>
    <w:rsid w:val="008D0C5F"/>
    <w:rsid w:val="008D0D21"/>
    <w:rsid w:val="008D0EE9"/>
    <w:rsid w:val="008D1BBE"/>
    <w:rsid w:val="008D206D"/>
    <w:rsid w:val="008D231A"/>
    <w:rsid w:val="008D29C5"/>
    <w:rsid w:val="008D2B58"/>
    <w:rsid w:val="008D2BE5"/>
    <w:rsid w:val="008D3A4E"/>
    <w:rsid w:val="008D3DC1"/>
    <w:rsid w:val="008D4242"/>
    <w:rsid w:val="008D45AF"/>
    <w:rsid w:val="008D492A"/>
    <w:rsid w:val="008D540B"/>
    <w:rsid w:val="008D55B0"/>
    <w:rsid w:val="008D59CA"/>
    <w:rsid w:val="008D622D"/>
    <w:rsid w:val="008D6243"/>
    <w:rsid w:val="008D62E1"/>
    <w:rsid w:val="008D658F"/>
    <w:rsid w:val="008D6747"/>
    <w:rsid w:val="008D781C"/>
    <w:rsid w:val="008E0723"/>
    <w:rsid w:val="008E0EEA"/>
    <w:rsid w:val="008E0EF0"/>
    <w:rsid w:val="008E0F80"/>
    <w:rsid w:val="008E25BF"/>
    <w:rsid w:val="008E28D6"/>
    <w:rsid w:val="008E2B32"/>
    <w:rsid w:val="008E2BDA"/>
    <w:rsid w:val="008E2D75"/>
    <w:rsid w:val="008E3253"/>
    <w:rsid w:val="008E4242"/>
    <w:rsid w:val="008E4509"/>
    <w:rsid w:val="008E492D"/>
    <w:rsid w:val="008E57BC"/>
    <w:rsid w:val="008E5B71"/>
    <w:rsid w:val="008E6EC4"/>
    <w:rsid w:val="008E748B"/>
    <w:rsid w:val="008E75C0"/>
    <w:rsid w:val="008E76CF"/>
    <w:rsid w:val="008F0464"/>
    <w:rsid w:val="008F04D9"/>
    <w:rsid w:val="008F078D"/>
    <w:rsid w:val="008F0BD3"/>
    <w:rsid w:val="008F1A36"/>
    <w:rsid w:val="008F262D"/>
    <w:rsid w:val="008F284E"/>
    <w:rsid w:val="008F2B9C"/>
    <w:rsid w:val="008F2D14"/>
    <w:rsid w:val="008F2FAC"/>
    <w:rsid w:val="008F396B"/>
    <w:rsid w:val="008F39B2"/>
    <w:rsid w:val="008F4061"/>
    <w:rsid w:val="008F4377"/>
    <w:rsid w:val="008F50DD"/>
    <w:rsid w:val="008F5357"/>
    <w:rsid w:val="008F5358"/>
    <w:rsid w:val="008F63DD"/>
    <w:rsid w:val="008F732C"/>
    <w:rsid w:val="008F75C1"/>
    <w:rsid w:val="009007B1"/>
    <w:rsid w:val="00901E97"/>
    <w:rsid w:val="009021C2"/>
    <w:rsid w:val="00902649"/>
    <w:rsid w:val="00902B91"/>
    <w:rsid w:val="00902CA9"/>
    <w:rsid w:val="00902CD0"/>
    <w:rsid w:val="0090359A"/>
    <w:rsid w:val="0090382C"/>
    <w:rsid w:val="00903847"/>
    <w:rsid w:val="009039CD"/>
    <w:rsid w:val="00903E28"/>
    <w:rsid w:val="0090418D"/>
    <w:rsid w:val="00904786"/>
    <w:rsid w:val="00904D66"/>
    <w:rsid w:val="009062F8"/>
    <w:rsid w:val="00907431"/>
    <w:rsid w:val="009078AF"/>
    <w:rsid w:val="00907BC0"/>
    <w:rsid w:val="00907FE6"/>
    <w:rsid w:val="00911492"/>
    <w:rsid w:val="00911828"/>
    <w:rsid w:val="0091191D"/>
    <w:rsid w:val="00911C95"/>
    <w:rsid w:val="00911D05"/>
    <w:rsid w:val="009120C9"/>
    <w:rsid w:val="0091257E"/>
    <w:rsid w:val="00912C38"/>
    <w:rsid w:val="0091321A"/>
    <w:rsid w:val="00913A11"/>
    <w:rsid w:val="00913BC3"/>
    <w:rsid w:val="00913D71"/>
    <w:rsid w:val="009146C3"/>
    <w:rsid w:val="00914720"/>
    <w:rsid w:val="009149CC"/>
    <w:rsid w:val="00914F62"/>
    <w:rsid w:val="009157CE"/>
    <w:rsid w:val="00915803"/>
    <w:rsid w:val="0091632D"/>
    <w:rsid w:val="00916468"/>
    <w:rsid w:val="009167A4"/>
    <w:rsid w:val="009168A7"/>
    <w:rsid w:val="009170EE"/>
    <w:rsid w:val="009173E6"/>
    <w:rsid w:val="0091765D"/>
    <w:rsid w:val="00917AF8"/>
    <w:rsid w:val="009216AB"/>
    <w:rsid w:val="009218A8"/>
    <w:rsid w:val="00922077"/>
    <w:rsid w:val="009227C9"/>
    <w:rsid w:val="00922859"/>
    <w:rsid w:val="00922E0D"/>
    <w:rsid w:val="00922F05"/>
    <w:rsid w:val="009236FE"/>
    <w:rsid w:val="00923C60"/>
    <w:rsid w:val="00924099"/>
    <w:rsid w:val="009243E3"/>
    <w:rsid w:val="00924741"/>
    <w:rsid w:val="009257B8"/>
    <w:rsid w:val="00925D97"/>
    <w:rsid w:val="00926110"/>
    <w:rsid w:val="009266F8"/>
    <w:rsid w:val="00926B45"/>
    <w:rsid w:val="00926C1F"/>
    <w:rsid w:val="00927106"/>
    <w:rsid w:val="009278B6"/>
    <w:rsid w:val="00927A5F"/>
    <w:rsid w:val="0093118F"/>
    <w:rsid w:val="0093121D"/>
    <w:rsid w:val="00931263"/>
    <w:rsid w:val="00931AC0"/>
    <w:rsid w:val="00931F5D"/>
    <w:rsid w:val="0093215B"/>
    <w:rsid w:val="00932387"/>
    <w:rsid w:val="00932426"/>
    <w:rsid w:val="00932B05"/>
    <w:rsid w:val="00933243"/>
    <w:rsid w:val="00933752"/>
    <w:rsid w:val="00933B59"/>
    <w:rsid w:val="00933CF3"/>
    <w:rsid w:val="0093550E"/>
    <w:rsid w:val="009357FC"/>
    <w:rsid w:val="0093584A"/>
    <w:rsid w:val="00935940"/>
    <w:rsid w:val="00935C04"/>
    <w:rsid w:val="009362D3"/>
    <w:rsid w:val="009367CA"/>
    <w:rsid w:val="009373DD"/>
    <w:rsid w:val="00937D60"/>
    <w:rsid w:val="00940AB5"/>
    <w:rsid w:val="00941069"/>
    <w:rsid w:val="0094191E"/>
    <w:rsid w:val="0094227F"/>
    <w:rsid w:val="0094254D"/>
    <w:rsid w:val="009427CC"/>
    <w:rsid w:val="009444F5"/>
    <w:rsid w:val="009450D1"/>
    <w:rsid w:val="009469FB"/>
    <w:rsid w:val="009500AC"/>
    <w:rsid w:val="00950321"/>
    <w:rsid w:val="00951136"/>
    <w:rsid w:val="009516D2"/>
    <w:rsid w:val="00951B4F"/>
    <w:rsid w:val="00951E10"/>
    <w:rsid w:val="00952BA5"/>
    <w:rsid w:val="009531F2"/>
    <w:rsid w:val="00953B39"/>
    <w:rsid w:val="00954930"/>
    <w:rsid w:val="009554BB"/>
    <w:rsid w:val="00955C22"/>
    <w:rsid w:val="009561C3"/>
    <w:rsid w:val="00956626"/>
    <w:rsid w:val="00956633"/>
    <w:rsid w:val="009567E8"/>
    <w:rsid w:val="009573C4"/>
    <w:rsid w:val="0095775D"/>
    <w:rsid w:val="009578EB"/>
    <w:rsid w:val="00960E54"/>
    <w:rsid w:val="00962913"/>
    <w:rsid w:val="00962D2A"/>
    <w:rsid w:val="00962FA4"/>
    <w:rsid w:val="009632D1"/>
    <w:rsid w:val="00963468"/>
    <w:rsid w:val="00964826"/>
    <w:rsid w:val="009648F8"/>
    <w:rsid w:val="00964B82"/>
    <w:rsid w:val="00964EF0"/>
    <w:rsid w:val="00964F30"/>
    <w:rsid w:val="00964FA7"/>
    <w:rsid w:val="00965398"/>
    <w:rsid w:val="00965517"/>
    <w:rsid w:val="0096685C"/>
    <w:rsid w:val="00966F4E"/>
    <w:rsid w:val="009672DB"/>
    <w:rsid w:val="0096754C"/>
    <w:rsid w:val="009679CD"/>
    <w:rsid w:val="00967AD6"/>
    <w:rsid w:val="0097006D"/>
    <w:rsid w:val="00971119"/>
    <w:rsid w:val="00971D7B"/>
    <w:rsid w:val="00972360"/>
    <w:rsid w:val="00972C99"/>
    <w:rsid w:val="00972F8C"/>
    <w:rsid w:val="00973A95"/>
    <w:rsid w:val="009746A5"/>
    <w:rsid w:val="00975D4C"/>
    <w:rsid w:val="009762C7"/>
    <w:rsid w:val="0097630C"/>
    <w:rsid w:val="009766AB"/>
    <w:rsid w:val="00976A04"/>
    <w:rsid w:val="00976B59"/>
    <w:rsid w:val="00977120"/>
    <w:rsid w:val="009779EC"/>
    <w:rsid w:val="00977A4D"/>
    <w:rsid w:val="00977B2A"/>
    <w:rsid w:val="00977D2D"/>
    <w:rsid w:val="00977ED7"/>
    <w:rsid w:val="00980ED4"/>
    <w:rsid w:val="00980F70"/>
    <w:rsid w:val="0098112D"/>
    <w:rsid w:val="0098178A"/>
    <w:rsid w:val="00981AF4"/>
    <w:rsid w:val="0098239F"/>
    <w:rsid w:val="00982458"/>
    <w:rsid w:val="009829B8"/>
    <w:rsid w:val="00982CAE"/>
    <w:rsid w:val="0098415F"/>
    <w:rsid w:val="00984547"/>
    <w:rsid w:val="00984FB4"/>
    <w:rsid w:val="009854AD"/>
    <w:rsid w:val="00985613"/>
    <w:rsid w:val="00986C43"/>
    <w:rsid w:val="009879B9"/>
    <w:rsid w:val="00987AAD"/>
    <w:rsid w:val="00987C26"/>
    <w:rsid w:val="00987C2E"/>
    <w:rsid w:val="00987F11"/>
    <w:rsid w:val="00987FC1"/>
    <w:rsid w:val="009905ED"/>
    <w:rsid w:val="00990B5F"/>
    <w:rsid w:val="00991200"/>
    <w:rsid w:val="00991618"/>
    <w:rsid w:val="0099221C"/>
    <w:rsid w:val="0099266D"/>
    <w:rsid w:val="00992AFA"/>
    <w:rsid w:val="00992D27"/>
    <w:rsid w:val="00992FB3"/>
    <w:rsid w:val="009930F8"/>
    <w:rsid w:val="00993352"/>
    <w:rsid w:val="0099509F"/>
    <w:rsid w:val="00996BB6"/>
    <w:rsid w:val="00996D93"/>
    <w:rsid w:val="009970A0"/>
    <w:rsid w:val="00997703"/>
    <w:rsid w:val="00997DB1"/>
    <w:rsid w:val="009A00A2"/>
    <w:rsid w:val="009A081E"/>
    <w:rsid w:val="009A0B95"/>
    <w:rsid w:val="009A0EAF"/>
    <w:rsid w:val="009A10C9"/>
    <w:rsid w:val="009A167A"/>
    <w:rsid w:val="009A1E3D"/>
    <w:rsid w:val="009A2637"/>
    <w:rsid w:val="009A2DDE"/>
    <w:rsid w:val="009A331D"/>
    <w:rsid w:val="009A38B6"/>
    <w:rsid w:val="009A406E"/>
    <w:rsid w:val="009A4328"/>
    <w:rsid w:val="009A455D"/>
    <w:rsid w:val="009A45C4"/>
    <w:rsid w:val="009A4A86"/>
    <w:rsid w:val="009A4C8E"/>
    <w:rsid w:val="009A4F3A"/>
    <w:rsid w:val="009A5D8D"/>
    <w:rsid w:val="009A6530"/>
    <w:rsid w:val="009A7AFB"/>
    <w:rsid w:val="009B0B45"/>
    <w:rsid w:val="009B126B"/>
    <w:rsid w:val="009B1730"/>
    <w:rsid w:val="009B1B33"/>
    <w:rsid w:val="009B2A2A"/>
    <w:rsid w:val="009B30C9"/>
    <w:rsid w:val="009B36C8"/>
    <w:rsid w:val="009B3EBF"/>
    <w:rsid w:val="009B41AE"/>
    <w:rsid w:val="009B4657"/>
    <w:rsid w:val="009B4C8D"/>
    <w:rsid w:val="009B4F5A"/>
    <w:rsid w:val="009B52B7"/>
    <w:rsid w:val="009B5B7B"/>
    <w:rsid w:val="009B743C"/>
    <w:rsid w:val="009B7A81"/>
    <w:rsid w:val="009B7B06"/>
    <w:rsid w:val="009B7E5A"/>
    <w:rsid w:val="009C00C4"/>
    <w:rsid w:val="009C11A2"/>
    <w:rsid w:val="009C2BF5"/>
    <w:rsid w:val="009C35B7"/>
    <w:rsid w:val="009C3E18"/>
    <w:rsid w:val="009C4061"/>
    <w:rsid w:val="009C44C2"/>
    <w:rsid w:val="009C4829"/>
    <w:rsid w:val="009C50AA"/>
    <w:rsid w:val="009C5BF3"/>
    <w:rsid w:val="009C6CFC"/>
    <w:rsid w:val="009C7B93"/>
    <w:rsid w:val="009C7C1B"/>
    <w:rsid w:val="009C7DA3"/>
    <w:rsid w:val="009D09D3"/>
    <w:rsid w:val="009D10B7"/>
    <w:rsid w:val="009D1B85"/>
    <w:rsid w:val="009D22CF"/>
    <w:rsid w:val="009D234E"/>
    <w:rsid w:val="009D2667"/>
    <w:rsid w:val="009D3620"/>
    <w:rsid w:val="009D3FD0"/>
    <w:rsid w:val="009D401F"/>
    <w:rsid w:val="009D50D7"/>
    <w:rsid w:val="009D5638"/>
    <w:rsid w:val="009D5740"/>
    <w:rsid w:val="009D5C4C"/>
    <w:rsid w:val="009D7589"/>
    <w:rsid w:val="009D76EF"/>
    <w:rsid w:val="009D7971"/>
    <w:rsid w:val="009D7B90"/>
    <w:rsid w:val="009E1990"/>
    <w:rsid w:val="009E1AC8"/>
    <w:rsid w:val="009E1EAC"/>
    <w:rsid w:val="009E2255"/>
    <w:rsid w:val="009E2264"/>
    <w:rsid w:val="009E3343"/>
    <w:rsid w:val="009E4589"/>
    <w:rsid w:val="009E5013"/>
    <w:rsid w:val="009E5FB9"/>
    <w:rsid w:val="009E656C"/>
    <w:rsid w:val="009E7C74"/>
    <w:rsid w:val="009F0514"/>
    <w:rsid w:val="009F0C63"/>
    <w:rsid w:val="009F17FA"/>
    <w:rsid w:val="009F18F8"/>
    <w:rsid w:val="009F23A3"/>
    <w:rsid w:val="009F2B08"/>
    <w:rsid w:val="009F3ACB"/>
    <w:rsid w:val="009F3BAB"/>
    <w:rsid w:val="009F40D6"/>
    <w:rsid w:val="009F4ECA"/>
    <w:rsid w:val="009F5114"/>
    <w:rsid w:val="009F62B1"/>
    <w:rsid w:val="009F65CB"/>
    <w:rsid w:val="009F66E4"/>
    <w:rsid w:val="009F6EC0"/>
    <w:rsid w:val="009F717C"/>
    <w:rsid w:val="009F7C76"/>
    <w:rsid w:val="009F7CCB"/>
    <w:rsid w:val="00A01A6E"/>
    <w:rsid w:val="00A01A84"/>
    <w:rsid w:val="00A01E47"/>
    <w:rsid w:val="00A03C64"/>
    <w:rsid w:val="00A04776"/>
    <w:rsid w:val="00A047DF"/>
    <w:rsid w:val="00A05464"/>
    <w:rsid w:val="00A05EF8"/>
    <w:rsid w:val="00A06012"/>
    <w:rsid w:val="00A0619F"/>
    <w:rsid w:val="00A06914"/>
    <w:rsid w:val="00A07388"/>
    <w:rsid w:val="00A07968"/>
    <w:rsid w:val="00A10A60"/>
    <w:rsid w:val="00A11003"/>
    <w:rsid w:val="00A11366"/>
    <w:rsid w:val="00A1146A"/>
    <w:rsid w:val="00A1170B"/>
    <w:rsid w:val="00A128E6"/>
    <w:rsid w:val="00A13314"/>
    <w:rsid w:val="00A135A5"/>
    <w:rsid w:val="00A13700"/>
    <w:rsid w:val="00A13915"/>
    <w:rsid w:val="00A13CDD"/>
    <w:rsid w:val="00A1485F"/>
    <w:rsid w:val="00A14F73"/>
    <w:rsid w:val="00A15A19"/>
    <w:rsid w:val="00A15CF6"/>
    <w:rsid w:val="00A15D1B"/>
    <w:rsid w:val="00A15DF2"/>
    <w:rsid w:val="00A16003"/>
    <w:rsid w:val="00A1667F"/>
    <w:rsid w:val="00A20188"/>
    <w:rsid w:val="00A20499"/>
    <w:rsid w:val="00A20A0B"/>
    <w:rsid w:val="00A2107E"/>
    <w:rsid w:val="00A216E3"/>
    <w:rsid w:val="00A217D1"/>
    <w:rsid w:val="00A21A88"/>
    <w:rsid w:val="00A227AF"/>
    <w:rsid w:val="00A22D32"/>
    <w:rsid w:val="00A2317C"/>
    <w:rsid w:val="00A23CB7"/>
    <w:rsid w:val="00A2404F"/>
    <w:rsid w:val="00A24066"/>
    <w:rsid w:val="00A243C9"/>
    <w:rsid w:val="00A2478D"/>
    <w:rsid w:val="00A24BA7"/>
    <w:rsid w:val="00A24E8A"/>
    <w:rsid w:val="00A2512D"/>
    <w:rsid w:val="00A25212"/>
    <w:rsid w:val="00A2578A"/>
    <w:rsid w:val="00A257EB"/>
    <w:rsid w:val="00A260F5"/>
    <w:rsid w:val="00A268DB"/>
    <w:rsid w:val="00A2775C"/>
    <w:rsid w:val="00A27AEE"/>
    <w:rsid w:val="00A301CF"/>
    <w:rsid w:val="00A301D4"/>
    <w:rsid w:val="00A3027C"/>
    <w:rsid w:val="00A3066E"/>
    <w:rsid w:val="00A30E77"/>
    <w:rsid w:val="00A316ED"/>
    <w:rsid w:val="00A318BE"/>
    <w:rsid w:val="00A31943"/>
    <w:rsid w:val="00A31A6C"/>
    <w:rsid w:val="00A31C4C"/>
    <w:rsid w:val="00A3277D"/>
    <w:rsid w:val="00A32CF3"/>
    <w:rsid w:val="00A33AFA"/>
    <w:rsid w:val="00A33F78"/>
    <w:rsid w:val="00A34148"/>
    <w:rsid w:val="00A348EE"/>
    <w:rsid w:val="00A34D81"/>
    <w:rsid w:val="00A35009"/>
    <w:rsid w:val="00A3507E"/>
    <w:rsid w:val="00A35D7C"/>
    <w:rsid w:val="00A36FF1"/>
    <w:rsid w:val="00A37730"/>
    <w:rsid w:val="00A37DDE"/>
    <w:rsid w:val="00A41547"/>
    <w:rsid w:val="00A42187"/>
    <w:rsid w:val="00A42DB6"/>
    <w:rsid w:val="00A43018"/>
    <w:rsid w:val="00A43130"/>
    <w:rsid w:val="00A43A15"/>
    <w:rsid w:val="00A43C90"/>
    <w:rsid w:val="00A44A7C"/>
    <w:rsid w:val="00A44F3F"/>
    <w:rsid w:val="00A45119"/>
    <w:rsid w:val="00A452DD"/>
    <w:rsid w:val="00A46D20"/>
    <w:rsid w:val="00A47D03"/>
    <w:rsid w:val="00A5019E"/>
    <w:rsid w:val="00A5062F"/>
    <w:rsid w:val="00A506C8"/>
    <w:rsid w:val="00A51F3B"/>
    <w:rsid w:val="00A527BE"/>
    <w:rsid w:val="00A52D1E"/>
    <w:rsid w:val="00A5313E"/>
    <w:rsid w:val="00A532A0"/>
    <w:rsid w:val="00A5364B"/>
    <w:rsid w:val="00A537CF"/>
    <w:rsid w:val="00A5432B"/>
    <w:rsid w:val="00A552F0"/>
    <w:rsid w:val="00A55474"/>
    <w:rsid w:val="00A5575D"/>
    <w:rsid w:val="00A55FD6"/>
    <w:rsid w:val="00A560BA"/>
    <w:rsid w:val="00A5641C"/>
    <w:rsid w:val="00A56787"/>
    <w:rsid w:val="00A56C43"/>
    <w:rsid w:val="00A56E1D"/>
    <w:rsid w:val="00A57A86"/>
    <w:rsid w:val="00A60654"/>
    <w:rsid w:val="00A60865"/>
    <w:rsid w:val="00A60C98"/>
    <w:rsid w:val="00A613B9"/>
    <w:rsid w:val="00A6176E"/>
    <w:rsid w:val="00A619CE"/>
    <w:rsid w:val="00A61BCC"/>
    <w:rsid w:val="00A61E6F"/>
    <w:rsid w:val="00A62185"/>
    <w:rsid w:val="00A623B2"/>
    <w:rsid w:val="00A6289A"/>
    <w:rsid w:val="00A63971"/>
    <w:rsid w:val="00A63A8F"/>
    <w:rsid w:val="00A64E2D"/>
    <w:rsid w:val="00A6601F"/>
    <w:rsid w:val="00A66036"/>
    <w:rsid w:val="00A6744F"/>
    <w:rsid w:val="00A6766C"/>
    <w:rsid w:val="00A70CB9"/>
    <w:rsid w:val="00A72598"/>
    <w:rsid w:val="00A727B4"/>
    <w:rsid w:val="00A72BDC"/>
    <w:rsid w:val="00A72CDB"/>
    <w:rsid w:val="00A73487"/>
    <w:rsid w:val="00A734E3"/>
    <w:rsid w:val="00A73874"/>
    <w:rsid w:val="00A74286"/>
    <w:rsid w:val="00A74EF7"/>
    <w:rsid w:val="00A75D82"/>
    <w:rsid w:val="00A76159"/>
    <w:rsid w:val="00A76627"/>
    <w:rsid w:val="00A76F92"/>
    <w:rsid w:val="00A77404"/>
    <w:rsid w:val="00A77562"/>
    <w:rsid w:val="00A77591"/>
    <w:rsid w:val="00A77E19"/>
    <w:rsid w:val="00A800E8"/>
    <w:rsid w:val="00A80CFF"/>
    <w:rsid w:val="00A80EEE"/>
    <w:rsid w:val="00A81175"/>
    <w:rsid w:val="00A81516"/>
    <w:rsid w:val="00A822C5"/>
    <w:rsid w:val="00A82552"/>
    <w:rsid w:val="00A82A0E"/>
    <w:rsid w:val="00A82E4B"/>
    <w:rsid w:val="00A83612"/>
    <w:rsid w:val="00A8470C"/>
    <w:rsid w:val="00A852DE"/>
    <w:rsid w:val="00A85460"/>
    <w:rsid w:val="00A85593"/>
    <w:rsid w:val="00A858F6"/>
    <w:rsid w:val="00A85937"/>
    <w:rsid w:val="00A8600C"/>
    <w:rsid w:val="00A868FE"/>
    <w:rsid w:val="00A86BA7"/>
    <w:rsid w:val="00A871AC"/>
    <w:rsid w:val="00A878A2"/>
    <w:rsid w:val="00A90699"/>
    <w:rsid w:val="00A90AA8"/>
    <w:rsid w:val="00A90EED"/>
    <w:rsid w:val="00A91396"/>
    <w:rsid w:val="00A9216B"/>
    <w:rsid w:val="00A92209"/>
    <w:rsid w:val="00A92BF8"/>
    <w:rsid w:val="00A93398"/>
    <w:rsid w:val="00A9377C"/>
    <w:rsid w:val="00A93C7E"/>
    <w:rsid w:val="00A93DD3"/>
    <w:rsid w:val="00A94291"/>
    <w:rsid w:val="00A95914"/>
    <w:rsid w:val="00A95F86"/>
    <w:rsid w:val="00A96671"/>
    <w:rsid w:val="00A97614"/>
    <w:rsid w:val="00AA0DE7"/>
    <w:rsid w:val="00AA2256"/>
    <w:rsid w:val="00AA2379"/>
    <w:rsid w:val="00AA2392"/>
    <w:rsid w:val="00AA2D78"/>
    <w:rsid w:val="00AA2E2F"/>
    <w:rsid w:val="00AA3CB9"/>
    <w:rsid w:val="00AA444E"/>
    <w:rsid w:val="00AA4D5A"/>
    <w:rsid w:val="00AA52C6"/>
    <w:rsid w:val="00AA54DE"/>
    <w:rsid w:val="00AA5740"/>
    <w:rsid w:val="00AA5E94"/>
    <w:rsid w:val="00AA6687"/>
    <w:rsid w:val="00AA77D0"/>
    <w:rsid w:val="00AB04A2"/>
    <w:rsid w:val="00AB0852"/>
    <w:rsid w:val="00AB16A9"/>
    <w:rsid w:val="00AB1FC4"/>
    <w:rsid w:val="00AB2FE1"/>
    <w:rsid w:val="00AB321E"/>
    <w:rsid w:val="00AB333B"/>
    <w:rsid w:val="00AB363C"/>
    <w:rsid w:val="00AB409D"/>
    <w:rsid w:val="00AB48A7"/>
    <w:rsid w:val="00AB4972"/>
    <w:rsid w:val="00AB4C2D"/>
    <w:rsid w:val="00AB5421"/>
    <w:rsid w:val="00AB5E95"/>
    <w:rsid w:val="00AB61E3"/>
    <w:rsid w:val="00AB66CE"/>
    <w:rsid w:val="00AB6872"/>
    <w:rsid w:val="00AB6AC5"/>
    <w:rsid w:val="00AB6C30"/>
    <w:rsid w:val="00AB6E32"/>
    <w:rsid w:val="00AB751C"/>
    <w:rsid w:val="00AB774C"/>
    <w:rsid w:val="00AB788C"/>
    <w:rsid w:val="00AC01EC"/>
    <w:rsid w:val="00AC0322"/>
    <w:rsid w:val="00AC0B99"/>
    <w:rsid w:val="00AC128F"/>
    <w:rsid w:val="00AC15DF"/>
    <w:rsid w:val="00AC18D2"/>
    <w:rsid w:val="00AC3026"/>
    <w:rsid w:val="00AC3785"/>
    <w:rsid w:val="00AC3951"/>
    <w:rsid w:val="00AC4383"/>
    <w:rsid w:val="00AC526B"/>
    <w:rsid w:val="00AC58BF"/>
    <w:rsid w:val="00AC6461"/>
    <w:rsid w:val="00AC67CB"/>
    <w:rsid w:val="00AC6B24"/>
    <w:rsid w:val="00AC6B27"/>
    <w:rsid w:val="00AC757F"/>
    <w:rsid w:val="00AC762B"/>
    <w:rsid w:val="00AD1AD9"/>
    <w:rsid w:val="00AD1D82"/>
    <w:rsid w:val="00AD290C"/>
    <w:rsid w:val="00AD39F8"/>
    <w:rsid w:val="00AD619B"/>
    <w:rsid w:val="00AD65B5"/>
    <w:rsid w:val="00AD6904"/>
    <w:rsid w:val="00AD7554"/>
    <w:rsid w:val="00AD762D"/>
    <w:rsid w:val="00AE06FF"/>
    <w:rsid w:val="00AE0A6B"/>
    <w:rsid w:val="00AE1838"/>
    <w:rsid w:val="00AE1A3A"/>
    <w:rsid w:val="00AE1BD4"/>
    <w:rsid w:val="00AE218B"/>
    <w:rsid w:val="00AE2B04"/>
    <w:rsid w:val="00AE2C0A"/>
    <w:rsid w:val="00AE383A"/>
    <w:rsid w:val="00AE4189"/>
    <w:rsid w:val="00AE4299"/>
    <w:rsid w:val="00AE429B"/>
    <w:rsid w:val="00AE474B"/>
    <w:rsid w:val="00AE494D"/>
    <w:rsid w:val="00AE4D59"/>
    <w:rsid w:val="00AE52D0"/>
    <w:rsid w:val="00AE5E21"/>
    <w:rsid w:val="00AE666C"/>
    <w:rsid w:val="00AE77A5"/>
    <w:rsid w:val="00AF0308"/>
    <w:rsid w:val="00AF0516"/>
    <w:rsid w:val="00AF10F1"/>
    <w:rsid w:val="00AF1771"/>
    <w:rsid w:val="00AF1AB5"/>
    <w:rsid w:val="00AF26D2"/>
    <w:rsid w:val="00AF34D2"/>
    <w:rsid w:val="00AF36C6"/>
    <w:rsid w:val="00AF3837"/>
    <w:rsid w:val="00AF3A26"/>
    <w:rsid w:val="00AF4854"/>
    <w:rsid w:val="00AF4F18"/>
    <w:rsid w:val="00AF505D"/>
    <w:rsid w:val="00AF51A0"/>
    <w:rsid w:val="00AF5507"/>
    <w:rsid w:val="00AF55CE"/>
    <w:rsid w:val="00AF578B"/>
    <w:rsid w:val="00AF6EB5"/>
    <w:rsid w:val="00AF7167"/>
    <w:rsid w:val="00AF7E5D"/>
    <w:rsid w:val="00AF7EA6"/>
    <w:rsid w:val="00B0007C"/>
    <w:rsid w:val="00B01123"/>
    <w:rsid w:val="00B012F2"/>
    <w:rsid w:val="00B01B3B"/>
    <w:rsid w:val="00B01BE2"/>
    <w:rsid w:val="00B01ED9"/>
    <w:rsid w:val="00B03305"/>
    <w:rsid w:val="00B0359A"/>
    <w:rsid w:val="00B03810"/>
    <w:rsid w:val="00B03905"/>
    <w:rsid w:val="00B03941"/>
    <w:rsid w:val="00B039E5"/>
    <w:rsid w:val="00B04204"/>
    <w:rsid w:val="00B0461A"/>
    <w:rsid w:val="00B049D8"/>
    <w:rsid w:val="00B04B81"/>
    <w:rsid w:val="00B04D45"/>
    <w:rsid w:val="00B05A2E"/>
    <w:rsid w:val="00B06101"/>
    <w:rsid w:val="00B06421"/>
    <w:rsid w:val="00B0671D"/>
    <w:rsid w:val="00B07094"/>
    <w:rsid w:val="00B070FE"/>
    <w:rsid w:val="00B07428"/>
    <w:rsid w:val="00B07B62"/>
    <w:rsid w:val="00B07BEB"/>
    <w:rsid w:val="00B101C0"/>
    <w:rsid w:val="00B1042D"/>
    <w:rsid w:val="00B107C4"/>
    <w:rsid w:val="00B113AC"/>
    <w:rsid w:val="00B11A3F"/>
    <w:rsid w:val="00B12EBB"/>
    <w:rsid w:val="00B131F8"/>
    <w:rsid w:val="00B1344D"/>
    <w:rsid w:val="00B134C2"/>
    <w:rsid w:val="00B13B42"/>
    <w:rsid w:val="00B13B4A"/>
    <w:rsid w:val="00B1527C"/>
    <w:rsid w:val="00B152FE"/>
    <w:rsid w:val="00B16694"/>
    <w:rsid w:val="00B16715"/>
    <w:rsid w:val="00B167E4"/>
    <w:rsid w:val="00B16EDD"/>
    <w:rsid w:val="00B17619"/>
    <w:rsid w:val="00B17694"/>
    <w:rsid w:val="00B2090A"/>
    <w:rsid w:val="00B20EB2"/>
    <w:rsid w:val="00B210FC"/>
    <w:rsid w:val="00B22241"/>
    <w:rsid w:val="00B23322"/>
    <w:rsid w:val="00B23B8B"/>
    <w:rsid w:val="00B23D3C"/>
    <w:rsid w:val="00B249CF"/>
    <w:rsid w:val="00B24A3B"/>
    <w:rsid w:val="00B25230"/>
    <w:rsid w:val="00B2534C"/>
    <w:rsid w:val="00B253E9"/>
    <w:rsid w:val="00B26857"/>
    <w:rsid w:val="00B26A08"/>
    <w:rsid w:val="00B274F9"/>
    <w:rsid w:val="00B27B47"/>
    <w:rsid w:val="00B30017"/>
    <w:rsid w:val="00B3022D"/>
    <w:rsid w:val="00B30D4D"/>
    <w:rsid w:val="00B310BD"/>
    <w:rsid w:val="00B31921"/>
    <w:rsid w:val="00B31E8B"/>
    <w:rsid w:val="00B31F04"/>
    <w:rsid w:val="00B3277B"/>
    <w:rsid w:val="00B33A5D"/>
    <w:rsid w:val="00B34337"/>
    <w:rsid w:val="00B34531"/>
    <w:rsid w:val="00B3502F"/>
    <w:rsid w:val="00B35868"/>
    <w:rsid w:val="00B36676"/>
    <w:rsid w:val="00B374C6"/>
    <w:rsid w:val="00B3782F"/>
    <w:rsid w:val="00B40034"/>
    <w:rsid w:val="00B407F4"/>
    <w:rsid w:val="00B4272C"/>
    <w:rsid w:val="00B42B58"/>
    <w:rsid w:val="00B42CD6"/>
    <w:rsid w:val="00B43B2E"/>
    <w:rsid w:val="00B445AD"/>
    <w:rsid w:val="00B4462A"/>
    <w:rsid w:val="00B47143"/>
    <w:rsid w:val="00B4733D"/>
    <w:rsid w:val="00B479FC"/>
    <w:rsid w:val="00B508A8"/>
    <w:rsid w:val="00B50B9C"/>
    <w:rsid w:val="00B512B4"/>
    <w:rsid w:val="00B52AA3"/>
    <w:rsid w:val="00B52E90"/>
    <w:rsid w:val="00B53DA2"/>
    <w:rsid w:val="00B53EA4"/>
    <w:rsid w:val="00B53F90"/>
    <w:rsid w:val="00B54496"/>
    <w:rsid w:val="00B55615"/>
    <w:rsid w:val="00B55E12"/>
    <w:rsid w:val="00B567AF"/>
    <w:rsid w:val="00B574B3"/>
    <w:rsid w:val="00B57671"/>
    <w:rsid w:val="00B5777A"/>
    <w:rsid w:val="00B6030B"/>
    <w:rsid w:val="00B6033A"/>
    <w:rsid w:val="00B61CB4"/>
    <w:rsid w:val="00B61F7E"/>
    <w:rsid w:val="00B626BB"/>
    <w:rsid w:val="00B62931"/>
    <w:rsid w:val="00B629C0"/>
    <w:rsid w:val="00B62BF2"/>
    <w:rsid w:val="00B62CC8"/>
    <w:rsid w:val="00B63735"/>
    <w:rsid w:val="00B643A1"/>
    <w:rsid w:val="00B64B3D"/>
    <w:rsid w:val="00B65BBC"/>
    <w:rsid w:val="00B66162"/>
    <w:rsid w:val="00B66163"/>
    <w:rsid w:val="00B6637F"/>
    <w:rsid w:val="00B669BC"/>
    <w:rsid w:val="00B67743"/>
    <w:rsid w:val="00B67CED"/>
    <w:rsid w:val="00B67EEA"/>
    <w:rsid w:val="00B700D0"/>
    <w:rsid w:val="00B70283"/>
    <w:rsid w:val="00B716DF"/>
    <w:rsid w:val="00B717CC"/>
    <w:rsid w:val="00B71811"/>
    <w:rsid w:val="00B71F86"/>
    <w:rsid w:val="00B72A90"/>
    <w:rsid w:val="00B72ED7"/>
    <w:rsid w:val="00B72F66"/>
    <w:rsid w:val="00B73417"/>
    <w:rsid w:val="00B74D24"/>
    <w:rsid w:val="00B74FA3"/>
    <w:rsid w:val="00B750BD"/>
    <w:rsid w:val="00B762D5"/>
    <w:rsid w:val="00B76BB7"/>
    <w:rsid w:val="00B809B7"/>
    <w:rsid w:val="00B80A6D"/>
    <w:rsid w:val="00B80E9B"/>
    <w:rsid w:val="00B81079"/>
    <w:rsid w:val="00B8193F"/>
    <w:rsid w:val="00B81A1F"/>
    <w:rsid w:val="00B81AD6"/>
    <w:rsid w:val="00B81CDE"/>
    <w:rsid w:val="00B81F05"/>
    <w:rsid w:val="00B82FF5"/>
    <w:rsid w:val="00B83D89"/>
    <w:rsid w:val="00B854AE"/>
    <w:rsid w:val="00B85C8E"/>
    <w:rsid w:val="00B8681B"/>
    <w:rsid w:val="00B86A4E"/>
    <w:rsid w:val="00B87580"/>
    <w:rsid w:val="00B9002C"/>
    <w:rsid w:val="00B902D2"/>
    <w:rsid w:val="00B90592"/>
    <w:rsid w:val="00B9062C"/>
    <w:rsid w:val="00B90790"/>
    <w:rsid w:val="00B91885"/>
    <w:rsid w:val="00B9200E"/>
    <w:rsid w:val="00B9211B"/>
    <w:rsid w:val="00B92486"/>
    <w:rsid w:val="00B92F2D"/>
    <w:rsid w:val="00B92FA2"/>
    <w:rsid w:val="00B93172"/>
    <w:rsid w:val="00B93E45"/>
    <w:rsid w:val="00B9449F"/>
    <w:rsid w:val="00B94DCB"/>
    <w:rsid w:val="00B94F7C"/>
    <w:rsid w:val="00B95578"/>
    <w:rsid w:val="00B95F68"/>
    <w:rsid w:val="00B96377"/>
    <w:rsid w:val="00B9676E"/>
    <w:rsid w:val="00B9687E"/>
    <w:rsid w:val="00B96E36"/>
    <w:rsid w:val="00B97498"/>
    <w:rsid w:val="00B975E2"/>
    <w:rsid w:val="00B97B33"/>
    <w:rsid w:val="00B97C75"/>
    <w:rsid w:val="00BA1CE3"/>
    <w:rsid w:val="00BA1FA7"/>
    <w:rsid w:val="00BA2252"/>
    <w:rsid w:val="00BA245A"/>
    <w:rsid w:val="00BA265E"/>
    <w:rsid w:val="00BA2A80"/>
    <w:rsid w:val="00BA2D07"/>
    <w:rsid w:val="00BA2EB0"/>
    <w:rsid w:val="00BA2FAF"/>
    <w:rsid w:val="00BA30EA"/>
    <w:rsid w:val="00BA33C6"/>
    <w:rsid w:val="00BA35C4"/>
    <w:rsid w:val="00BA3638"/>
    <w:rsid w:val="00BA3B8A"/>
    <w:rsid w:val="00BA43E7"/>
    <w:rsid w:val="00BA4E5F"/>
    <w:rsid w:val="00BA5AB5"/>
    <w:rsid w:val="00BA5B10"/>
    <w:rsid w:val="00BA5BC1"/>
    <w:rsid w:val="00BA5DC9"/>
    <w:rsid w:val="00BA6480"/>
    <w:rsid w:val="00BA6842"/>
    <w:rsid w:val="00BA74D7"/>
    <w:rsid w:val="00BA7DCD"/>
    <w:rsid w:val="00BB0E74"/>
    <w:rsid w:val="00BB264C"/>
    <w:rsid w:val="00BB29B6"/>
    <w:rsid w:val="00BB3463"/>
    <w:rsid w:val="00BB351C"/>
    <w:rsid w:val="00BB3688"/>
    <w:rsid w:val="00BB3A47"/>
    <w:rsid w:val="00BB46AD"/>
    <w:rsid w:val="00BB47D8"/>
    <w:rsid w:val="00BB5710"/>
    <w:rsid w:val="00BB6C5C"/>
    <w:rsid w:val="00BB796A"/>
    <w:rsid w:val="00BB7F8C"/>
    <w:rsid w:val="00BC0558"/>
    <w:rsid w:val="00BC111B"/>
    <w:rsid w:val="00BC1A7B"/>
    <w:rsid w:val="00BC285D"/>
    <w:rsid w:val="00BC3646"/>
    <w:rsid w:val="00BC3C6E"/>
    <w:rsid w:val="00BC3F6C"/>
    <w:rsid w:val="00BC4255"/>
    <w:rsid w:val="00BC508A"/>
    <w:rsid w:val="00BC5544"/>
    <w:rsid w:val="00BC5C35"/>
    <w:rsid w:val="00BC5ED8"/>
    <w:rsid w:val="00BC5F39"/>
    <w:rsid w:val="00BC6255"/>
    <w:rsid w:val="00BC6CAE"/>
    <w:rsid w:val="00BC6F9A"/>
    <w:rsid w:val="00BD1315"/>
    <w:rsid w:val="00BD1540"/>
    <w:rsid w:val="00BD1AB0"/>
    <w:rsid w:val="00BD1AB7"/>
    <w:rsid w:val="00BD2260"/>
    <w:rsid w:val="00BD2393"/>
    <w:rsid w:val="00BD278B"/>
    <w:rsid w:val="00BD2833"/>
    <w:rsid w:val="00BD39CF"/>
    <w:rsid w:val="00BD3BD7"/>
    <w:rsid w:val="00BD452D"/>
    <w:rsid w:val="00BD4C29"/>
    <w:rsid w:val="00BD63CD"/>
    <w:rsid w:val="00BD6870"/>
    <w:rsid w:val="00BD6B1F"/>
    <w:rsid w:val="00BD7E04"/>
    <w:rsid w:val="00BE0441"/>
    <w:rsid w:val="00BE0C7A"/>
    <w:rsid w:val="00BE1F86"/>
    <w:rsid w:val="00BE2EA4"/>
    <w:rsid w:val="00BE3113"/>
    <w:rsid w:val="00BE3A26"/>
    <w:rsid w:val="00BE3F04"/>
    <w:rsid w:val="00BE4922"/>
    <w:rsid w:val="00BE4D1C"/>
    <w:rsid w:val="00BE4E16"/>
    <w:rsid w:val="00BE4FB7"/>
    <w:rsid w:val="00BE5064"/>
    <w:rsid w:val="00BE5183"/>
    <w:rsid w:val="00BE5903"/>
    <w:rsid w:val="00BE61EE"/>
    <w:rsid w:val="00BE629F"/>
    <w:rsid w:val="00BE6D6C"/>
    <w:rsid w:val="00BE746F"/>
    <w:rsid w:val="00BF0794"/>
    <w:rsid w:val="00BF0E28"/>
    <w:rsid w:val="00BF0F30"/>
    <w:rsid w:val="00BF1403"/>
    <w:rsid w:val="00BF1411"/>
    <w:rsid w:val="00BF155A"/>
    <w:rsid w:val="00BF1957"/>
    <w:rsid w:val="00BF253C"/>
    <w:rsid w:val="00BF29DF"/>
    <w:rsid w:val="00BF2E37"/>
    <w:rsid w:val="00BF3437"/>
    <w:rsid w:val="00BF35EB"/>
    <w:rsid w:val="00BF3D76"/>
    <w:rsid w:val="00BF4A25"/>
    <w:rsid w:val="00BF4ABB"/>
    <w:rsid w:val="00BF4D8D"/>
    <w:rsid w:val="00BF5CA9"/>
    <w:rsid w:val="00BF69C1"/>
    <w:rsid w:val="00BF6AA7"/>
    <w:rsid w:val="00BF6C7A"/>
    <w:rsid w:val="00BF6DB8"/>
    <w:rsid w:val="00BF6EAA"/>
    <w:rsid w:val="00BF7EDD"/>
    <w:rsid w:val="00C00840"/>
    <w:rsid w:val="00C00FA4"/>
    <w:rsid w:val="00C018E1"/>
    <w:rsid w:val="00C026C5"/>
    <w:rsid w:val="00C0490F"/>
    <w:rsid w:val="00C04E8C"/>
    <w:rsid w:val="00C05054"/>
    <w:rsid w:val="00C0648D"/>
    <w:rsid w:val="00C06EC0"/>
    <w:rsid w:val="00C071C5"/>
    <w:rsid w:val="00C07420"/>
    <w:rsid w:val="00C0796E"/>
    <w:rsid w:val="00C07EA8"/>
    <w:rsid w:val="00C101A9"/>
    <w:rsid w:val="00C103DD"/>
    <w:rsid w:val="00C114E7"/>
    <w:rsid w:val="00C115C0"/>
    <w:rsid w:val="00C118C0"/>
    <w:rsid w:val="00C1592F"/>
    <w:rsid w:val="00C16465"/>
    <w:rsid w:val="00C16A60"/>
    <w:rsid w:val="00C16CF3"/>
    <w:rsid w:val="00C16D31"/>
    <w:rsid w:val="00C16D9B"/>
    <w:rsid w:val="00C1768A"/>
    <w:rsid w:val="00C17A5E"/>
    <w:rsid w:val="00C2080E"/>
    <w:rsid w:val="00C20DE9"/>
    <w:rsid w:val="00C21399"/>
    <w:rsid w:val="00C21784"/>
    <w:rsid w:val="00C21AB1"/>
    <w:rsid w:val="00C21F07"/>
    <w:rsid w:val="00C21F9A"/>
    <w:rsid w:val="00C2288D"/>
    <w:rsid w:val="00C24289"/>
    <w:rsid w:val="00C24A9C"/>
    <w:rsid w:val="00C25301"/>
    <w:rsid w:val="00C25561"/>
    <w:rsid w:val="00C25D35"/>
    <w:rsid w:val="00C26582"/>
    <w:rsid w:val="00C265AE"/>
    <w:rsid w:val="00C27188"/>
    <w:rsid w:val="00C27414"/>
    <w:rsid w:val="00C27521"/>
    <w:rsid w:val="00C27B89"/>
    <w:rsid w:val="00C27B8A"/>
    <w:rsid w:val="00C3007B"/>
    <w:rsid w:val="00C3020D"/>
    <w:rsid w:val="00C30F9F"/>
    <w:rsid w:val="00C31121"/>
    <w:rsid w:val="00C31CFC"/>
    <w:rsid w:val="00C3276B"/>
    <w:rsid w:val="00C32A0A"/>
    <w:rsid w:val="00C33430"/>
    <w:rsid w:val="00C334DE"/>
    <w:rsid w:val="00C33D03"/>
    <w:rsid w:val="00C3448E"/>
    <w:rsid w:val="00C34895"/>
    <w:rsid w:val="00C349CB"/>
    <w:rsid w:val="00C34F32"/>
    <w:rsid w:val="00C353D0"/>
    <w:rsid w:val="00C36076"/>
    <w:rsid w:val="00C36891"/>
    <w:rsid w:val="00C36BD4"/>
    <w:rsid w:val="00C372EA"/>
    <w:rsid w:val="00C37998"/>
    <w:rsid w:val="00C41980"/>
    <w:rsid w:val="00C42999"/>
    <w:rsid w:val="00C42C12"/>
    <w:rsid w:val="00C43395"/>
    <w:rsid w:val="00C43639"/>
    <w:rsid w:val="00C4463E"/>
    <w:rsid w:val="00C447DA"/>
    <w:rsid w:val="00C44ECC"/>
    <w:rsid w:val="00C44FCE"/>
    <w:rsid w:val="00C45B78"/>
    <w:rsid w:val="00C45F89"/>
    <w:rsid w:val="00C47109"/>
    <w:rsid w:val="00C474C6"/>
    <w:rsid w:val="00C47C53"/>
    <w:rsid w:val="00C5036F"/>
    <w:rsid w:val="00C5046F"/>
    <w:rsid w:val="00C5047F"/>
    <w:rsid w:val="00C510FA"/>
    <w:rsid w:val="00C514A1"/>
    <w:rsid w:val="00C51D96"/>
    <w:rsid w:val="00C523D9"/>
    <w:rsid w:val="00C52BA8"/>
    <w:rsid w:val="00C535AA"/>
    <w:rsid w:val="00C54034"/>
    <w:rsid w:val="00C54444"/>
    <w:rsid w:val="00C54534"/>
    <w:rsid w:val="00C54D61"/>
    <w:rsid w:val="00C554DC"/>
    <w:rsid w:val="00C55A81"/>
    <w:rsid w:val="00C5635C"/>
    <w:rsid w:val="00C56B1F"/>
    <w:rsid w:val="00C5735F"/>
    <w:rsid w:val="00C57766"/>
    <w:rsid w:val="00C6030A"/>
    <w:rsid w:val="00C603AE"/>
    <w:rsid w:val="00C604D8"/>
    <w:rsid w:val="00C6057C"/>
    <w:rsid w:val="00C609C8"/>
    <w:rsid w:val="00C61A4D"/>
    <w:rsid w:val="00C62C50"/>
    <w:rsid w:val="00C638AF"/>
    <w:rsid w:val="00C63A3B"/>
    <w:rsid w:val="00C63E00"/>
    <w:rsid w:val="00C64A9F"/>
    <w:rsid w:val="00C64ADF"/>
    <w:rsid w:val="00C65430"/>
    <w:rsid w:val="00C6583D"/>
    <w:rsid w:val="00C666C0"/>
    <w:rsid w:val="00C667A6"/>
    <w:rsid w:val="00C675B6"/>
    <w:rsid w:val="00C67CA2"/>
    <w:rsid w:val="00C70869"/>
    <w:rsid w:val="00C71818"/>
    <w:rsid w:val="00C718E5"/>
    <w:rsid w:val="00C72BA3"/>
    <w:rsid w:val="00C737DD"/>
    <w:rsid w:val="00C73FBF"/>
    <w:rsid w:val="00C74957"/>
    <w:rsid w:val="00C759AF"/>
    <w:rsid w:val="00C75F81"/>
    <w:rsid w:val="00C7699D"/>
    <w:rsid w:val="00C77420"/>
    <w:rsid w:val="00C77D73"/>
    <w:rsid w:val="00C77E36"/>
    <w:rsid w:val="00C81089"/>
    <w:rsid w:val="00C81134"/>
    <w:rsid w:val="00C81689"/>
    <w:rsid w:val="00C816E4"/>
    <w:rsid w:val="00C818C0"/>
    <w:rsid w:val="00C81D18"/>
    <w:rsid w:val="00C828E9"/>
    <w:rsid w:val="00C82A37"/>
    <w:rsid w:val="00C83415"/>
    <w:rsid w:val="00C841EB"/>
    <w:rsid w:val="00C8427E"/>
    <w:rsid w:val="00C844B3"/>
    <w:rsid w:val="00C8479D"/>
    <w:rsid w:val="00C849AE"/>
    <w:rsid w:val="00C84AD5"/>
    <w:rsid w:val="00C84BF7"/>
    <w:rsid w:val="00C84D20"/>
    <w:rsid w:val="00C8546B"/>
    <w:rsid w:val="00C85947"/>
    <w:rsid w:val="00C862BE"/>
    <w:rsid w:val="00C86524"/>
    <w:rsid w:val="00C865E3"/>
    <w:rsid w:val="00C86A3F"/>
    <w:rsid w:val="00C87C26"/>
    <w:rsid w:val="00C905AF"/>
    <w:rsid w:val="00C90CB8"/>
    <w:rsid w:val="00C9122D"/>
    <w:rsid w:val="00C91911"/>
    <w:rsid w:val="00C91CF9"/>
    <w:rsid w:val="00C91E95"/>
    <w:rsid w:val="00C9206D"/>
    <w:rsid w:val="00C92686"/>
    <w:rsid w:val="00C9269A"/>
    <w:rsid w:val="00C92808"/>
    <w:rsid w:val="00C92E63"/>
    <w:rsid w:val="00C931F6"/>
    <w:rsid w:val="00C9330B"/>
    <w:rsid w:val="00C93698"/>
    <w:rsid w:val="00C937FF"/>
    <w:rsid w:val="00C93EFE"/>
    <w:rsid w:val="00C9442A"/>
    <w:rsid w:val="00C944EB"/>
    <w:rsid w:val="00C946C9"/>
    <w:rsid w:val="00C95385"/>
    <w:rsid w:val="00C95B61"/>
    <w:rsid w:val="00C96269"/>
    <w:rsid w:val="00C96357"/>
    <w:rsid w:val="00C97049"/>
    <w:rsid w:val="00C97648"/>
    <w:rsid w:val="00CA061F"/>
    <w:rsid w:val="00CA0C52"/>
    <w:rsid w:val="00CA0E18"/>
    <w:rsid w:val="00CA1A19"/>
    <w:rsid w:val="00CA2312"/>
    <w:rsid w:val="00CA2467"/>
    <w:rsid w:val="00CA2472"/>
    <w:rsid w:val="00CA248D"/>
    <w:rsid w:val="00CA2CB6"/>
    <w:rsid w:val="00CA307B"/>
    <w:rsid w:val="00CA363E"/>
    <w:rsid w:val="00CA3D01"/>
    <w:rsid w:val="00CA53AD"/>
    <w:rsid w:val="00CA56AD"/>
    <w:rsid w:val="00CA594D"/>
    <w:rsid w:val="00CA70D5"/>
    <w:rsid w:val="00CA735D"/>
    <w:rsid w:val="00CA738E"/>
    <w:rsid w:val="00CA76D4"/>
    <w:rsid w:val="00CB07B8"/>
    <w:rsid w:val="00CB0A16"/>
    <w:rsid w:val="00CB1566"/>
    <w:rsid w:val="00CB23D9"/>
    <w:rsid w:val="00CB257A"/>
    <w:rsid w:val="00CB2772"/>
    <w:rsid w:val="00CB2D83"/>
    <w:rsid w:val="00CB313C"/>
    <w:rsid w:val="00CB366A"/>
    <w:rsid w:val="00CB397F"/>
    <w:rsid w:val="00CB4945"/>
    <w:rsid w:val="00CB4C99"/>
    <w:rsid w:val="00CB4CAB"/>
    <w:rsid w:val="00CB52DB"/>
    <w:rsid w:val="00CB6736"/>
    <w:rsid w:val="00CB72F7"/>
    <w:rsid w:val="00CB73D5"/>
    <w:rsid w:val="00CB73F8"/>
    <w:rsid w:val="00CB7584"/>
    <w:rsid w:val="00CC0588"/>
    <w:rsid w:val="00CC075E"/>
    <w:rsid w:val="00CC0920"/>
    <w:rsid w:val="00CC0D69"/>
    <w:rsid w:val="00CC185B"/>
    <w:rsid w:val="00CC2212"/>
    <w:rsid w:val="00CC26C1"/>
    <w:rsid w:val="00CC2AD2"/>
    <w:rsid w:val="00CC2D0D"/>
    <w:rsid w:val="00CC3121"/>
    <w:rsid w:val="00CC34E9"/>
    <w:rsid w:val="00CC372C"/>
    <w:rsid w:val="00CC392E"/>
    <w:rsid w:val="00CC402B"/>
    <w:rsid w:val="00CC42C0"/>
    <w:rsid w:val="00CC43F7"/>
    <w:rsid w:val="00CC44E1"/>
    <w:rsid w:val="00CC50C2"/>
    <w:rsid w:val="00CC50C4"/>
    <w:rsid w:val="00CC5889"/>
    <w:rsid w:val="00CC6E29"/>
    <w:rsid w:val="00CC6FA2"/>
    <w:rsid w:val="00CC70E3"/>
    <w:rsid w:val="00CC771A"/>
    <w:rsid w:val="00CC7C5E"/>
    <w:rsid w:val="00CD0AAC"/>
    <w:rsid w:val="00CD1287"/>
    <w:rsid w:val="00CD19E9"/>
    <w:rsid w:val="00CD1F32"/>
    <w:rsid w:val="00CD26C0"/>
    <w:rsid w:val="00CD2BEA"/>
    <w:rsid w:val="00CD330E"/>
    <w:rsid w:val="00CD33FD"/>
    <w:rsid w:val="00CD3471"/>
    <w:rsid w:val="00CD472C"/>
    <w:rsid w:val="00CD497D"/>
    <w:rsid w:val="00CD4A72"/>
    <w:rsid w:val="00CD4F81"/>
    <w:rsid w:val="00CD5D38"/>
    <w:rsid w:val="00CD619C"/>
    <w:rsid w:val="00CD641F"/>
    <w:rsid w:val="00CD6591"/>
    <w:rsid w:val="00CD6B50"/>
    <w:rsid w:val="00CD6B9F"/>
    <w:rsid w:val="00CD6E03"/>
    <w:rsid w:val="00CD6FD8"/>
    <w:rsid w:val="00CD72A3"/>
    <w:rsid w:val="00CD730C"/>
    <w:rsid w:val="00CD7330"/>
    <w:rsid w:val="00CD7E96"/>
    <w:rsid w:val="00CE0158"/>
    <w:rsid w:val="00CE05EA"/>
    <w:rsid w:val="00CE133A"/>
    <w:rsid w:val="00CE149A"/>
    <w:rsid w:val="00CE23E7"/>
    <w:rsid w:val="00CE3679"/>
    <w:rsid w:val="00CE442C"/>
    <w:rsid w:val="00CE4845"/>
    <w:rsid w:val="00CE4978"/>
    <w:rsid w:val="00CE55CF"/>
    <w:rsid w:val="00CE60CF"/>
    <w:rsid w:val="00CE60D1"/>
    <w:rsid w:val="00CE61C3"/>
    <w:rsid w:val="00CE6687"/>
    <w:rsid w:val="00CE69C8"/>
    <w:rsid w:val="00CE7408"/>
    <w:rsid w:val="00CE7D56"/>
    <w:rsid w:val="00CE7F58"/>
    <w:rsid w:val="00CF078C"/>
    <w:rsid w:val="00CF0FCB"/>
    <w:rsid w:val="00CF133E"/>
    <w:rsid w:val="00CF133F"/>
    <w:rsid w:val="00CF1E61"/>
    <w:rsid w:val="00CF21C0"/>
    <w:rsid w:val="00CF21D4"/>
    <w:rsid w:val="00CF2DFC"/>
    <w:rsid w:val="00CF33E0"/>
    <w:rsid w:val="00CF3513"/>
    <w:rsid w:val="00CF3946"/>
    <w:rsid w:val="00CF438C"/>
    <w:rsid w:val="00CF4B6B"/>
    <w:rsid w:val="00CF4FDD"/>
    <w:rsid w:val="00CF5A9E"/>
    <w:rsid w:val="00CF644E"/>
    <w:rsid w:val="00CF716E"/>
    <w:rsid w:val="00D00350"/>
    <w:rsid w:val="00D01329"/>
    <w:rsid w:val="00D0173E"/>
    <w:rsid w:val="00D02D65"/>
    <w:rsid w:val="00D02FC1"/>
    <w:rsid w:val="00D03095"/>
    <w:rsid w:val="00D03DC9"/>
    <w:rsid w:val="00D04387"/>
    <w:rsid w:val="00D04A1B"/>
    <w:rsid w:val="00D052C6"/>
    <w:rsid w:val="00D05381"/>
    <w:rsid w:val="00D062C1"/>
    <w:rsid w:val="00D0664E"/>
    <w:rsid w:val="00D10CF1"/>
    <w:rsid w:val="00D10D82"/>
    <w:rsid w:val="00D10DCF"/>
    <w:rsid w:val="00D12269"/>
    <w:rsid w:val="00D14271"/>
    <w:rsid w:val="00D14E26"/>
    <w:rsid w:val="00D16022"/>
    <w:rsid w:val="00D1670C"/>
    <w:rsid w:val="00D16755"/>
    <w:rsid w:val="00D1688B"/>
    <w:rsid w:val="00D169EA"/>
    <w:rsid w:val="00D16F5F"/>
    <w:rsid w:val="00D176A8"/>
    <w:rsid w:val="00D17F11"/>
    <w:rsid w:val="00D2051D"/>
    <w:rsid w:val="00D21526"/>
    <w:rsid w:val="00D2195E"/>
    <w:rsid w:val="00D21A58"/>
    <w:rsid w:val="00D21CDD"/>
    <w:rsid w:val="00D21EC6"/>
    <w:rsid w:val="00D224FF"/>
    <w:rsid w:val="00D2287B"/>
    <w:rsid w:val="00D235BA"/>
    <w:rsid w:val="00D23EA4"/>
    <w:rsid w:val="00D23FD0"/>
    <w:rsid w:val="00D24221"/>
    <w:rsid w:val="00D25017"/>
    <w:rsid w:val="00D2510A"/>
    <w:rsid w:val="00D25B5F"/>
    <w:rsid w:val="00D25F89"/>
    <w:rsid w:val="00D26288"/>
    <w:rsid w:val="00D2634D"/>
    <w:rsid w:val="00D26BF5"/>
    <w:rsid w:val="00D26D75"/>
    <w:rsid w:val="00D277B8"/>
    <w:rsid w:val="00D30A87"/>
    <w:rsid w:val="00D30C7C"/>
    <w:rsid w:val="00D312DE"/>
    <w:rsid w:val="00D320FD"/>
    <w:rsid w:val="00D32957"/>
    <w:rsid w:val="00D32C4F"/>
    <w:rsid w:val="00D32EB7"/>
    <w:rsid w:val="00D32F61"/>
    <w:rsid w:val="00D33160"/>
    <w:rsid w:val="00D336AB"/>
    <w:rsid w:val="00D33B8B"/>
    <w:rsid w:val="00D347FE"/>
    <w:rsid w:val="00D348E0"/>
    <w:rsid w:val="00D34D94"/>
    <w:rsid w:val="00D351BC"/>
    <w:rsid w:val="00D36508"/>
    <w:rsid w:val="00D3666C"/>
    <w:rsid w:val="00D36737"/>
    <w:rsid w:val="00D36F2D"/>
    <w:rsid w:val="00D376DC"/>
    <w:rsid w:val="00D37AD4"/>
    <w:rsid w:val="00D37D6F"/>
    <w:rsid w:val="00D40853"/>
    <w:rsid w:val="00D415D3"/>
    <w:rsid w:val="00D416AC"/>
    <w:rsid w:val="00D4232A"/>
    <w:rsid w:val="00D430B1"/>
    <w:rsid w:val="00D43466"/>
    <w:rsid w:val="00D43642"/>
    <w:rsid w:val="00D43FCF"/>
    <w:rsid w:val="00D44078"/>
    <w:rsid w:val="00D45009"/>
    <w:rsid w:val="00D454EE"/>
    <w:rsid w:val="00D46350"/>
    <w:rsid w:val="00D465D6"/>
    <w:rsid w:val="00D46896"/>
    <w:rsid w:val="00D475C2"/>
    <w:rsid w:val="00D50310"/>
    <w:rsid w:val="00D504B5"/>
    <w:rsid w:val="00D5096D"/>
    <w:rsid w:val="00D5100F"/>
    <w:rsid w:val="00D514AF"/>
    <w:rsid w:val="00D520A0"/>
    <w:rsid w:val="00D520AE"/>
    <w:rsid w:val="00D52DFD"/>
    <w:rsid w:val="00D52E46"/>
    <w:rsid w:val="00D53409"/>
    <w:rsid w:val="00D541FD"/>
    <w:rsid w:val="00D548F6"/>
    <w:rsid w:val="00D552F4"/>
    <w:rsid w:val="00D554B3"/>
    <w:rsid w:val="00D55E34"/>
    <w:rsid w:val="00D55F7C"/>
    <w:rsid w:val="00D5625E"/>
    <w:rsid w:val="00D57079"/>
    <w:rsid w:val="00D60085"/>
    <w:rsid w:val="00D605B8"/>
    <w:rsid w:val="00D615B6"/>
    <w:rsid w:val="00D61BA9"/>
    <w:rsid w:val="00D61CB7"/>
    <w:rsid w:val="00D61CFE"/>
    <w:rsid w:val="00D63065"/>
    <w:rsid w:val="00D630B3"/>
    <w:rsid w:val="00D638EC"/>
    <w:rsid w:val="00D63B59"/>
    <w:rsid w:val="00D640ED"/>
    <w:rsid w:val="00D652F3"/>
    <w:rsid w:val="00D655E0"/>
    <w:rsid w:val="00D65EB7"/>
    <w:rsid w:val="00D66770"/>
    <w:rsid w:val="00D66910"/>
    <w:rsid w:val="00D66A1A"/>
    <w:rsid w:val="00D6751E"/>
    <w:rsid w:val="00D67726"/>
    <w:rsid w:val="00D679DC"/>
    <w:rsid w:val="00D67D6C"/>
    <w:rsid w:val="00D67DB7"/>
    <w:rsid w:val="00D704BD"/>
    <w:rsid w:val="00D706EB"/>
    <w:rsid w:val="00D70970"/>
    <w:rsid w:val="00D713B0"/>
    <w:rsid w:val="00D71A03"/>
    <w:rsid w:val="00D7209F"/>
    <w:rsid w:val="00D735D1"/>
    <w:rsid w:val="00D73951"/>
    <w:rsid w:val="00D73B85"/>
    <w:rsid w:val="00D73E15"/>
    <w:rsid w:val="00D74097"/>
    <w:rsid w:val="00D7412D"/>
    <w:rsid w:val="00D7486C"/>
    <w:rsid w:val="00D74F70"/>
    <w:rsid w:val="00D759E7"/>
    <w:rsid w:val="00D75F17"/>
    <w:rsid w:val="00D763C3"/>
    <w:rsid w:val="00D763FF"/>
    <w:rsid w:val="00D76E55"/>
    <w:rsid w:val="00D80A31"/>
    <w:rsid w:val="00D81548"/>
    <w:rsid w:val="00D82953"/>
    <w:rsid w:val="00D83393"/>
    <w:rsid w:val="00D83D47"/>
    <w:rsid w:val="00D84154"/>
    <w:rsid w:val="00D841AC"/>
    <w:rsid w:val="00D84332"/>
    <w:rsid w:val="00D84453"/>
    <w:rsid w:val="00D845CD"/>
    <w:rsid w:val="00D8479A"/>
    <w:rsid w:val="00D847A8"/>
    <w:rsid w:val="00D84908"/>
    <w:rsid w:val="00D84932"/>
    <w:rsid w:val="00D84C14"/>
    <w:rsid w:val="00D85169"/>
    <w:rsid w:val="00D85766"/>
    <w:rsid w:val="00D85D7E"/>
    <w:rsid w:val="00D86138"/>
    <w:rsid w:val="00D86817"/>
    <w:rsid w:val="00D86A6F"/>
    <w:rsid w:val="00D872C5"/>
    <w:rsid w:val="00D877F7"/>
    <w:rsid w:val="00D9007E"/>
    <w:rsid w:val="00D903A7"/>
    <w:rsid w:val="00D904F4"/>
    <w:rsid w:val="00D90568"/>
    <w:rsid w:val="00D90629"/>
    <w:rsid w:val="00D92521"/>
    <w:rsid w:val="00D92D2A"/>
    <w:rsid w:val="00D93F50"/>
    <w:rsid w:val="00D94E24"/>
    <w:rsid w:val="00D95052"/>
    <w:rsid w:val="00D9515C"/>
    <w:rsid w:val="00D95367"/>
    <w:rsid w:val="00D958AD"/>
    <w:rsid w:val="00D958D5"/>
    <w:rsid w:val="00D95CD2"/>
    <w:rsid w:val="00D95DED"/>
    <w:rsid w:val="00D96C32"/>
    <w:rsid w:val="00D974B1"/>
    <w:rsid w:val="00D9764B"/>
    <w:rsid w:val="00D97ADD"/>
    <w:rsid w:val="00D97BE0"/>
    <w:rsid w:val="00DA04AE"/>
    <w:rsid w:val="00DA0B9F"/>
    <w:rsid w:val="00DA0E1B"/>
    <w:rsid w:val="00DA11D9"/>
    <w:rsid w:val="00DA1F3F"/>
    <w:rsid w:val="00DA21D5"/>
    <w:rsid w:val="00DA2958"/>
    <w:rsid w:val="00DA2AF6"/>
    <w:rsid w:val="00DA2D99"/>
    <w:rsid w:val="00DA3B14"/>
    <w:rsid w:val="00DA46B7"/>
    <w:rsid w:val="00DA5172"/>
    <w:rsid w:val="00DA5635"/>
    <w:rsid w:val="00DA60C3"/>
    <w:rsid w:val="00DA62FC"/>
    <w:rsid w:val="00DA68FB"/>
    <w:rsid w:val="00DA6935"/>
    <w:rsid w:val="00DA6973"/>
    <w:rsid w:val="00DA697D"/>
    <w:rsid w:val="00DA7AE8"/>
    <w:rsid w:val="00DB027B"/>
    <w:rsid w:val="00DB0474"/>
    <w:rsid w:val="00DB0571"/>
    <w:rsid w:val="00DB0DDC"/>
    <w:rsid w:val="00DB1614"/>
    <w:rsid w:val="00DB19F2"/>
    <w:rsid w:val="00DB1A0A"/>
    <w:rsid w:val="00DB1E3A"/>
    <w:rsid w:val="00DB27F4"/>
    <w:rsid w:val="00DB2D87"/>
    <w:rsid w:val="00DB3575"/>
    <w:rsid w:val="00DB3E0E"/>
    <w:rsid w:val="00DB44DD"/>
    <w:rsid w:val="00DB450F"/>
    <w:rsid w:val="00DB4EED"/>
    <w:rsid w:val="00DB5660"/>
    <w:rsid w:val="00DB5EC4"/>
    <w:rsid w:val="00DB6E46"/>
    <w:rsid w:val="00DB7B85"/>
    <w:rsid w:val="00DB7EB6"/>
    <w:rsid w:val="00DC039D"/>
    <w:rsid w:val="00DC05BA"/>
    <w:rsid w:val="00DC0668"/>
    <w:rsid w:val="00DC0685"/>
    <w:rsid w:val="00DC1ABB"/>
    <w:rsid w:val="00DC1D1F"/>
    <w:rsid w:val="00DC1E6A"/>
    <w:rsid w:val="00DC20B5"/>
    <w:rsid w:val="00DC2D40"/>
    <w:rsid w:val="00DC2DC7"/>
    <w:rsid w:val="00DC3D84"/>
    <w:rsid w:val="00DC45EB"/>
    <w:rsid w:val="00DC64F0"/>
    <w:rsid w:val="00DC6582"/>
    <w:rsid w:val="00DC7131"/>
    <w:rsid w:val="00DC785D"/>
    <w:rsid w:val="00DD2104"/>
    <w:rsid w:val="00DD2352"/>
    <w:rsid w:val="00DD2483"/>
    <w:rsid w:val="00DD2E77"/>
    <w:rsid w:val="00DD3C10"/>
    <w:rsid w:val="00DD3DAC"/>
    <w:rsid w:val="00DD40B2"/>
    <w:rsid w:val="00DD433F"/>
    <w:rsid w:val="00DD43B7"/>
    <w:rsid w:val="00DD43C4"/>
    <w:rsid w:val="00DD4A7F"/>
    <w:rsid w:val="00DD4EF4"/>
    <w:rsid w:val="00DD52DE"/>
    <w:rsid w:val="00DD59E5"/>
    <w:rsid w:val="00DD5BCB"/>
    <w:rsid w:val="00DD603B"/>
    <w:rsid w:val="00DD6B44"/>
    <w:rsid w:val="00DD79F6"/>
    <w:rsid w:val="00DD7A9F"/>
    <w:rsid w:val="00DD7F77"/>
    <w:rsid w:val="00DE19B1"/>
    <w:rsid w:val="00DE2200"/>
    <w:rsid w:val="00DE28DE"/>
    <w:rsid w:val="00DE29CB"/>
    <w:rsid w:val="00DE2DEE"/>
    <w:rsid w:val="00DE343B"/>
    <w:rsid w:val="00DE52B0"/>
    <w:rsid w:val="00DE64E6"/>
    <w:rsid w:val="00DE6BA9"/>
    <w:rsid w:val="00DE6CAD"/>
    <w:rsid w:val="00DE6D80"/>
    <w:rsid w:val="00DE6DB3"/>
    <w:rsid w:val="00DE76D4"/>
    <w:rsid w:val="00DE77EA"/>
    <w:rsid w:val="00DE7897"/>
    <w:rsid w:val="00DE7C29"/>
    <w:rsid w:val="00DE7CAA"/>
    <w:rsid w:val="00DE7CF2"/>
    <w:rsid w:val="00DE7D08"/>
    <w:rsid w:val="00DE7D57"/>
    <w:rsid w:val="00DF144D"/>
    <w:rsid w:val="00DF190B"/>
    <w:rsid w:val="00DF227E"/>
    <w:rsid w:val="00DF2716"/>
    <w:rsid w:val="00DF2B9F"/>
    <w:rsid w:val="00DF3238"/>
    <w:rsid w:val="00DF4E31"/>
    <w:rsid w:val="00DF4F37"/>
    <w:rsid w:val="00DF520E"/>
    <w:rsid w:val="00DF5693"/>
    <w:rsid w:val="00DF5D38"/>
    <w:rsid w:val="00DF610D"/>
    <w:rsid w:val="00DF6E20"/>
    <w:rsid w:val="00DF784A"/>
    <w:rsid w:val="00DF7A27"/>
    <w:rsid w:val="00DF7A7F"/>
    <w:rsid w:val="00DF7A82"/>
    <w:rsid w:val="00DF7CE6"/>
    <w:rsid w:val="00E00033"/>
    <w:rsid w:val="00E00479"/>
    <w:rsid w:val="00E007A4"/>
    <w:rsid w:val="00E0093B"/>
    <w:rsid w:val="00E00A91"/>
    <w:rsid w:val="00E00F06"/>
    <w:rsid w:val="00E01424"/>
    <w:rsid w:val="00E01BA0"/>
    <w:rsid w:val="00E02663"/>
    <w:rsid w:val="00E028C9"/>
    <w:rsid w:val="00E02CF2"/>
    <w:rsid w:val="00E034A5"/>
    <w:rsid w:val="00E0396B"/>
    <w:rsid w:val="00E03B11"/>
    <w:rsid w:val="00E03D56"/>
    <w:rsid w:val="00E03F84"/>
    <w:rsid w:val="00E040DA"/>
    <w:rsid w:val="00E043C5"/>
    <w:rsid w:val="00E04BBD"/>
    <w:rsid w:val="00E051B6"/>
    <w:rsid w:val="00E0566C"/>
    <w:rsid w:val="00E05690"/>
    <w:rsid w:val="00E062D4"/>
    <w:rsid w:val="00E064D6"/>
    <w:rsid w:val="00E065D9"/>
    <w:rsid w:val="00E06D0D"/>
    <w:rsid w:val="00E07058"/>
    <w:rsid w:val="00E070E0"/>
    <w:rsid w:val="00E07127"/>
    <w:rsid w:val="00E079AB"/>
    <w:rsid w:val="00E10FFE"/>
    <w:rsid w:val="00E115D9"/>
    <w:rsid w:val="00E11CA2"/>
    <w:rsid w:val="00E12834"/>
    <w:rsid w:val="00E130DD"/>
    <w:rsid w:val="00E1339E"/>
    <w:rsid w:val="00E14D9E"/>
    <w:rsid w:val="00E15AB0"/>
    <w:rsid w:val="00E160BC"/>
    <w:rsid w:val="00E162BD"/>
    <w:rsid w:val="00E167C0"/>
    <w:rsid w:val="00E168FD"/>
    <w:rsid w:val="00E175F7"/>
    <w:rsid w:val="00E17B9F"/>
    <w:rsid w:val="00E17EC2"/>
    <w:rsid w:val="00E20558"/>
    <w:rsid w:val="00E20D3C"/>
    <w:rsid w:val="00E215AD"/>
    <w:rsid w:val="00E222E2"/>
    <w:rsid w:val="00E226E2"/>
    <w:rsid w:val="00E22A62"/>
    <w:rsid w:val="00E23545"/>
    <w:rsid w:val="00E2354C"/>
    <w:rsid w:val="00E23B3C"/>
    <w:rsid w:val="00E23EAF"/>
    <w:rsid w:val="00E240C2"/>
    <w:rsid w:val="00E241A6"/>
    <w:rsid w:val="00E242E0"/>
    <w:rsid w:val="00E243A8"/>
    <w:rsid w:val="00E247AE"/>
    <w:rsid w:val="00E249B9"/>
    <w:rsid w:val="00E24B65"/>
    <w:rsid w:val="00E2560D"/>
    <w:rsid w:val="00E26355"/>
    <w:rsid w:val="00E26596"/>
    <w:rsid w:val="00E26FCE"/>
    <w:rsid w:val="00E30646"/>
    <w:rsid w:val="00E31B17"/>
    <w:rsid w:val="00E31E81"/>
    <w:rsid w:val="00E3280B"/>
    <w:rsid w:val="00E32B3A"/>
    <w:rsid w:val="00E3313C"/>
    <w:rsid w:val="00E332A6"/>
    <w:rsid w:val="00E33D30"/>
    <w:rsid w:val="00E342C0"/>
    <w:rsid w:val="00E34331"/>
    <w:rsid w:val="00E3520F"/>
    <w:rsid w:val="00E35859"/>
    <w:rsid w:val="00E35868"/>
    <w:rsid w:val="00E363F6"/>
    <w:rsid w:val="00E368F2"/>
    <w:rsid w:val="00E36D58"/>
    <w:rsid w:val="00E37BDA"/>
    <w:rsid w:val="00E37C62"/>
    <w:rsid w:val="00E40045"/>
    <w:rsid w:val="00E40099"/>
    <w:rsid w:val="00E40542"/>
    <w:rsid w:val="00E405EC"/>
    <w:rsid w:val="00E40FCA"/>
    <w:rsid w:val="00E41407"/>
    <w:rsid w:val="00E4143A"/>
    <w:rsid w:val="00E41A4A"/>
    <w:rsid w:val="00E42196"/>
    <w:rsid w:val="00E42F35"/>
    <w:rsid w:val="00E4388F"/>
    <w:rsid w:val="00E43BAA"/>
    <w:rsid w:val="00E444E6"/>
    <w:rsid w:val="00E44C36"/>
    <w:rsid w:val="00E44E38"/>
    <w:rsid w:val="00E45E14"/>
    <w:rsid w:val="00E46104"/>
    <w:rsid w:val="00E46508"/>
    <w:rsid w:val="00E46B9A"/>
    <w:rsid w:val="00E4716D"/>
    <w:rsid w:val="00E50948"/>
    <w:rsid w:val="00E51556"/>
    <w:rsid w:val="00E51FE7"/>
    <w:rsid w:val="00E52344"/>
    <w:rsid w:val="00E52913"/>
    <w:rsid w:val="00E53841"/>
    <w:rsid w:val="00E53BBF"/>
    <w:rsid w:val="00E53C67"/>
    <w:rsid w:val="00E53DCC"/>
    <w:rsid w:val="00E541F2"/>
    <w:rsid w:val="00E54CD1"/>
    <w:rsid w:val="00E54E45"/>
    <w:rsid w:val="00E54F0E"/>
    <w:rsid w:val="00E55B5F"/>
    <w:rsid w:val="00E56A93"/>
    <w:rsid w:val="00E57230"/>
    <w:rsid w:val="00E576C1"/>
    <w:rsid w:val="00E608B8"/>
    <w:rsid w:val="00E60D29"/>
    <w:rsid w:val="00E60E00"/>
    <w:rsid w:val="00E61020"/>
    <w:rsid w:val="00E614AC"/>
    <w:rsid w:val="00E617B9"/>
    <w:rsid w:val="00E61C88"/>
    <w:rsid w:val="00E61EEA"/>
    <w:rsid w:val="00E61F74"/>
    <w:rsid w:val="00E6248E"/>
    <w:rsid w:val="00E63A98"/>
    <w:rsid w:val="00E645BE"/>
    <w:rsid w:val="00E64BDC"/>
    <w:rsid w:val="00E64DC7"/>
    <w:rsid w:val="00E65095"/>
    <w:rsid w:val="00E6588B"/>
    <w:rsid w:val="00E66A1F"/>
    <w:rsid w:val="00E66D31"/>
    <w:rsid w:val="00E66F07"/>
    <w:rsid w:val="00E66F0B"/>
    <w:rsid w:val="00E67100"/>
    <w:rsid w:val="00E67E63"/>
    <w:rsid w:val="00E70091"/>
    <w:rsid w:val="00E70274"/>
    <w:rsid w:val="00E70A62"/>
    <w:rsid w:val="00E716F4"/>
    <w:rsid w:val="00E71790"/>
    <w:rsid w:val="00E72060"/>
    <w:rsid w:val="00E72431"/>
    <w:rsid w:val="00E7283F"/>
    <w:rsid w:val="00E739F0"/>
    <w:rsid w:val="00E73A29"/>
    <w:rsid w:val="00E73EAF"/>
    <w:rsid w:val="00E74692"/>
    <w:rsid w:val="00E74A2F"/>
    <w:rsid w:val="00E74FA3"/>
    <w:rsid w:val="00E755CC"/>
    <w:rsid w:val="00E764F1"/>
    <w:rsid w:val="00E77ABB"/>
    <w:rsid w:val="00E77B17"/>
    <w:rsid w:val="00E80430"/>
    <w:rsid w:val="00E808C3"/>
    <w:rsid w:val="00E80D6A"/>
    <w:rsid w:val="00E81FE5"/>
    <w:rsid w:val="00E824E1"/>
    <w:rsid w:val="00E82F3D"/>
    <w:rsid w:val="00E831F8"/>
    <w:rsid w:val="00E834D1"/>
    <w:rsid w:val="00E83635"/>
    <w:rsid w:val="00E83790"/>
    <w:rsid w:val="00E83DA9"/>
    <w:rsid w:val="00E846E7"/>
    <w:rsid w:val="00E84765"/>
    <w:rsid w:val="00E85029"/>
    <w:rsid w:val="00E850DE"/>
    <w:rsid w:val="00E866C9"/>
    <w:rsid w:val="00E87F36"/>
    <w:rsid w:val="00E90129"/>
    <w:rsid w:val="00E904A5"/>
    <w:rsid w:val="00E90791"/>
    <w:rsid w:val="00E90BA4"/>
    <w:rsid w:val="00E91BB0"/>
    <w:rsid w:val="00E92650"/>
    <w:rsid w:val="00E9317A"/>
    <w:rsid w:val="00E93548"/>
    <w:rsid w:val="00E93D6D"/>
    <w:rsid w:val="00E93E56"/>
    <w:rsid w:val="00E946F5"/>
    <w:rsid w:val="00E94DDB"/>
    <w:rsid w:val="00E94EE5"/>
    <w:rsid w:val="00E94F85"/>
    <w:rsid w:val="00E95099"/>
    <w:rsid w:val="00E954EA"/>
    <w:rsid w:val="00E95515"/>
    <w:rsid w:val="00E958C5"/>
    <w:rsid w:val="00E95998"/>
    <w:rsid w:val="00E95DED"/>
    <w:rsid w:val="00E965C1"/>
    <w:rsid w:val="00E9752F"/>
    <w:rsid w:val="00E97C6A"/>
    <w:rsid w:val="00EA17B6"/>
    <w:rsid w:val="00EA1B0B"/>
    <w:rsid w:val="00EA1C7F"/>
    <w:rsid w:val="00EA2029"/>
    <w:rsid w:val="00EA281B"/>
    <w:rsid w:val="00EA2B10"/>
    <w:rsid w:val="00EA2EA0"/>
    <w:rsid w:val="00EA3B52"/>
    <w:rsid w:val="00EA3CFD"/>
    <w:rsid w:val="00EA3F89"/>
    <w:rsid w:val="00EA453C"/>
    <w:rsid w:val="00EA4FF1"/>
    <w:rsid w:val="00EA5248"/>
    <w:rsid w:val="00EA5B62"/>
    <w:rsid w:val="00EA5C37"/>
    <w:rsid w:val="00EA5DA5"/>
    <w:rsid w:val="00EA601A"/>
    <w:rsid w:val="00EA6FB3"/>
    <w:rsid w:val="00EA7713"/>
    <w:rsid w:val="00EA7CF9"/>
    <w:rsid w:val="00EB050C"/>
    <w:rsid w:val="00EB0BA9"/>
    <w:rsid w:val="00EB1F66"/>
    <w:rsid w:val="00EB262D"/>
    <w:rsid w:val="00EB29A4"/>
    <w:rsid w:val="00EB2A1B"/>
    <w:rsid w:val="00EB2B7D"/>
    <w:rsid w:val="00EB2E25"/>
    <w:rsid w:val="00EB312C"/>
    <w:rsid w:val="00EB3164"/>
    <w:rsid w:val="00EB549B"/>
    <w:rsid w:val="00EB6390"/>
    <w:rsid w:val="00EB7688"/>
    <w:rsid w:val="00EB7CD7"/>
    <w:rsid w:val="00EB7FA1"/>
    <w:rsid w:val="00EC0359"/>
    <w:rsid w:val="00EC0CFB"/>
    <w:rsid w:val="00EC104B"/>
    <w:rsid w:val="00EC12A8"/>
    <w:rsid w:val="00EC2120"/>
    <w:rsid w:val="00EC25D6"/>
    <w:rsid w:val="00EC2E18"/>
    <w:rsid w:val="00EC2E56"/>
    <w:rsid w:val="00EC330F"/>
    <w:rsid w:val="00EC39AB"/>
    <w:rsid w:val="00EC3B56"/>
    <w:rsid w:val="00EC3CF6"/>
    <w:rsid w:val="00EC4076"/>
    <w:rsid w:val="00EC49FB"/>
    <w:rsid w:val="00EC4C24"/>
    <w:rsid w:val="00EC4CEB"/>
    <w:rsid w:val="00EC4E10"/>
    <w:rsid w:val="00EC5093"/>
    <w:rsid w:val="00EC5C72"/>
    <w:rsid w:val="00EC5D94"/>
    <w:rsid w:val="00EC6829"/>
    <w:rsid w:val="00EC6A31"/>
    <w:rsid w:val="00EC718F"/>
    <w:rsid w:val="00EC79F3"/>
    <w:rsid w:val="00EC7A65"/>
    <w:rsid w:val="00ED0EF3"/>
    <w:rsid w:val="00ED11EE"/>
    <w:rsid w:val="00ED128C"/>
    <w:rsid w:val="00ED1F88"/>
    <w:rsid w:val="00ED2599"/>
    <w:rsid w:val="00ED2A10"/>
    <w:rsid w:val="00ED3457"/>
    <w:rsid w:val="00ED359F"/>
    <w:rsid w:val="00ED38BB"/>
    <w:rsid w:val="00ED4601"/>
    <w:rsid w:val="00ED4E4E"/>
    <w:rsid w:val="00ED510E"/>
    <w:rsid w:val="00ED5581"/>
    <w:rsid w:val="00ED55A2"/>
    <w:rsid w:val="00ED5A8C"/>
    <w:rsid w:val="00ED5B33"/>
    <w:rsid w:val="00ED6643"/>
    <w:rsid w:val="00ED67E7"/>
    <w:rsid w:val="00ED6C9C"/>
    <w:rsid w:val="00ED6DA2"/>
    <w:rsid w:val="00ED725D"/>
    <w:rsid w:val="00ED7D7B"/>
    <w:rsid w:val="00EE0497"/>
    <w:rsid w:val="00EE0DC7"/>
    <w:rsid w:val="00EE10AD"/>
    <w:rsid w:val="00EE1376"/>
    <w:rsid w:val="00EE1AF8"/>
    <w:rsid w:val="00EE1BC8"/>
    <w:rsid w:val="00EE25CB"/>
    <w:rsid w:val="00EE2883"/>
    <w:rsid w:val="00EE29A2"/>
    <w:rsid w:val="00EE2B4E"/>
    <w:rsid w:val="00EE2BFD"/>
    <w:rsid w:val="00EE2D90"/>
    <w:rsid w:val="00EE2E08"/>
    <w:rsid w:val="00EE2ECE"/>
    <w:rsid w:val="00EE3322"/>
    <w:rsid w:val="00EE3F4B"/>
    <w:rsid w:val="00EE4018"/>
    <w:rsid w:val="00EE4393"/>
    <w:rsid w:val="00EE4A3B"/>
    <w:rsid w:val="00EE4D19"/>
    <w:rsid w:val="00EE4D73"/>
    <w:rsid w:val="00EE4FA9"/>
    <w:rsid w:val="00EE4FB7"/>
    <w:rsid w:val="00EE57C4"/>
    <w:rsid w:val="00EE5994"/>
    <w:rsid w:val="00EE61E2"/>
    <w:rsid w:val="00EE6636"/>
    <w:rsid w:val="00EE785F"/>
    <w:rsid w:val="00EE7A15"/>
    <w:rsid w:val="00EF07C4"/>
    <w:rsid w:val="00EF1CF9"/>
    <w:rsid w:val="00EF24DE"/>
    <w:rsid w:val="00EF2BF2"/>
    <w:rsid w:val="00EF2FE4"/>
    <w:rsid w:val="00EF333C"/>
    <w:rsid w:val="00EF3831"/>
    <w:rsid w:val="00EF3DE1"/>
    <w:rsid w:val="00EF4463"/>
    <w:rsid w:val="00EF4807"/>
    <w:rsid w:val="00EF4A67"/>
    <w:rsid w:val="00EF4CD1"/>
    <w:rsid w:val="00EF56E8"/>
    <w:rsid w:val="00EF62F6"/>
    <w:rsid w:val="00EF70F4"/>
    <w:rsid w:val="00EF71B0"/>
    <w:rsid w:val="00EF7656"/>
    <w:rsid w:val="00EF7670"/>
    <w:rsid w:val="00F00179"/>
    <w:rsid w:val="00F002AE"/>
    <w:rsid w:val="00F01359"/>
    <w:rsid w:val="00F0159A"/>
    <w:rsid w:val="00F03D93"/>
    <w:rsid w:val="00F04B77"/>
    <w:rsid w:val="00F04DE6"/>
    <w:rsid w:val="00F05903"/>
    <w:rsid w:val="00F059E5"/>
    <w:rsid w:val="00F05B1E"/>
    <w:rsid w:val="00F05E16"/>
    <w:rsid w:val="00F06701"/>
    <w:rsid w:val="00F06D5C"/>
    <w:rsid w:val="00F06DE0"/>
    <w:rsid w:val="00F06F13"/>
    <w:rsid w:val="00F07529"/>
    <w:rsid w:val="00F075B0"/>
    <w:rsid w:val="00F0763D"/>
    <w:rsid w:val="00F10377"/>
    <w:rsid w:val="00F10C30"/>
    <w:rsid w:val="00F11A32"/>
    <w:rsid w:val="00F12DC7"/>
    <w:rsid w:val="00F13449"/>
    <w:rsid w:val="00F139C1"/>
    <w:rsid w:val="00F148DF"/>
    <w:rsid w:val="00F157CD"/>
    <w:rsid w:val="00F16684"/>
    <w:rsid w:val="00F16AC3"/>
    <w:rsid w:val="00F16AF8"/>
    <w:rsid w:val="00F170D2"/>
    <w:rsid w:val="00F17117"/>
    <w:rsid w:val="00F17446"/>
    <w:rsid w:val="00F176F2"/>
    <w:rsid w:val="00F17B95"/>
    <w:rsid w:val="00F17D97"/>
    <w:rsid w:val="00F20347"/>
    <w:rsid w:val="00F20351"/>
    <w:rsid w:val="00F20529"/>
    <w:rsid w:val="00F20BA8"/>
    <w:rsid w:val="00F211D0"/>
    <w:rsid w:val="00F21B8E"/>
    <w:rsid w:val="00F21FD5"/>
    <w:rsid w:val="00F22027"/>
    <w:rsid w:val="00F22145"/>
    <w:rsid w:val="00F22D73"/>
    <w:rsid w:val="00F23875"/>
    <w:rsid w:val="00F23B40"/>
    <w:rsid w:val="00F23B43"/>
    <w:rsid w:val="00F23BD7"/>
    <w:rsid w:val="00F24173"/>
    <w:rsid w:val="00F247FF"/>
    <w:rsid w:val="00F24B37"/>
    <w:rsid w:val="00F24DA7"/>
    <w:rsid w:val="00F24DC4"/>
    <w:rsid w:val="00F24E3C"/>
    <w:rsid w:val="00F24EE0"/>
    <w:rsid w:val="00F258DF"/>
    <w:rsid w:val="00F26BC5"/>
    <w:rsid w:val="00F26D29"/>
    <w:rsid w:val="00F302F0"/>
    <w:rsid w:val="00F30EAE"/>
    <w:rsid w:val="00F312BB"/>
    <w:rsid w:val="00F31D6E"/>
    <w:rsid w:val="00F32EF5"/>
    <w:rsid w:val="00F336DB"/>
    <w:rsid w:val="00F33C2A"/>
    <w:rsid w:val="00F348E1"/>
    <w:rsid w:val="00F35087"/>
    <w:rsid w:val="00F35EC5"/>
    <w:rsid w:val="00F3617E"/>
    <w:rsid w:val="00F368F1"/>
    <w:rsid w:val="00F37104"/>
    <w:rsid w:val="00F3765E"/>
    <w:rsid w:val="00F4013B"/>
    <w:rsid w:val="00F406F3"/>
    <w:rsid w:val="00F409C2"/>
    <w:rsid w:val="00F40CB0"/>
    <w:rsid w:val="00F40E75"/>
    <w:rsid w:val="00F41D25"/>
    <w:rsid w:val="00F41EE3"/>
    <w:rsid w:val="00F42A71"/>
    <w:rsid w:val="00F42D66"/>
    <w:rsid w:val="00F435AA"/>
    <w:rsid w:val="00F438AA"/>
    <w:rsid w:val="00F43C09"/>
    <w:rsid w:val="00F4473D"/>
    <w:rsid w:val="00F4504D"/>
    <w:rsid w:val="00F452E1"/>
    <w:rsid w:val="00F458BF"/>
    <w:rsid w:val="00F464A4"/>
    <w:rsid w:val="00F465E5"/>
    <w:rsid w:val="00F46D36"/>
    <w:rsid w:val="00F46FDF"/>
    <w:rsid w:val="00F47028"/>
    <w:rsid w:val="00F479B5"/>
    <w:rsid w:val="00F47D33"/>
    <w:rsid w:val="00F47D9E"/>
    <w:rsid w:val="00F5011F"/>
    <w:rsid w:val="00F50275"/>
    <w:rsid w:val="00F50BB8"/>
    <w:rsid w:val="00F50D58"/>
    <w:rsid w:val="00F51B0D"/>
    <w:rsid w:val="00F51F76"/>
    <w:rsid w:val="00F533F7"/>
    <w:rsid w:val="00F53678"/>
    <w:rsid w:val="00F53FBB"/>
    <w:rsid w:val="00F53FC7"/>
    <w:rsid w:val="00F541E4"/>
    <w:rsid w:val="00F54220"/>
    <w:rsid w:val="00F54BFB"/>
    <w:rsid w:val="00F54CFF"/>
    <w:rsid w:val="00F558F9"/>
    <w:rsid w:val="00F55E85"/>
    <w:rsid w:val="00F55FC4"/>
    <w:rsid w:val="00F56405"/>
    <w:rsid w:val="00F56B91"/>
    <w:rsid w:val="00F57290"/>
    <w:rsid w:val="00F577BD"/>
    <w:rsid w:val="00F603D1"/>
    <w:rsid w:val="00F60787"/>
    <w:rsid w:val="00F60BB1"/>
    <w:rsid w:val="00F61730"/>
    <w:rsid w:val="00F617AE"/>
    <w:rsid w:val="00F61BF7"/>
    <w:rsid w:val="00F61D76"/>
    <w:rsid w:val="00F622C5"/>
    <w:rsid w:val="00F622DC"/>
    <w:rsid w:val="00F625B4"/>
    <w:rsid w:val="00F62678"/>
    <w:rsid w:val="00F62EBC"/>
    <w:rsid w:val="00F62F71"/>
    <w:rsid w:val="00F63838"/>
    <w:rsid w:val="00F65135"/>
    <w:rsid w:val="00F652ED"/>
    <w:rsid w:val="00F65A85"/>
    <w:rsid w:val="00F6639D"/>
    <w:rsid w:val="00F66A2C"/>
    <w:rsid w:val="00F67207"/>
    <w:rsid w:val="00F67251"/>
    <w:rsid w:val="00F678EA"/>
    <w:rsid w:val="00F70B24"/>
    <w:rsid w:val="00F70CD5"/>
    <w:rsid w:val="00F71046"/>
    <w:rsid w:val="00F71FBF"/>
    <w:rsid w:val="00F736A5"/>
    <w:rsid w:val="00F73F4B"/>
    <w:rsid w:val="00F73F58"/>
    <w:rsid w:val="00F740B8"/>
    <w:rsid w:val="00F75A11"/>
    <w:rsid w:val="00F7661B"/>
    <w:rsid w:val="00F767D5"/>
    <w:rsid w:val="00F76968"/>
    <w:rsid w:val="00F76BD0"/>
    <w:rsid w:val="00F76F32"/>
    <w:rsid w:val="00F770CF"/>
    <w:rsid w:val="00F7710B"/>
    <w:rsid w:val="00F771D2"/>
    <w:rsid w:val="00F778DA"/>
    <w:rsid w:val="00F81253"/>
    <w:rsid w:val="00F81648"/>
    <w:rsid w:val="00F81FC4"/>
    <w:rsid w:val="00F8258C"/>
    <w:rsid w:val="00F8282A"/>
    <w:rsid w:val="00F82C16"/>
    <w:rsid w:val="00F83157"/>
    <w:rsid w:val="00F83EF2"/>
    <w:rsid w:val="00F8405D"/>
    <w:rsid w:val="00F84534"/>
    <w:rsid w:val="00F8467F"/>
    <w:rsid w:val="00F84DB9"/>
    <w:rsid w:val="00F85405"/>
    <w:rsid w:val="00F857C0"/>
    <w:rsid w:val="00F86426"/>
    <w:rsid w:val="00F86466"/>
    <w:rsid w:val="00F869C0"/>
    <w:rsid w:val="00F86A09"/>
    <w:rsid w:val="00F8748C"/>
    <w:rsid w:val="00F90879"/>
    <w:rsid w:val="00F91235"/>
    <w:rsid w:val="00F91E0F"/>
    <w:rsid w:val="00F9234A"/>
    <w:rsid w:val="00F92391"/>
    <w:rsid w:val="00F92556"/>
    <w:rsid w:val="00F9306A"/>
    <w:rsid w:val="00F94466"/>
    <w:rsid w:val="00F946DC"/>
    <w:rsid w:val="00F94CBD"/>
    <w:rsid w:val="00F94E68"/>
    <w:rsid w:val="00F951A7"/>
    <w:rsid w:val="00F9623A"/>
    <w:rsid w:val="00F96308"/>
    <w:rsid w:val="00F96B83"/>
    <w:rsid w:val="00F973EF"/>
    <w:rsid w:val="00F97A85"/>
    <w:rsid w:val="00F97F12"/>
    <w:rsid w:val="00FA0203"/>
    <w:rsid w:val="00FA0632"/>
    <w:rsid w:val="00FA08A5"/>
    <w:rsid w:val="00FA0918"/>
    <w:rsid w:val="00FA0C3D"/>
    <w:rsid w:val="00FA0FCB"/>
    <w:rsid w:val="00FA111A"/>
    <w:rsid w:val="00FA128B"/>
    <w:rsid w:val="00FA1421"/>
    <w:rsid w:val="00FA1760"/>
    <w:rsid w:val="00FA18FB"/>
    <w:rsid w:val="00FA2390"/>
    <w:rsid w:val="00FA2435"/>
    <w:rsid w:val="00FA27EB"/>
    <w:rsid w:val="00FA281A"/>
    <w:rsid w:val="00FA34D8"/>
    <w:rsid w:val="00FA3E41"/>
    <w:rsid w:val="00FA46A4"/>
    <w:rsid w:val="00FA47C8"/>
    <w:rsid w:val="00FA55EE"/>
    <w:rsid w:val="00FA5AA8"/>
    <w:rsid w:val="00FA5FC1"/>
    <w:rsid w:val="00FA6557"/>
    <w:rsid w:val="00FA6EB9"/>
    <w:rsid w:val="00FA7161"/>
    <w:rsid w:val="00FA7EC4"/>
    <w:rsid w:val="00FB0AB1"/>
    <w:rsid w:val="00FB1A05"/>
    <w:rsid w:val="00FB1CE0"/>
    <w:rsid w:val="00FB1DA5"/>
    <w:rsid w:val="00FB2226"/>
    <w:rsid w:val="00FB2ADA"/>
    <w:rsid w:val="00FB3811"/>
    <w:rsid w:val="00FB3812"/>
    <w:rsid w:val="00FB3D34"/>
    <w:rsid w:val="00FB3E04"/>
    <w:rsid w:val="00FB3EAA"/>
    <w:rsid w:val="00FB4783"/>
    <w:rsid w:val="00FB5135"/>
    <w:rsid w:val="00FB5DA9"/>
    <w:rsid w:val="00FB65DB"/>
    <w:rsid w:val="00FB7AB9"/>
    <w:rsid w:val="00FB7D04"/>
    <w:rsid w:val="00FB7EC8"/>
    <w:rsid w:val="00FC0208"/>
    <w:rsid w:val="00FC0592"/>
    <w:rsid w:val="00FC08DF"/>
    <w:rsid w:val="00FC0F52"/>
    <w:rsid w:val="00FC1905"/>
    <w:rsid w:val="00FC2034"/>
    <w:rsid w:val="00FC2067"/>
    <w:rsid w:val="00FC2AAD"/>
    <w:rsid w:val="00FC32D9"/>
    <w:rsid w:val="00FC3579"/>
    <w:rsid w:val="00FC4345"/>
    <w:rsid w:val="00FC4BA1"/>
    <w:rsid w:val="00FC4D1F"/>
    <w:rsid w:val="00FC575A"/>
    <w:rsid w:val="00FC5CF5"/>
    <w:rsid w:val="00FC5D1D"/>
    <w:rsid w:val="00FC6608"/>
    <w:rsid w:val="00FC6E55"/>
    <w:rsid w:val="00FD039C"/>
    <w:rsid w:val="00FD1DD8"/>
    <w:rsid w:val="00FD1EC9"/>
    <w:rsid w:val="00FD20A6"/>
    <w:rsid w:val="00FD268A"/>
    <w:rsid w:val="00FD29BB"/>
    <w:rsid w:val="00FD30DD"/>
    <w:rsid w:val="00FD3B44"/>
    <w:rsid w:val="00FD4CB7"/>
    <w:rsid w:val="00FD4EE7"/>
    <w:rsid w:val="00FD4EEA"/>
    <w:rsid w:val="00FD61C6"/>
    <w:rsid w:val="00FD6927"/>
    <w:rsid w:val="00FD75EC"/>
    <w:rsid w:val="00FE0703"/>
    <w:rsid w:val="00FE081B"/>
    <w:rsid w:val="00FE0A8D"/>
    <w:rsid w:val="00FE0C39"/>
    <w:rsid w:val="00FE0D6B"/>
    <w:rsid w:val="00FE18A1"/>
    <w:rsid w:val="00FE27D9"/>
    <w:rsid w:val="00FE2B53"/>
    <w:rsid w:val="00FE2D6B"/>
    <w:rsid w:val="00FE3C78"/>
    <w:rsid w:val="00FE426E"/>
    <w:rsid w:val="00FE5A81"/>
    <w:rsid w:val="00FE5AEC"/>
    <w:rsid w:val="00FE5F5D"/>
    <w:rsid w:val="00FE6B07"/>
    <w:rsid w:val="00FE6C6E"/>
    <w:rsid w:val="00FE7018"/>
    <w:rsid w:val="00FE73CD"/>
    <w:rsid w:val="00FE7D00"/>
    <w:rsid w:val="00FF020C"/>
    <w:rsid w:val="00FF074D"/>
    <w:rsid w:val="00FF141A"/>
    <w:rsid w:val="00FF1426"/>
    <w:rsid w:val="00FF177A"/>
    <w:rsid w:val="00FF1B91"/>
    <w:rsid w:val="00FF24D7"/>
    <w:rsid w:val="00FF2BE6"/>
    <w:rsid w:val="00FF32D1"/>
    <w:rsid w:val="00FF3722"/>
    <w:rsid w:val="00FF3EC8"/>
    <w:rsid w:val="00FF468B"/>
    <w:rsid w:val="00FF4783"/>
    <w:rsid w:val="00FF4B23"/>
    <w:rsid w:val="00FF5521"/>
    <w:rsid w:val="00FF5F69"/>
    <w:rsid w:val="00FF61FD"/>
    <w:rsid w:val="00FF6325"/>
    <w:rsid w:val="00FF687D"/>
    <w:rsid w:val="00FF69AA"/>
    <w:rsid w:val="00FF6D2F"/>
    <w:rsid w:val="00FF7073"/>
    <w:rsid w:val="00FF7099"/>
    <w:rsid w:val="00FF7599"/>
    <w:rsid w:val="0539337B"/>
    <w:rsid w:val="0BDC36B4"/>
    <w:rsid w:val="10833FD2"/>
    <w:rsid w:val="55DB61F0"/>
    <w:rsid w:val="587A37B8"/>
    <w:rsid w:val="5C7133B8"/>
    <w:rsid w:val="74C67254"/>
    <w:rsid w:val="775B2710"/>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华文楷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page number" w:semiHidden="0"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semiHidden="0" w:unhideWhenUsed="0" w:qFormat="1"/>
    <w:lsdException w:name="Normal (Web)" w:semiHidden="0" w:uiPriority="0" w:unhideWhenUsed="0"/>
    <w:lsdException w:name="Normal Table" w:qFormat="1"/>
    <w:lsdException w:name="annotation subject" w:semiHidden="0" w:unhideWhenUsed="0"/>
    <w:lsdException w:name="Balloon Text" w:semiHidden="0" w:unhideWhenUsed="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BF"/>
    <w:pPr>
      <w:widowControl w:val="0"/>
      <w:jc w:val="both"/>
    </w:pPr>
    <w:rPr>
      <w:rFonts w:eastAsia="宋体"/>
      <w:kern w:val="2"/>
      <w:sz w:val="21"/>
      <w:szCs w:val="24"/>
    </w:rPr>
  </w:style>
  <w:style w:type="paragraph" w:styleId="1">
    <w:name w:val="heading 1"/>
    <w:basedOn w:val="a"/>
    <w:next w:val="a"/>
    <w:link w:val="1Char"/>
    <w:qFormat/>
    <w:locked/>
    <w:rsid w:val="00A80EEE"/>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link w:val="2Char"/>
    <w:qFormat/>
    <w:locked/>
    <w:rsid w:val="00D21EC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8E25BF"/>
    <w:rPr>
      <w:rFonts w:cs="Times New Roman"/>
      <w:color w:val="CC0000"/>
    </w:rPr>
  </w:style>
  <w:style w:type="character" w:styleId="a4">
    <w:name w:val="page number"/>
    <w:uiPriority w:val="99"/>
    <w:rsid w:val="008E25BF"/>
    <w:rPr>
      <w:rFonts w:cs="Times New Roman"/>
    </w:rPr>
  </w:style>
  <w:style w:type="character" w:styleId="a5">
    <w:name w:val="annotation reference"/>
    <w:uiPriority w:val="99"/>
    <w:rsid w:val="008E25BF"/>
    <w:rPr>
      <w:rFonts w:cs="Times New Roman"/>
      <w:sz w:val="21"/>
      <w:szCs w:val="21"/>
    </w:rPr>
  </w:style>
  <w:style w:type="character" w:customStyle="1" w:styleId="Char">
    <w:name w:val="批注框文本 Char"/>
    <w:link w:val="a6"/>
    <w:uiPriority w:val="99"/>
    <w:locked/>
    <w:rsid w:val="008E25BF"/>
    <w:rPr>
      <w:rFonts w:ascii="Tahoma" w:eastAsia="宋体" w:hAnsi="Tahoma" w:cs="Tahoma"/>
      <w:kern w:val="2"/>
      <w:sz w:val="16"/>
      <w:szCs w:val="16"/>
    </w:rPr>
  </w:style>
  <w:style w:type="character" w:customStyle="1" w:styleId="Char0">
    <w:name w:val="批注主题 Char"/>
    <w:link w:val="a7"/>
    <w:uiPriority w:val="99"/>
    <w:locked/>
    <w:rsid w:val="008E25BF"/>
    <w:rPr>
      <w:rFonts w:eastAsia="宋体" w:cs="Times New Roman"/>
      <w:b/>
      <w:bCs/>
      <w:kern w:val="2"/>
      <w:sz w:val="24"/>
      <w:szCs w:val="24"/>
    </w:rPr>
  </w:style>
  <w:style w:type="character" w:customStyle="1" w:styleId="Char1">
    <w:name w:val="页眉 Char"/>
    <w:link w:val="a8"/>
    <w:uiPriority w:val="99"/>
    <w:locked/>
    <w:rsid w:val="008E25BF"/>
    <w:rPr>
      <w:rFonts w:eastAsia="宋体" w:cs="Times New Roman"/>
      <w:kern w:val="2"/>
      <w:sz w:val="24"/>
      <w:szCs w:val="24"/>
    </w:rPr>
  </w:style>
  <w:style w:type="character" w:customStyle="1" w:styleId="Char2">
    <w:name w:val="页脚 Char"/>
    <w:link w:val="a9"/>
    <w:uiPriority w:val="99"/>
    <w:rsid w:val="008E25BF"/>
    <w:rPr>
      <w:rFonts w:eastAsia="宋体"/>
      <w:sz w:val="18"/>
      <w:szCs w:val="18"/>
    </w:rPr>
  </w:style>
  <w:style w:type="character" w:customStyle="1" w:styleId="Char3">
    <w:name w:val="批注文字 Char"/>
    <w:link w:val="aa"/>
    <w:uiPriority w:val="99"/>
    <w:locked/>
    <w:rsid w:val="008E25BF"/>
    <w:rPr>
      <w:rFonts w:eastAsia="宋体" w:cs="Times New Roman"/>
      <w:kern w:val="2"/>
      <w:sz w:val="24"/>
      <w:szCs w:val="24"/>
    </w:rPr>
  </w:style>
  <w:style w:type="paragraph" w:styleId="aa">
    <w:name w:val="annotation text"/>
    <w:basedOn w:val="a"/>
    <w:link w:val="Char3"/>
    <w:uiPriority w:val="99"/>
    <w:rsid w:val="008E25BF"/>
    <w:pPr>
      <w:jc w:val="left"/>
    </w:pPr>
    <w:rPr>
      <w:sz w:val="24"/>
    </w:rPr>
  </w:style>
  <w:style w:type="paragraph" w:styleId="ab">
    <w:name w:val="Normal (Web)"/>
    <w:basedOn w:val="a"/>
    <w:rsid w:val="008E25BF"/>
    <w:pPr>
      <w:widowControl/>
      <w:spacing w:before="100" w:beforeAutospacing="1" w:after="100" w:afterAutospacing="1"/>
      <w:jc w:val="left"/>
    </w:pPr>
    <w:rPr>
      <w:rFonts w:ascii="宋体" w:hAnsi="宋体" w:cs="宋体"/>
      <w:kern w:val="0"/>
      <w:sz w:val="24"/>
    </w:rPr>
  </w:style>
  <w:style w:type="paragraph" w:styleId="a7">
    <w:name w:val="annotation subject"/>
    <w:basedOn w:val="aa"/>
    <w:next w:val="aa"/>
    <w:link w:val="Char0"/>
    <w:uiPriority w:val="99"/>
    <w:rsid w:val="008E25BF"/>
    <w:rPr>
      <w:b/>
      <w:bCs/>
    </w:rPr>
  </w:style>
  <w:style w:type="paragraph" w:styleId="a8">
    <w:name w:val="header"/>
    <w:basedOn w:val="a"/>
    <w:link w:val="Char1"/>
    <w:uiPriority w:val="99"/>
    <w:rsid w:val="008E25BF"/>
    <w:pPr>
      <w:tabs>
        <w:tab w:val="center" w:pos="4320"/>
        <w:tab w:val="right" w:pos="8640"/>
      </w:tabs>
    </w:pPr>
    <w:rPr>
      <w:sz w:val="24"/>
    </w:rPr>
  </w:style>
  <w:style w:type="paragraph" w:styleId="a9">
    <w:name w:val="footer"/>
    <w:basedOn w:val="a"/>
    <w:link w:val="Char2"/>
    <w:uiPriority w:val="99"/>
    <w:rsid w:val="008E25BF"/>
    <w:pPr>
      <w:tabs>
        <w:tab w:val="center" w:pos="4320"/>
        <w:tab w:val="right" w:pos="8640"/>
      </w:tabs>
    </w:pPr>
    <w:rPr>
      <w:kern w:val="0"/>
      <w:sz w:val="18"/>
      <w:szCs w:val="18"/>
    </w:rPr>
  </w:style>
  <w:style w:type="paragraph" w:styleId="a6">
    <w:name w:val="Balloon Text"/>
    <w:basedOn w:val="a"/>
    <w:link w:val="Char"/>
    <w:uiPriority w:val="99"/>
    <w:rsid w:val="008E25BF"/>
    <w:rPr>
      <w:rFonts w:ascii="Tahoma" w:hAnsi="Tahoma"/>
      <w:sz w:val="16"/>
      <w:szCs w:val="16"/>
    </w:rPr>
  </w:style>
  <w:style w:type="paragraph" w:styleId="ac">
    <w:name w:val="Revision"/>
    <w:uiPriority w:val="99"/>
    <w:semiHidden/>
    <w:rsid w:val="008E25BF"/>
    <w:rPr>
      <w:rFonts w:eastAsia="宋体"/>
      <w:kern w:val="2"/>
      <w:sz w:val="21"/>
      <w:szCs w:val="24"/>
    </w:rPr>
  </w:style>
  <w:style w:type="paragraph" w:styleId="ad">
    <w:name w:val="List Paragraph"/>
    <w:basedOn w:val="a"/>
    <w:uiPriority w:val="99"/>
    <w:qFormat/>
    <w:rsid w:val="008E25BF"/>
    <w:pPr>
      <w:ind w:firstLineChars="200" w:firstLine="420"/>
    </w:pPr>
  </w:style>
  <w:style w:type="table" w:styleId="ae">
    <w:name w:val="Table Grid"/>
    <w:basedOn w:val="a1"/>
    <w:uiPriority w:val="99"/>
    <w:rsid w:val="008E2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5515"/>
    <w:pPr>
      <w:widowControl w:val="0"/>
      <w:autoSpaceDE w:val="0"/>
      <w:autoSpaceDN w:val="0"/>
      <w:adjustRightInd w:val="0"/>
    </w:pPr>
    <w:rPr>
      <w:rFonts w:ascii="宋体" w:eastAsia="宋体" w:cs="宋体"/>
      <w:color w:val="000000"/>
      <w:sz w:val="24"/>
      <w:szCs w:val="24"/>
      <w:lang w:bidi="th-TH"/>
    </w:rPr>
  </w:style>
  <w:style w:type="character" w:customStyle="1" w:styleId="2CharCharChar">
    <w:name w:val="标题 2 Char Char Char"/>
    <w:rsid w:val="00D21EC6"/>
    <w:rPr>
      <w:rFonts w:ascii="Arial" w:eastAsia="宋体" w:hAnsi="Arial"/>
      <w:b/>
      <w:kern w:val="2"/>
      <w:sz w:val="28"/>
      <w:szCs w:val="28"/>
      <w:lang w:val="en-US" w:eastAsia="zh-CN" w:bidi="ar-SA"/>
    </w:rPr>
  </w:style>
  <w:style w:type="character" w:customStyle="1" w:styleId="2Char">
    <w:name w:val="标题 2 Char"/>
    <w:aliases w:val="2 Char,Chapter X.X. Statement Char,Header 2 Char,Level 2 Head Char,h2 Char,heading 2 Char,l2 Char,标题 2 Char Char Char1"/>
    <w:basedOn w:val="a0"/>
    <w:link w:val="2"/>
    <w:rsid w:val="00D21EC6"/>
    <w:rPr>
      <w:rFonts w:ascii="Arial" w:eastAsia="黑体" w:hAnsi="Arial"/>
      <w:b/>
      <w:bCs/>
      <w:kern w:val="2"/>
      <w:sz w:val="32"/>
      <w:szCs w:val="32"/>
      <w:lang w:bidi="ar-SA"/>
    </w:rPr>
  </w:style>
  <w:style w:type="paragraph" w:styleId="20">
    <w:name w:val="toc 2"/>
    <w:basedOn w:val="a"/>
    <w:next w:val="a"/>
    <w:autoRedefine/>
    <w:uiPriority w:val="39"/>
    <w:rsid w:val="00A80EEE"/>
    <w:pPr>
      <w:tabs>
        <w:tab w:val="right" w:leader="dot" w:pos="8302"/>
      </w:tabs>
      <w:spacing w:line="360" w:lineRule="auto"/>
      <w:ind w:left="210"/>
      <w:jc w:val="left"/>
    </w:pPr>
    <w:rPr>
      <w:smallCaps/>
      <w:sz w:val="20"/>
      <w:szCs w:val="20"/>
    </w:rPr>
  </w:style>
  <w:style w:type="character" w:styleId="af">
    <w:name w:val="Hyperlink"/>
    <w:basedOn w:val="a0"/>
    <w:uiPriority w:val="99"/>
    <w:rsid w:val="00A80EEE"/>
    <w:rPr>
      <w:color w:val="0000FF"/>
      <w:u w:val="single"/>
    </w:rPr>
  </w:style>
  <w:style w:type="character" w:customStyle="1" w:styleId="1Char">
    <w:name w:val="标题 1 Char"/>
    <w:basedOn w:val="a0"/>
    <w:link w:val="1"/>
    <w:rsid w:val="00A80EEE"/>
    <w:rPr>
      <w:rFonts w:eastAsia="宋体"/>
      <w:b/>
      <w:bCs/>
      <w:kern w:val="44"/>
      <w:sz w:val="44"/>
      <w:szCs w:val="44"/>
      <w:lang w:bidi="ar-SA"/>
    </w:rPr>
  </w:style>
  <w:style w:type="paragraph" w:customStyle="1" w:styleId="14">
    <w:name w:val="正文_14"/>
    <w:qFormat/>
    <w:rsid w:val="00A80EEE"/>
    <w:pPr>
      <w:widowControl w:val="0"/>
      <w:jc w:val="both"/>
    </w:pPr>
    <w:rPr>
      <w:rFonts w:eastAsia="宋体"/>
      <w:kern w:val="2"/>
      <w:sz w:val="21"/>
      <w:szCs w:val="24"/>
    </w:rPr>
  </w:style>
  <w:style w:type="paragraph" w:customStyle="1" w:styleId="21">
    <w:name w:val="正文_21"/>
    <w:qFormat/>
    <w:rsid w:val="00A80EEE"/>
    <w:pPr>
      <w:widowControl w:val="0"/>
      <w:jc w:val="both"/>
    </w:pPr>
    <w:rPr>
      <w:rFonts w:eastAsia="宋体"/>
      <w:kern w:val="2"/>
      <w:sz w:val="21"/>
      <w:szCs w:val="24"/>
    </w:rPr>
  </w:style>
  <w:style w:type="paragraph" w:styleId="10">
    <w:name w:val="toc 1"/>
    <w:basedOn w:val="a"/>
    <w:next w:val="a"/>
    <w:autoRedefine/>
    <w:uiPriority w:val="39"/>
    <w:unhideWhenUsed/>
    <w:rsid w:val="00326032"/>
    <w:pPr>
      <w:tabs>
        <w:tab w:val="right" w:leader="dot" w:pos="9060"/>
      </w:tabs>
      <w:overflowPunct w:val="0"/>
      <w:spacing w:line="360" w:lineRule="auto"/>
    </w:pPr>
  </w:style>
  <w:style w:type="paragraph" w:styleId="af0">
    <w:name w:val="Document Map"/>
    <w:basedOn w:val="a"/>
    <w:link w:val="Char4"/>
    <w:uiPriority w:val="99"/>
    <w:semiHidden/>
    <w:unhideWhenUsed/>
    <w:rsid w:val="0089481E"/>
    <w:rPr>
      <w:rFonts w:ascii="宋体"/>
      <w:sz w:val="18"/>
      <w:szCs w:val="18"/>
    </w:rPr>
  </w:style>
  <w:style w:type="character" w:customStyle="1" w:styleId="Char4">
    <w:name w:val="文档结构图 Char"/>
    <w:basedOn w:val="a0"/>
    <w:link w:val="af0"/>
    <w:uiPriority w:val="99"/>
    <w:semiHidden/>
    <w:rsid w:val="0089481E"/>
    <w:rPr>
      <w:rFonts w:ascii="宋体" w:eastAsia="宋体"/>
      <w:kern w:val="2"/>
      <w:sz w:val="18"/>
      <w:szCs w:val="18"/>
      <w:lang w:bidi="ar-SA"/>
    </w:rPr>
  </w:style>
  <w:style w:type="paragraph" w:customStyle="1" w:styleId="28">
    <w:name w:val="正文_28"/>
    <w:qFormat/>
    <w:rsid w:val="00D554B3"/>
    <w:pPr>
      <w:widowControl w:val="0"/>
      <w:jc w:val="both"/>
    </w:pPr>
    <w:rPr>
      <w:rFonts w:eastAsia="宋体"/>
      <w:kern w:val="2"/>
      <w:sz w:val="21"/>
      <w:szCs w:val="24"/>
    </w:rPr>
  </w:style>
  <w:style w:type="paragraph" w:customStyle="1" w:styleId="af1">
    <w:name w:val="正文所"/>
    <w:basedOn w:val="a"/>
    <w:rsid w:val="00084859"/>
    <w:pPr>
      <w:spacing w:line="360" w:lineRule="auto"/>
      <w:ind w:firstLineChars="200" w:firstLine="420"/>
    </w:pPr>
    <w:rPr>
      <w:rFonts w:ascii="宋体"/>
      <w:szCs w:val="20"/>
    </w:rPr>
  </w:style>
  <w:style w:type="paragraph" w:customStyle="1" w:styleId="Style6">
    <w:name w:val="_Style 6"/>
    <w:basedOn w:val="a"/>
    <w:next w:val="a"/>
    <w:rsid w:val="00084859"/>
    <w:pPr>
      <w:adjustRightInd w:val="0"/>
      <w:snapToGrid w:val="0"/>
      <w:ind w:firstLineChars="200" w:firstLine="480"/>
    </w:pPr>
    <w:rPr>
      <w:rFonts w:ascii="仿宋_GB2312" w:eastAsia="仿宋_GB2312" w:hAnsi="宋体"/>
      <w:color w:val="000000"/>
      <w:sz w:val="24"/>
      <w:szCs w:val="20"/>
    </w:rPr>
  </w:style>
  <w:style w:type="paragraph" w:styleId="af2">
    <w:name w:val="Date"/>
    <w:basedOn w:val="a"/>
    <w:next w:val="a"/>
    <w:link w:val="Char5"/>
    <w:uiPriority w:val="99"/>
    <w:semiHidden/>
    <w:unhideWhenUsed/>
    <w:rsid w:val="00EE10AD"/>
    <w:pPr>
      <w:ind w:leftChars="2500" w:left="100"/>
    </w:pPr>
  </w:style>
  <w:style w:type="character" w:customStyle="1" w:styleId="Char5">
    <w:name w:val="日期 Char"/>
    <w:basedOn w:val="a0"/>
    <w:link w:val="af2"/>
    <w:uiPriority w:val="99"/>
    <w:semiHidden/>
    <w:rsid w:val="00EE10AD"/>
    <w:rPr>
      <w:rFonts w:eastAsia="宋体"/>
      <w:kern w:val="2"/>
      <w:sz w:val="21"/>
      <w:szCs w:val="24"/>
    </w:rPr>
  </w:style>
  <w:style w:type="paragraph" w:styleId="af3">
    <w:name w:val="footnote text"/>
    <w:basedOn w:val="a"/>
    <w:link w:val="Char6"/>
    <w:uiPriority w:val="99"/>
    <w:semiHidden/>
    <w:unhideWhenUsed/>
    <w:rsid w:val="00516D14"/>
    <w:pPr>
      <w:snapToGrid w:val="0"/>
      <w:jc w:val="left"/>
    </w:pPr>
    <w:rPr>
      <w:sz w:val="18"/>
      <w:szCs w:val="18"/>
    </w:rPr>
  </w:style>
  <w:style w:type="character" w:customStyle="1" w:styleId="Char6">
    <w:name w:val="脚注文本 Char"/>
    <w:basedOn w:val="a0"/>
    <w:link w:val="af3"/>
    <w:uiPriority w:val="99"/>
    <w:semiHidden/>
    <w:rsid w:val="00516D14"/>
    <w:rPr>
      <w:rFonts w:eastAsia="宋体"/>
      <w:kern w:val="2"/>
      <w:sz w:val="18"/>
      <w:szCs w:val="18"/>
    </w:rPr>
  </w:style>
  <w:style w:type="character" w:styleId="af4">
    <w:name w:val="footnote reference"/>
    <w:basedOn w:val="a0"/>
    <w:uiPriority w:val="99"/>
    <w:semiHidden/>
    <w:unhideWhenUsed/>
    <w:rsid w:val="00516D14"/>
    <w:rPr>
      <w:vertAlign w:val="superscript"/>
    </w:rPr>
  </w:style>
</w:styles>
</file>

<file path=word/webSettings.xml><?xml version="1.0" encoding="utf-8"?>
<w:webSettings xmlns:r="http://schemas.openxmlformats.org/officeDocument/2006/relationships" xmlns:w="http://schemas.openxmlformats.org/wordprocessingml/2006/main">
  <w:divs>
    <w:div w:id="9642663">
      <w:bodyDiv w:val="1"/>
      <w:marLeft w:val="0"/>
      <w:marRight w:val="0"/>
      <w:marTop w:val="0"/>
      <w:marBottom w:val="0"/>
      <w:divBdr>
        <w:top w:val="none" w:sz="0" w:space="0" w:color="auto"/>
        <w:left w:val="none" w:sz="0" w:space="0" w:color="auto"/>
        <w:bottom w:val="none" w:sz="0" w:space="0" w:color="auto"/>
        <w:right w:val="none" w:sz="0" w:space="0" w:color="auto"/>
      </w:divBdr>
    </w:div>
    <w:div w:id="13120503">
      <w:bodyDiv w:val="1"/>
      <w:marLeft w:val="0"/>
      <w:marRight w:val="0"/>
      <w:marTop w:val="0"/>
      <w:marBottom w:val="0"/>
      <w:divBdr>
        <w:top w:val="none" w:sz="0" w:space="0" w:color="auto"/>
        <w:left w:val="none" w:sz="0" w:space="0" w:color="auto"/>
        <w:bottom w:val="none" w:sz="0" w:space="0" w:color="auto"/>
        <w:right w:val="none" w:sz="0" w:space="0" w:color="auto"/>
      </w:divBdr>
    </w:div>
    <w:div w:id="20517984">
      <w:bodyDiv w:val="1"/>
      <w:marLeft w:val="0"/>
      <w:marRight w:val="0"/>
      <w:marTop w:val="0"/>
      <w:marBottom w:val="0"/>
      <w:divBdr>
        <w:top w:val="none" w:sz="0" w:space="0" w:color="auto"/>
        <w:left w:val="none" w:sz="0" w:space="0" w:color="auto"/>
        <w:bottom w:val="none" w:sz="0" w:space="0" w:color="auto"/>
        <w:right w:val="none" w:sz="0" w:space="0" w:color="auto"/>
      </w:divBdr>
    </w:div>
    <w:div w:id="65960752">
      <w:bodyDiv w:val="1"/>
      <w:marLeft w:val="0"/>
      <w:marRight w:val="0"/>
      <w:marTop w:val="0"/>
      <w:marBottom w:val="0"/>
      <w:divBdr>
        <w:top w:val="none" w:sz="0" w:space="0" w:color="auto"/>
        <w:left w:val="none" w:sz="0" w:space="0" w:color="auto"/>
        <w:bottom w:val="none" w:sz="0" w:space="0" w:color="auto"/>
        <w:right w:val="none" w:sz="0" w:space="0" w:color="auto"/>
      </w:divBdr>
    </w:div>
    <w:div w:id="84349801">
      <w:bodyDiv w:val="1"/>
      <w:marLeft w:val="0"/>
      <w:marRight w:val="0"/>
      <w:marTop w:val="0"/>
      <w:marBottom w:val="0"/>
      <w:divBdr>
        <w:top w:val="none" w:sz="0" w:space="0" w:color="auto"/>
        <w:left w:val="none" w:sz="0" w:space="0" w:color="auto"/>
        <w:bottom w:val="none" w:sz="0" w:space="0" w:color="auto"/>
        <w:right w:val="none" w:sz="0" w:space="0" w:color="auto"/>
      </w:divBdr>
    </w:div>
    <w:div w:id="87586173">
      <w:bodyDiv w:val="1"/>
      <w:marLeft w:val="0"/>
      <w:marRight w:val="0"/>
      <w:marTop w:val="0"/>
      <w:marBottom w:val="0"/>
      <w:divBdr>
        <w:top w:val="none" w:sz="0" w:space="0" w:color="auto"/>
        <w:left w:val="none" w:sz="0" w:space="0" w:color="auto"/>
        <w:bottom w:val="none" w:sz="0" w:space="0" w:color="auto"/>
        <w:right w:val="none" w:sz="0" w:space="0" w:color="auto"/>
      </w:divBdr>
    </w:div>
    <w:div w:id="92240434">
      <w:bodyDiv w:val="1"/>
      <w:marLeft w:val="0"/>
      <w:marRight w:val="0"/>
      <w:marTop w:val="0"/>
      <w:marBottom w:val="0"/>
      <w:divBdr>
        <w:top w:val="none" w:sz="0" w:space="0" w:color="auto"/>
        <w:left w:val="none" w:sz="0" w:space="0" w:color="auto"/>
        <w:bottom w:val="none" w:sz="0" w:space="0" w:color="auto"/>
        <w:right w:val="none" w:sz="0" w:space="0" w:color="auto"/>
      </w:divBdr>
    </w:div>
    <w:div w:id="114377093">
      <w:bodyDiv w:val="1"/>
      <w:marLeft w:val="0"/>
      <w:marRight w:val="0"/>
      <w:marTop w:val="0"/>
      <w:marBottom w:val="0"/>
      <w:divBdr>
        <w:top w:val="none" w:sz="0" w:space="0" w:color="auto"/>
        <w:left w:val="none" w:sz="0" w:space="0" w:color="auto"/>
        <w:bottom w:val="none" w:sz="0" w:space="0" w:color="auto"/>
        <w:right w:val="none" w:sz="0" w:space="0" w:color="auto"/>
      </w:divBdr>
    </w:div>
    <w:div w:id="123542537">
      <w:bodyDiv w:val="1"/>
      <w:marLeft w:val="0"/>
      <w:marRight w:val="0"/>
      <w:marTop w:val="0"/>
      <w:marBottom w:val="0"/>
      <w:divBdr>
        <w:top w:val="none" w:sz="0" w:space="0" w:color="auto"/>
        <w:left w:val="none" w:sz="0" w:space="0" w:color="auto"/>
        <w:bottom w:val="none" w:sz="0" w:space="0" w:color="auto"/>
        <w:right w:val="none" w:sz="0" w:space="0" w:color="auto"/>
      </w:divBdr>
    </w:div>
    <w:div w:id="130295542">
      <w:bodyDiv w:val="1"/>
      <w:marLeft w:val="0"/>
      <w:marRight w:val="0"/>
      <w:marTop w:val="0"/>
      <w:marBottom w:val="0"/>
      <w:divBdr>
        <w:top w:val="none" w:sz="0" w:space="0" w:color="auto"/>
        <w:left w:val="none" w:sz="0" w:space="0" w:color="auto"/>
        <w:bottom w:val="none" w:sz="0" w:space="0" w:color="auto"/>
        <w:right w:val="none" w:sz="0" w:space="0" w:color="auto"/>
      </w:divBdr>
    </w:div>
    <w:div w:id="144513356">
      <w:bodyDiv w:val="1"/>
      <w:marLeft w:val="0"/>
      <w:marRight w:val="0"/>
      <w:marTop w:val="0"/>
      <w:marBottom w:val="0"/>
      <w:divBdr>
        <w:top w:val="none" w:sz="0" w:space="0" w:color="auto"/>
        <w:left w:val="none" w:sz="0" w:space="0" w:color="auto"/>
        <w:bottom w:val="none" w:sz="0" w:space="0" w:color="auto"/>
        <w:right w:val="none" w:sz="0" w:space="0" w:color="auto"/>
      </w:divBdr>
    </w:div>
    <w:div w:id="167335440">
      <w:bodyDiv w:val="1"/>
      <w:marLeft w:val="0"/>
      <w:marRight w:val="0"/>
      <w:marTop w:val="0"/>
      <w:marBottom w:val="0"/>
      <w:divBdr>
        <w:top w:val="none" w:sz="0" w:space="0" w:color="auto"/>
        <w:left w:val="none" w:sz="0" w:space="0" w:color="auto"/>
        <w:bottom w:val="none" w:sz="0" w:space="0" w:color="auto"/>
        <w:right w:val="none" w:sz="0" w:space="0" w:color="auto"/>
      </w:divBdr>
    </w:div>
    <w:div w:id="172497019">
      <w:bodyDiv w:val="1"/>
      <w:marLeft w:val="0"/>
      <w:marRight w:val="0"/>
      <w:marTop w:val="0"/>
      <w:marBottom w:val="0"/>
      <w:divBdr>
        <w:top w:val="none" w:sz="0" w:space="0" w:color="auto"/>
        <w:left w:val="none" w:sz="0" w:space="0" w:color="auto"/>
        <w:bottom w:val="none" w:sz="0" w:space="0" w:color="auto"/>
        <w:right w:val="none" w:sz="0" w:space="0" w:color="auto"/>
      </w:divBdr>
    </w:div>
    <w:div w:id="186062441">
      <w:bodyDiv w:val="1"/>
      <w:marLeft w:val="0"/>
      <w:marRight w:val="0"/>
      <w:marTop w:val="0"/>
      <w:marBottom w:val="0"/>
      <w:divBdr>
        <w:top w:val="none" w:sz="0" w:space="0" w:color="auto"/>
        <w:left w:val="none" w:sz="0" w:space="0" w:color="auto"/>
        <w:bottom w:val="none" w:sz="0" w:space="0" w:color="auto"/>
        <w:right w:val="none" w:sz="0" w:space="0" w:color="auto"/>
      </w:divBdr>
    </w:div>
    <w:div w:id="189799606">
      <w:bodyDiv w:val="1"/>
      <w:marLeft w:val="0"/>
      <w:marRight w:val="0"/>
      <w:marTop w:val="0"/>
      <w:marBottom w:val="0"/>
      <w:divBdr>
        <w:top w:val="none" w:sz="0" w:space="0" w:color="auto"/>
        <w:left w:val="none" w:sz="0" w:space="0" w:color="auto"/>
        <w:bottom w:val="none" w:sz="0" w:space="0" w:color="auto"/>
        <w:right w:val="none" w:sz="0" w:space="0" w:color="auto"/>
      </w:divBdr>
    </w:div>
    <w:div w:id="203712518">
      <w:bodyDiv w:val="1"/>
      <w:marLeft w:val="0"/>
      <w:marRight w:val="0"/>
      <w:marTop w:val="0"/>
      <w:marBottom w:val="0"/>
      <w:divBdr>
        <w:top w:val="none" w:sz="0" w:space="0" w:color="auto"/>
        <w:left w:val="none" w:sz="0" w:space="0" w:color="auto"/>
        <w:bottom w:val="none" w:sz="0" w:space="0" w:color="auto"/>
        <w:right w:val="none" w:sz="0" w:space="0" w:color="auto"/>
      </w:divBdr>
    </w:div>
    <w:div w:id="204409987">
      <w:bodyDiv w:val="1"/>
      <w:marLeft w:val="0"/>
      <w:marRight w:val="0"/>
      <w:marTop w:val="0"/>
      <w:marBottom w:val="0"/>
      <w:divBdr>
        <w:top w:val="none" w:sz="0" w:space="0" w:color="auto"/>
        <w:left w:val="none" w:sz="0" w:space="0" w:color="auto"/>
        <w:bottom w:val="none" w:sz="0" w:space="0" w:color="auto"/>
        <w:right w:val="none" w:sz="0" w:space="0" w:color="auto"/>
      </w:divBdr>
    </w:div>
    <w:div w:id="210188068">
      <w:bodyDiv w:val="1"/>
      <w:marLeft w:val="0"/>
      <w:marRight w:val="0"/>
      <w:marTop w:val="0"/>
      <w:marBottom w:val="0"/>
      <w:divBdr>
        <w:top w:val="none" w:sz="0" w:space="0" w:color="auto"/>
        <w:left w:val="none" w:sz="0" w:space="0" w:color="auto"/>
        <w:bottom w:val="none" w:sz="0" w:space="0" w:color="auto"/>
        <w:right w:val="none" w:sz="0" w:space="0" w:color="auto"/>
      </w:divBdr>
    </w:div>
    <w:div w:id="210458683">
      <w:bodyDiv w:val="1"/>
      <w:marLeft w:val="0"/>
      <w:marRight w:val="0"/>
      <w:marTop w:val="0"/>
      <w:marBottom w:val="0"/>
      <w:divBdr>
        <w:top w:val="none" w:sz="0" w:space="0" w:color="auto"/>
        <w:left w:val="none" w:sz="0" w:space="0" w:color="auto"/>
        <w:bottom w:val="none" w:sz="0" w:space="0" w:color="auto"/>
        <w:right w:val="none" w:sz="0" w:space="0" w:color="auto"/>
      </w:divBdr>
    </w:div>
    <w:div w:id="215434348">
      <w:bodyDiv w:val="1"/>
      <w:marLeft w:val="0"/>
      <w:marRight w:val="0"/>
      <w:marTop w:val="0"/>
      <w:marBottom w:val="0"/>
      <w:divBdr>
        <w:top w:val="none" w:sz="0" w:space="0" w:color="auto"/>
        <w:left w:val="none" w:sz="0" w:space="0" w:color="auto"/>
        <w:bottom w:val="none" w:sz="0" w:space="0" w:color="auto"/>
        <w:right w:val="none" w:sz="0" w:space="0" w:color="auto"/>
      </w:divBdr>
    </w:div>
    <w:div w:id="226191785">
      <w:bodyDiv w:val="1"/>
      <w:marLeft w:val="0"/>
      <w:marRight w:val="0"/>
      <w:marTop w:val="0"/>
      <w:marBottom w:val="0"/>
      <w:divBdr>
        <w:top w:val="none" w:sz="0" w:space="0" w:color="auto"/>
        <w:left w:val="none" w:sz="0" w:space="0" w:color="auto"/>
        <w:bottom w:val="none" w:sz="0" w:space="0" w:color="auto"/>
        <w:right w:val="none" w:sz="0" w:space="0" w:color="auto"/>
      </w:divBdr>
    </w:div>
    <w:div w:id="238488348">
      <w:bodyDiv w:val="1"/>
      <w:marLeft w:val="0"/>
      <w:marRight w:val="0"/>
      <w:marTop w:val="0"/>
      <w:marBottom w:val="0"/>
      <w:divBdr>
        <w:top w:val="none" w:sz="0" w:space="0" w:color="auto"/>
        <w:left w:val="none" w:sz="0" w:space="0" w:color="auto"/>
        <w:bottom w:val="none" w:sz="0" w:space="0" w:color="auto"/>
        <w:right w:val="none" w:sz="0" w:space="0" w:color="auto"/>
      </w:divBdr>
    </w:div>
    <w:div w:id="248780353">
      <w:bodyDiv w:val="1"/>
      <w:marLeft w:val="0"/>
      <w:marRight w:val="0"/>
      <w:marTop w:val="0"/>
      <w:marBottom w:val="0"/>
      <w:divBdr>
        <w:top w:val="none" w:sz="0" w:space="0" w:color="auto"/>
        <w:left w:val="none" w:sz="0" w:space="0" w:color="auto"/>
        <w:bottom w:val="none" w:sz="0" w:space="0" w:color="auto"/>
        <w:right w:val="none" w:sz="0" w:space="0" w:color="auto"/>
      </w:divBdr>
    </w:div>
    <w:div w:id="292253875">
      <w:bodyDiv w:val="1"/>
      <w:marLeft w:val="0"/>
      <w:marRight w:val="0"/>
      <w:marTop w:val="0"/>
      <w:marBottom w:val="0"/>
      <w:divBdr>
        <w:top w:val="none" w:sz="0" w:space="0" w:color="auto"/>
        <w:left w:val="none" w:sz="0" w:space="0" w:color="auto"/>
        <w:bottom w:val="none" w:sz="0" w:space="0" w:color="auto"/>
        <w:right w:val="none" w:sz="0" w:space="0" w:color="auto"/>
      </w:divBdr>
    </w:div>
    <w:div w:id="298386305">
      <w:bodyDiv w:val="1"/>
      <w:marLeft w:val="0"/>
      <w:marRight w:val="0"/>
      <w:marTop w:val="0"/>
      <w:marBottom w:val="0"/>
      <w:divBdr>
        <w:top w:val="none" w:sz="0" w:space="0" w:color="auto"/>
        <w:left w:val="none" w:sz="0" w:space="0" w:color="auto"/>
        <w:bottom w:val="none" w:sz="0" w:space="0" w:color="auto"/>
        <w:right w:val="none" w:sz="0" w:space="0" w:color="auto"/>
      </w:divBdr>
    </w:div>
    <w:div w:id="300110619">
      <w:bodyDiv w:val="1"/>
      <w:marLeft w:val="0"/>
      <w:marRight w:val="0"/>
      <w:marTop w:val="0"/>
      <w:marBottom w:val="0"/>
      <w:divBdr>
        <w:top w:val="none" w:sz="0" w:space="0" w:color="auto"/>
        <w:left w:val="none" w:sz="0" w:space="0" w:color="auto"/>
        <w:bottom w:val="none" w:sz="0" w:space="0" w:color="auto"/>
        <w:right w:val="none" w:sz="0" w:space="0" w:color="auto"/>
      </w:divBdr>
    </w:div>
    <w:div w:id="313992487">
      <w:bodyDiv w:val="1"/>
      <w:marLeft w:val="0"/>
      <w:marRight w:val="0"/>
      <w:marTop w:val="0"/>
      <w:marBottom w:val="0"/>
      <w:divBdr>
        <w:top w:val="none" w:sz="0" w:space="0" w:color="auto"/>
        <w:left w:val="none" w:sz="0" w:space="0" w:color="auto"/>
        <w:bottom w:val="none" w:sz="0" w:space="0" w:color="auto"/>
        <w:right w:val="none" w:sz="0" w:space="0" w:color="auto"/>
      </w:divBdr>
    </w:div>
    <w:div w:id="317731917">
      <w:bodyDiv w:val="1"/>
      <w:marLeft w:val="0"/>
      <w:marRight w:val="0"/>
      <w:marTop w:val="0"/>
      <w:marBottom w:val="0"/>
      <w:divBdr>
        <w:top w:val="none" w:sz="0" w:space="0" w:color="auto"/>
        <w:left w:val="none" w:sz="0" w:space="0" w:color="auto"/>
        <w:bottom w:val="none" w:sz="0" w:space="0" w:color="auto"/>
        <w:right w:val="none" w:sz="0" w:space="0" w:color="auto"/>
      </w:divBdr>
    </w:div>
    <w:div w:id="321782030">
      <w:bodyDiv w:val="1"/>
      <w:marLeft w:val="0"/>
      <w:marRight w:val="0"/>
      <w:marTop w:val="0"/>
      <w:marBottom w:val="0"/>
      <w:divBdr>
        <w:top w:val="none" w:sz="0" w:space="0" w:color="auto"/>
        <w:left w:val="none" w:sz="0" w:space="0" w:color="auto"/>
        <w:bottom w:val="none" w:sz="0" w:space="0" w:color="auto"/>
        <w:right w:val="none" w:sz="0" w:space="0" w:color="auto"/>
      </w:divBdr>
    </w:div>
    <w:div w:id="327945175">
      <w:bodyDiv w:val="1"/>
      <w:marLeft w:val="0"/>
      <w:marRight w:val="0"/>
      <w:marTop w:val="0"/>
      <w:marBottom w:val="0"/>
      <w:divBdr>
        <w:top w:val="none" w:sz="0" w:space="0" w:color="auto"/>
        <w:left w:val="none" w:sz="0" w:space="0" w:color="auto"/>
        <w:bottom w:val="none" w:sz="0" w:space="0" w:color="auto"/>
        <w:right w:val="none" w:sz="0" w:space="0" w:color="auto"/>
      </w:divBdr>
    </w:div>
    <w:div w:id="328287894">
      <w:bodyDiv w:val="1"/>
      <w:marLeft w:val="0"/>
      <w:marRight w:val="0"/>
      <w:marTop w:val="0"/>
      <w:marBottom w:val="0"/>
      <w:divBdr>
        <w:top w:val="none" w:sz="0" w:space="0" w:color="auto"/>
        <w:left w:val="none" w:sz="0" w:space="0" w:color="auto"/>
        <w:bottom w:val="none" w:sz="0" w:space="0" w:color="auto"/>
        <w:right w:val="none" w:sz="0" w:space="0" w:color="auto"/>
      </w:divBdr>
    </w:div>
    <w:div w:id="349569730">
      <w:bodyDiv w:val="1"/>
      <w:marLeft w:val="0"/>
      <w:marRight w:val="0"/>
      <w:marTop w:val="0"/>
      <w:marBottom w:val="0"/>
      <w:divBdr>
        <w:top w:val="none" w:sz="0" w:space="0" w:color="auto"/>
        <w:left w:val="none" w:sz="0" w:space="0" w:color="auto"/>
        <w:bottom w:val="none" w:sz="0" w:space="0" w:color="auto"/>
        <w:right w:val="none" w:sz="0" w:space="0" w:color="auto"/>
      </w:divBdr>
    </w:div>
    <w:div w:id="370153758">
      <w:bodyDiv w:val="1"/>
      <w:marLeft w:val="0"/>
      <w:marRight w:val="0"/>
      <w:marTop w:val="0"/>
      <w:marBottom w:val="0"/>
      <w:divBdr>
        <w:top w:val="none" w:sz="0" w:space="0" w:color="auto"/>
        <w:left w:val="none" w:sz="0" w:space="0" w:color="auto"/>
        <w:bottom w:val="none" w:sz="0" w:space="0" w:color="auto"/>
        <w:right w:val="none" w:sz="0" w:space="0" w:color="auto"/>
      </w:divBdr>
    </w:div>
    <w:div w:id="379131614">
      <w:bodyDiv w:val="1"/>
      <w:marLeft w:val="0"/>
      <w:marRight w:val="0"/>
      <w:marTop w:val="0"/>
      <w:marBottom w:val="0"/>
      <w:divBdr>
        <w:top w:val="none" w:sz="0" w:space="0" w:color="auto"/>
        <w:left w:val="none" w:sz="0" w:space="0" w:color="auto"/>
        <w:bottom w:val="none" w:sz="0" w:space="0" w:color="auto"/>
        <w:right w:val="none" w:sz="0" w:space="0" w:color="auto"/>
      </w:divBdr>
    </w:div>
    <w:div w:id="417018172">
      <w:bodyDiv w:val="1"/>
      <w:marLeft w:val="0"/>
      <w:marRight w:val="0"/>
      <w:marTop w:val="0"/>
      <w:marBottom w:val="0"/>
      <w:divBdr>
        <w:top w:val="none" w:sz="0" w:space="0" w:color="auto"/>
        <w:left w:val="none" w:sz="0" w:space="0" w:color="auto"/>
        <w:bottom w:val="none" w:sz="0" w:space="0" w:color="auto"/>
        <w:right w:val="none" w:sz="0" w:space="0" w:color="auto"/>
      </w:divBdr>
    </w:div>
    <w:div w:id="419449876">
      <w:bodyDiv w:val="1"/>
      <w:marLeft w:val="0"/>
      <w:marRight w:val="0"/>
      <w:marTop w:val="0"/>
      <w:marBottom w:val="0"/>
      <w:divBdr>
        <w:top w:val="none" w:sz="0" w:space="0" w:color="auto"/>
        <w:left w:val="none" w:sz="0" w:space="0" w:color="auto"/>
        <w:bottom w:val="none" w:sz="0" w:space="0" w:color="auto"/>
        <w:right w:val="none" w:sz="0" w:space="0" w:color="auto"/>
      </w:divBdr>
    </w:div>
    <w:div w:id="435757596">
      <w:bodyDiv w:val="1"/>
      <w:marLeft w:val="0"/>
      <w:marRight w:val="0"/>
      <w:marTop w:val="0"/>
      <w:marBottom w:val="0"/>
      <w:divBdr>
        <w:top w:val="none" w:sz="0" w:space="0" w:color="auto"/>
        <w:left w:val="none" w:sz="0" w:space="0" w:color="auto"/>
        <w:bottom w:val="none" w:sz="0" w:space="0" w:color="auto"/>
        <w:right w:val="none" w:sz="0" w:space="0" w:color="auto"/>
      </w:divBdr>
    </w:div>
    <w:div w:id="441464516">
      <w:bodyDiv w:val="1"/>
      <w:marLeft w:val="0"/>
      <w:marRight w:val="0"/>
      <w:marTop w:val="0"/>
      <w:marBottom w:val="0"/>
      <w:divBdr>
        <w:top w:val="none" w:sz="0" w:space="0" w:color="auto"/>
        <w:left w:val="none" w:sz="0" w:space="0" w:color="auto"/>
        <w:bottom w:val="none" w:sz="0" w:space="0" w:color="auto"/>
        <w:right w:val="none" w:sz="0" w:space="0" w:color="auto"/>
      </w:divBdr>
    </w:div>
    <w:div w:id="443378610">
      <w:bodyDiv w:val="1"/>
      <w:marLeft w:val="0"/>
      <w:marRight w:val="0"/>
      <w:marTop w:val="0"/>
      <w:marBottom w:val="0"/>
      <w:divBdr>
        <w:top w:val="none" w:sz="0" w:space="0" w:color="auto"/>
        <w:left w:val="none" w:sz="0" w:space="0" w:color="auto"/>
        <w:bottom w:val="none" w:sz="0" w:space="0" w:color="auto"/>
        <w:right w:val="none" w:sz="0" w:space="0" w:color="auto"/>
      </w:divBdr>
    </w:div>
    <w:div w:id="450982098">
      <w:bodyDiv w:val="1"/>
      <w:marLeft w:val="0"/>
      <w:marRight w:val="0"/>
      <w:marTop w:val="0"/>
      <w:marBottom w:val="0"/>
      <w:divBdr>
        <w:top w:val="none" w:sz="0" w:space="0" w:color="auto"/>
        <w:left w:val="none" w:sz="0" w:space="0" w:color="auto"/>
        <w:bottom w:val="none" w:sz="0" w:space="0" w:color="auto"/>
        <w:right w:val="none" w:sz="0" w:space="0" w:color="auto"/>
      </w:divBdr>
    </w:div>
    <w:div w:id="458643941">
      <w:bodyDiv w:val="1"/>
      <w:marLeft w:val="0"/>
      <w:marRight w:val="0"/>
      <w:marTop w:val="0"/>
      <w:marBottom w:val="0"/>
      <w:divBdr>
        <w:top w:val="none" w:sz="0" w:space="0" w:color="auto"/>
        <w:left w:val="none" w:sz="0" w:space="0" w:color="auto"/>
        <w:bottom w:val="none" w:sz="0" w:space="0" w:color="auto"/>
        <w:right w:val="none" w:sz="0" w:space="0" w:color="auto"/>
      </w:divBdr>
    </w:div>
    <w:div w:id="460274239">
      <w:bodyDiv w:val="1"/>
      <w:marLeft w:val="0"/>
      <w:marRight w:val="0"/>
      <w:marTop w:val="0"/>
      <w:marBottom w:val="0"/>
      <w:divBdr>
        <w:top w:val="none" w:sz="0" w:space="0" w:color="auto"/>
        <w:left w:val="none" w:sz="0" w:space="0" w:color="auto"/>
        <w:bottom w:val="none" w:sz="0" w:space="0" w:color="auto"/>
        <w:right w:val="none" w:sz="0" w:space="0" w:color="auto"/>
      </w:divBdr>
    </w:div>
    <w:div w:id="523325596">
      <w:bodyDiv w:val="1"/>
      <w:marLeft w:val="0"/>
      <w:marRight w:val="0"/>
      <w:marTop w:val="0"/>
      <w:marBottom w:val="0"/>
      <w:divBdr>
        <w:top w:val="none" w:sz="0" w:space="0" w:color="auto"/>
        <w:left w:val="none" w:sz="0" w:space="0" w:color="auto"/>
        <w:bottom w:val="none" w:sz="0" w:space="0" w:color="auto"/>
        <w:right w:val="none" w:sz="0" w:space="0" w:color="auto"/>
      </w:divBdr>
    </w:div>
    <w:div w:id="523594224">
      <w:bodyDiv w:val="1"/>
      <w:marLeft w:val="0"/>
      <w:marRight w:val="0"/>
      <w:marTop w:val="0"/>
      <w:marBottom w:val="0"/>
      <w:divBdr>
        <w:top w:val="none" w:sz="0" w:space="0" w:color="auto"/>
        <w:left w:val="none" w:sz="0" w:space="0" w:color="auto"/>
        <w:bottom w:val="none" w:sz="0" w:space="0" w:color="auto"/>
        <w:right w:val="none" w:sz="0" w:space="0" w:color="auto"/>
      </w:divBdr>
    </w:div>
    <w:div w:id="524515610">
      <w:bodyDiv w:val="1"/>
      <w:marLeft w:val="0"/>
      <w:marRight w:val="0"/>
      <w:marTop w:val="0"/>
      <w:marBottom w:val="0"/>
      <w:divBdr>
        <w:top w:val="none" w:sz="0" w:space="0" w:color="auto"/>
        <w:left w:val="none" w:sz="0" w:space="0" w:color="auto"/>
        <w:bottom w:val="none" w:sz="0" w:space="0" w:color="auto"/>
        <w:right w:val="none" w:sz="0" w:space="0" w:color="auto"/>
      </w:divBdr>
    </w:div>
    <w:div w:id="542909930">
      <w:bodyDiv w:val="1"/>
      <w:marLeft w:val="0"/>
      <w:marRight w:val="0"/>
      <w:marTop w:val="0"/>
      <w:marBottom w:val="0"/>
      <w:divBdr>
        <w:top w:val="none" w:sz="0" w:space="0" w:color="auto"/>
        <w:left w:val="none" w:sz="0" w:space="0" w:color="auto"/>
        <w:bottom w:val="none" w:sz="0" w:space="0" w:color="auto"/>
        <w:right w:val="none" w:sz="0" w:space="0" w:color="auto"/>
      </w:divBdr>
    </w:div>
    <w:div w:id="555627124">
      <w:bodyDiv w:val="1"/>
      <w:marLeft w:val="0"/>
      <w:marRight w:val="0"/>
      <w:marTop w:val="0"/>
      <w:marBottom w:val="0"/>
      <w:divBdr>
        <w:top w:val="none" w:sz="0" w:space="0" w:color="auto"/>
        <w:left w:val="none" w:sz="0" w:space="0" w:color="auto"/>
        <w:bottom w:val="none" w:sz="0" w:space="0" w:color="auto"/>
        <w:right w:val="none" w:sz="0" w:space="0" w:color="auto"/>
      </w:divBdr>
    </w:div>
    <w:div w:id="561871686">
      <w:bodyDiv w:val="1"/>
      <w:marLeft w:val="0"/>
      <w:marRight w:val="0"/>
      <w:marTop w:val="0"/>
      <w:marBottom w:val="0"/>
      <w:divBdr>
        <w:top w:val="none" w:sz="0" w:space="0" w:color="auto"/>
        <w:left w:val="none" w:sz="0" w:space="0" w:color="auto"/>
        <w:bottom w:val="none" w:sz="0" w:space="0" w:color="auto"/>
        <w:right w:val="none" w:sz="0" w:space="0" w:color="auto"/>
      </w:divBdr>
    </w:div>
    <w:div w:id="591860180">
      <w:bodyDiv w:val="1"/>
      <w:marLeft w:val="0"/>
      <w:marRight w:val="0"/>
      <w:marTop w:val="0"/>
      <w:marBottom w:val="0"/>
      <w:divBdr>
        <w:top w:val="none" w:sz="0" w:space="0" w:color="auto"/>
        <w:left w:val="none" w:sz="0" w:space="0" w:color="auto"/>
        <w:bottom w:val="none" w:sz="0" w:space="0" w:color="auto"/>
        <w:right w:val="none" w:sz="0" w:space="0" w:color="auto"/>
      </w:divBdr>
    </w:div>
    <w:div w:id="627591191">
      <w:bodyDiv w:val="1"/>
      <w:marLeft w:val="0"/>
      <w:marRight w:val="0"/>
      <w:marTop w:val="0"/>
      <w:marBottom w:val="0"/>
      <w:divBdr>
        <w:top w:val="none" w:sz="0" w:space="0" w:color="auto"/>
        <w:left w:val="none" w:sz="0" w:space="0" w:color="auto"/>
        <w:bottom w:val="none" w:sz="0" w:space="0" w:color="auto"/>
        <w:right w:val="none" w:sz="0" w:space="0" w:color="auto"/>
      </w:divBdr>
    </w:div>
    <w:div w:id="633143869">
      <w:bodyDiv w:val="1"/>
      <w:marLeft w:val="0"/>
      <w:marRight w:val="0"/>
      <w:marTop w:val="0"/>
      <w:marBottom w:val="0"/>
      <w:divBdr>
        <w:top w:val="none" w:sz="0" w:space="0" w:color="auto"/>
        <w:left w:val="none" w:sz="0" w:space="0" w:color="auto"/>
        <w:bottom w:val="none" w:sz="0" w:space="0" w:color="auto"/>
        <w:right w:val="none" w:sz="0" w:space="0" w:color="auto"/>
      </w:divBdr>
    </w:div>
    <w:div w:id="657684789">
      <w:bodyDiv w:val="1"/>
      <w:marLeft w:val="0"/>
      <w:marRight w:val="0"/>
      <w:marTop w:val="0"/>
      <w:marBottom w:val="0"/>
      <w:divBdr>
        <w:top w:val="none" w:sz="0" w:space="0" w:color="auto"/>
        <w:left w:val="none" w:sz="0" w:space="0" w:color="auto"/>
        <w:bottom w:val="none" w:sz="0" w:space="0" w:color="auto"/>
        <w:right w:val="none" w:sz="0" w:space="0" w:color="auto"/>
      </w:divBdr>
    </w:div>
    <w:div w:id="669140461">
      <w:bodyDiv w:val="1"/>
      <w:marLeft w:val="0"/>
      <w:marRight w:val="0"/>
      <w:marTop w:val="0"/>
      <w:marBottom w:val="0"/>
      <w:divBdr>
        <w:top w:val="none" w:sz="0" w:space="0" w:color="auto"/>
        <w:left w:val="none" w:sz="0" w:space="0" w:color="auto"/>
        <w:bottom w:val="none" w:sz="0" w:space="0" w:color="auto"/>
        <w:right w:val="none" w:sz="0" w:space="0" w:color="auto"/>
      </w:divBdr>
    </w:div>
    <w:div w:id="678042861">
      <w:bodyDiv w:val="1"/>
      <w:marLeft w:val="0"/>
      <w:marRight w:val="0"/>
      <w:marTop w:val="0"/>
      <w:marBottom w:val="0"/>
      <w:divBdr>
        <w:top w:val="none" w:sz="0" w:space="0" w:color="auto"/>
        <w:left w:val="none" w:sz="0" w:space="0" w:color="auto"/>
        <w:bottom w:val="none" w:sz="0" w:space="0" w:color="auto"/>
        <w:right w:val="none" w:sz="0" w:space="0" w:color="auto"/>
      </w:divBdr>
    </w:div>
    <w:div w:id="687096017">
      <w:bodyDiv w:val="1"/>
      <w:marLeft w:val="0"/>
      <w:marRight w:val="0"/>
      <w:marTop w:val="0"/>
      <w:marBottom w:val="0"/>
      <w:divBdr>
        <w:top w:val="none" w:sz="0" w:space="0" w:color="auto"/>
        <w:left w:val="none" w:sz="0" w:space="0" w:color="auto"/>
        <w:bottom w:val="none" w:sz="0" w:space="0" w:color="auto"/>
        <w:right w:val="none" w:sz="0" w:space="0" w:color="auto"/>
      </w:divBdr>
    </w:div>
    <w:div w:id="758216628">
      <w:bodyDiv w:val="1"/>
      <w:marLeft w:val="0"/>
      <w:marRight w:val="0"/>
      <w:marTop w:val="0"/>
      <w:marBottom w:val="0"/>
      <w:divBdr>
        <w:top w:val="none" w:sz="0" w:space="0" w:color="auto"/>
        <w:left w:val="none" w:sz="0" w:space="0" w:color="auto"/>
        <w:bottom w:val="none" w:sz="0" w:space="0" w:color="auto"/>
        <w:right w:val="none" w:sz="0" w:space="0" w:color="auto"/>
      </w:divBdr>
    </w:div>
    <w:div w:id="763574796">
      <w:bodyDiv w:val="1"/>
      <w:marLeft w:val="0"/>
      <w:marRight w:val="0"/>
      <w:marTop w:val="0"/>
      <w:marBottom w:val="0"/>
      <w:divBdr>
        <w:top w:val="none" w:sz="0" w:space="0" w:color="auto"/>
        <w:left w:val="none" w:sz="0" w:space="0" w:color="auto"/>
        <w:bottom w:val="none" w:sz="0" w:space="0" w:color="auto"/>
        <w:right w:val="none" w:sz="0" w:space="0" w:color="auto"/>
      </w:divBdr>
    </w:div>
    <w:div w:id="780417777">
      <w:bodyDiv w:val="1"/>
      <w:marLeft w:val="0"/>
      <w:marRight w:val="0"/>
      <w:marTop w:val="0"/>
      <w:marBottom w:val="0"/>
      <w:divBdr>
        <w:top w:val="none" w:sz="0" w:space="0" w:color="auto"/>
        <w:left w:val="none" w:sz="0" w:space="0" w:color="auto"/>
        <w:bottom w:val="none" w:sz="0" w:space="0" w:color="auto"/>
        <w:right w:val="none" w:sz="0" w:space="0" w:color="auto"/>
      </w:divBdr>
    </w:div>
    <w:div w:id="791244174">
      <w:bodyDiv w:val="1"/>
      <w:marLeft w:val="0"/>
      <w:marRight w:val="0"/>
      <w:marTop w:val="0"/>
      <w:marBottom w:val="0"/>
      <w:divBdr>
        <w:top w:val="none" w:sz="0" w:space="0" w:color="auto"/>
        <w:left w:val="none" w:sz="0" w:space="0" w:color="auto"/>
        <w:bottom w:val="none" w:sz="0" w:space="0" w:color="auto"/>
        <w:right w:val="none" w:sz="0" w:space="0" w:color="auto"/>
      </w:divBdr>
    </w:div>
    <w:div w:id="800225675">
      <w:bodyDiv w:val="1"/>
      <w:marLeft w:val="0"/>
      <w:marRight w:val="0"/>
      <w:marTop w:val="0"/>
      <w:marBottom w:val="0"/>
      <w:divBdr>
        <w:top w:val="none" w:sz="0" w:space="0" w:color="auto"/>
        <w:left w:val="none" w:sz="0" w:space="0" w:color="auto"/>
        <w:bottom w:val="none" w:sz="0" w:space="0" w:color="auto"/>
        <w:right w:val="none" w:sz="0" w:space="0" w:color="auto"/>
      </w:divBdr>
    </w:div>
    <w:div w:id="813984124">
      <w:bodyDiv w:val="1"/>
      <w:marLeft w:val="0"/>
      <w:marRight w:val="0"/>
      <w:marTop w:val="0"/>
      <w:marBottom w:val="0"/>
      <w:divBdr>
        <w:top w:val="none" w:sz="0" w:space="0" w:color="auto"/>
        <w:left w:val="none" w:sz="0" w:space="0" w:color="auto"/>
        <w:bottom w:val="none" w:sz="0" w:space="0" w:color="auto"/>
        <w:right w:val="none" w:sz="0" w:space="0" w:color="auto"/>
      </w:divBdr>
    </w:div>
    <w:div w:id="817577141">
      <w:bodyDiv w:val="1"/>
      <w:marLeft w:val="0"/>
      <w:marRight w:val="0"/>
      <w:marTop w:val="0"/>
      <w:marBottom w:val="0"/>
      <w:divBdr>
        <w:top w:val="none" w:sz="0" w:space="0" w:color="auto"/>
        <w:left w:val="none" w:sz="0" w:space="0" w:color="auto"/>
        <w:bottom w:val="none" w:sz="0" w:space="0" w:color="auto"/>
        <w:right w:val="none" w:sz="0" w:space="0" w:color="auto"/>
      </w:divBdr>
    </w:div>
    <w:div w:id="854348004">
      <w:bodyDiv w:val="1"/>
      <w:marLeft w:val="0"/>
      <w:marRight w:val="0"/>
      <w:marTop w:val="0"/>
      <w:marBottom w:val="0"/>
      <w:divBdr>
        <w:top w:val="none" w:sz="0" w:space="0" w:color="auto"/>
        <w:left w:val="none" w:sz="0" w:space="0" w:color="auto"/>
        <w:bottom w:val="none" w:sz="0" w:space="0" w:color="auto"/>
        <w:right w:val="none" w:sz="0" w:space="0" w:color="auto"/>
      </w:divBdr>
    </w:div>
    <w:div w:id="876234410">
      <w:bodyDiv w:val="1"/>
      <w:marLeft w:val="0"/>
      <w:marRight w:val="0"/>
      <w:marTop w:val="0"/>
      <w:marBottom w:val="0"/>
      <w:divBdr>
        <w:top w:val="none" w:sz="0" w:space="0" w:color="auto"/>
        <w:left w:val="none" w:sz="0" w:space="0" w:color="auto"/>
        <w:bottom w:val="none" w:sz="0" w:space="0" w:color="auto"/>
        <w:right w:val="none" w:sz="0" w:space="0" w:color="auto"/>
      </w:divBdr>
    </w:div>
    <w:div w:id="916212213">
      <w:bodyDiv w:val="1"/>
      <w:marLeft w:val="0"/>
      <w:marRight w:val="0"/>
      <w:marTop w:val="0"/>
      <w:marBottom w:val="0"/>
      <w:divBdr>
        <w:top w:val="none" w:sz="0" w:space="0" w:color="auto"/>
        <w:left w:val="none" w:sz="0" w:space="0" w:color="auto"/>
        <w:bottom w:val="none" w:sz="0" w:space="0" w:color="auto"/>
        <w:right w:val="none" w:sz="0" w:space="0" w:color="auto"/>
      </w:divBdr>
    </w:div>
    <w:div w:id="935527176">
      <w:bodyDiv w:val="1"/>
      <w:marLeft w:val="0"/>
      <w:marRight w:val="0"/>
      <w:marTop w:val="0"/>
      <w:marBottom w:val="0"/>
      <w:divBdr>
        <w:top w:val="none" w:sz="0" w:space="0" w:color="auto"/>
        <w:left w:val="none" w:sz="0" w:space="0" w:color="auto"/>
        <w:bottom w:val="none" w:sz="0" w:space="0" w:color="auto"/>
        <w:right w:val="none" w:sz="0" w:space="0" w:color="auto"/>
      </w:divBdr>
    </w:div>
    <w:div w:id="954215500">
      <w:bodyDiv w:val="1"/>
      <w:marLeft w:val="0"/>
      <w:marRight w:val="0"/>
      <w:marTop w:val="0"/>
      <w:marBottom w:val="0"/>
      <w:divBdr>
        <w:top w:val="none" w:sz="0" w:space="0" w:color="auto"/>
        <w:left w:val="none" w:sz="0" w:space="0" w:color="auto"/>
        <w:bottom w:val="none" w:sz="0" w:space="0" w:color="auto"/>
        <w:right w:val="none" w:sz="0" w:space="0" w:color="auto"/>
      </w:divBdr>
    </w:div>
    <w:div w:id="969702822">
      <w:bodyDiv w:val="1"/>
      <w:marLeft w:val="0"/>
      <w:marRight w:val="0"/>
      <w:marTop w:val="0"/>
      <w:marBottom w:val="0"/>
      <w:divBdr>
        <w:top w:val="none" w:sz="0" w:space="0" w:color="auto"/>
        <w:left w:val="none" w:sz="0" w:space="0" w:color="auto"/>
        <w:bottom w:val="none" w:sz="0" w:space="0" w:color="auto"/>
        <w:right w:val="none" w:sz="0" w:space="0" w:color="auto"/>
      </w:divBdr>
    </w:div>
    <w:div w:id="972557887">
      <w:bodyDiv w:val="1"/>
      <w:marLeft w:val="0"/>
      <w:marRight w:val="0"/>
      <w:marTop w:val="0"/>
      <w:marBottom w:val="0"/>
      <w:divBdr>
        <w:top w:val="none" w:sz="0" w:space="0" w:color="auto"/>
        <w:left w:val="none" w:sz="0" w:space="0" w:color="auto"/>
        <w:bottom w:val="none" w:sz="0" w:space="0" w:color="auto"/>
        <w:right w:val="none" w:sz="0" w:space="0" w:color="auto"/>
      </w:divBdr>
    </w:div>
    <w:div w:id="1025910287">
      <w:bodyDiv w:val="1"/>
      <w:marLeft w:val="0"/>
      <w:marRight w:val="0"/>
      <w:marTop w:val="0"/>
      <w:marBottom w:val="0"/>
      <w:divBdr>
        <w:top w:val="none" w:sz="0" w:space="0" w:color="auto"/>
        <w:left w:val="none" w:sz="0" w:space="0" w:color="auto"/>
        <w:bottom w:val="none" w:sz="0" w:space="0" w:color="auto"/>
        <w:right w:val="none" w:sz="0" w:space="0" w:color="auto"/>
      </w:divBdr>
    </w:div>
    <w:div w:id="1031998665">
      <w:bodyDiv w:val="1"/>
      <w:marLeft w:val="0"/>
      <w:marRight w:val="0"/>
      <w:marTop w:val="0"/>
      <w:marBottom w:val="0"/>
      <w:divBdr>
        <w:top w:val="none" w:sz="0" w:space="0" w:color="auto"/>
        <w:left w:val="none" w:sz="0" w:space="0" w:color="auto"/>
        <w:bottom w:val="none" w:sz="0" w:space="0" w:color="auto"/>
        <w:right w:val="none" w:sz="0" w:space="0" w:color="auto"/>
      </w:divBdr>
    </w:div>
    <w:div w:id="1037268588">
      <w:bodyDiv w:val="1"/>
      <w:marLeft w:val="0"/>
      <w:marRight w:val="0"/>
      <w:marTop w:val="0"/>
      <w:marBottom w:val="0"/>
      <w:divBdr>
        <w:top w:val="none" w:sz="0" w:space="0" w:color="auto"/>
        <w:left w:val="none" w:sz="0" w:space="0" w:color="auto"/>
        <w:bottom w:val="none" w:sz="0" w:space="0" w:color="auto"/>
        <w:right w:val="none" w:sz="0" w:space="0" w:color="auto"/>
      </w:divBdr>
    </w:div>
    <w:div w:id="1039017073">
      <w:bodyDiv w:val="1"/>
      <w:marLeft w:val="0"/>
      <w:marRight w:val="0"/>
      <w:marTop w:val="0"/>
      <w:marBottom w:val="0"/>
      <w:divBdr>
        <w:top w:val="none" w:sz="0" w:space="0" w:color="auto"/>
        <w:left w:val="none" w:sz="0" w:space="0" w:color="auto"/>
        <w:bottom w:val="none" w:sz="0" w:space="0" w:color="auto"/>
        <w:right w:val="none" w:sz="0" w:space="0" w:color="auto"/>
      </w:divBdr>
    </w:div>
    <w:div w:id="1059132643">
      <w:bodyDiv w:val="1"/>
      <w:marLeft w:val="0"/>
      <w:marRight w:val="0"/>
      <w:marTop w:val="0"/>
      <w:marBottom w:val="0"/>
      <w:divBdr>
        <w:top w:val="none" w:sz="0" w:space="0" w:color="auto"/>
        <w:left w:val="none" w:sz="0" w:space="0" w:color="auto"/>
        <w:bottom w:val="none" w:sz="0" w:space="0" w:color="auto"/>
        <w:right w:val="none" w:sz="0" w:space="0" w:color="auto"/>
      </w:divBdr>
    </w:div>
    <w:div w:id="1062869610">
      <w:bodyDiv w:val="1"/>
      <w:marLeft w:val="0"/>
      <w:marRight w:val="0"/>
      <w:marTop w:val="0"/>
      <w:marBottom w:val="0"/>
      <w:divBdr>
        <w:top w:val="none" w:sz="0" w:space="0" w:color="auto"/>
        <w:left w:val="none" w:sz="0" w:space="0" w:color="auto"/>
        <w:bottom w:val="none" w:sz="0" w:space="0" w:color="auto"/>
        <w:right w:val="none" w:sz="0" w:space="0" w:color="auto"/>
      </w:divBdr>
    </w:div>
    <w:div w:id="1080252357">
      <w:bodyDiv w:val="1"/>
      <w:marLeft w:val="0"/>
      <w:marRight w:val="0"/>
      <w:marTop w:val="0"/>
      <w:marBottom w:val="0"/>
      <w:divBdr>
        <w:top w:val="none" w:sz="0" w:space="0" w:color="auto"/>
        <w:left w:val="none" w:sz="0" w:space="0" w:color="auto"/>
        <w:bottom w:val="none" w:sz="0" w:space="0" w:color="auto"/>
        <w:right w:val="none" w:sz="0" w:space="0" w:color="auto"/>
      </w:divBdr>
    </w:div>
    <w:div w:id="1084032514">
      <w:bodyDiv w:val="1"/>
      <w:marLeft w:val="0"/>
      <w:marRight w:val="0"/>
      <w:marTop w:val="0"/>
      <w:marBottom w:val="0"/>
      <w:divBdr>
        <w:top w:val="none" w:sz="0" w:space="0" w:color="auto"/>
        <w:left w:val="none" w:sz="0" w:space="0" w:color="auto"/>
        <w:bottom w:val="none" w:sz="0" w:space="0" w:color="auto"/>
        <w:right w:val="none" w:sz="0" w:space="0" w:color="auto"/>
      </w:divBdr>
    </w:div>
    <w:div w:id="1090925394">
      <w:bodyDiv w:val="1"/>
      <w:marLeft w:val="0"/>
      <w:marRight w:val="0"/>
      <w:marTop w:val="0"/>
      <w:marBottom w:val="0"/>
      <w:divBdr>
        <w:top w:val="none" w:sz="0" w:space="0" w:color="auto"/>
        <w:left w:val="none" w:sz="0" w:space="0" w:color="auto"/>
        <w:bottom w:val="none" w:sz="0" w:space="0" w:color="auto"/>
        <w:right w:val="none" w:sz="0" w:space="0" w:color="auto"/>
      </w:divBdr>
    </w:div>
    <w:div w:id="1096830276">
      <w:bodyDiv w:val="1"/>
      <w:marLeft w:val="0"/>
      <w:marRight w:val="0"/>
      <w:marTop w:val="0"/>
      <w:marBottom w:val="0"/>
      <w:divBdr>
        <w:top w:val="none" w:sz="0" w:space="0" w:color="auto"/>
        <w:left w:val="none" w:sz="0" w:space="0" w:color="auto"/>
        <w:bottom w:val="none" w:sz="0" w:space="0" w:color="auto"/>
        <w:right w:val="none" w:sz="0" w:space="0" w:color="auto"/>
      </w:divBdr>
    </w:div>
    <w:div w:id="1098982442">
      <w:bodyDiv w:val="1"/>
      <w:marLeft w:val="0"/>
      <w:marRight w:val="0"/>
      <w:marTop w:val="0"/>
      <w:marBottom w:val="0"/>
      <w:divBdr>
        <w:top w:val="none" w:sz="0" w:space="0" w:color="auto"/>
        <w:left w:val="none" w:sz="0" w:space="0" w:color="auto"/>
        <w:bottom w:val="none" w:sz="0" w:space="0" w:color="auto"/>
        <w:right w:val="none" w:sz="0" w:space="0" w:color="auto"/>
      </w:divBdr>
    </w:div>
    <w:div w:id="1116558521">
      <w:bodyDiv w:val="1"/>
      <w:marLeft w:val="0"/>
      <w:marRight w:val="0"/>
      <w:marTop w:val="0"/>
      <w:marBottom w:val="0"/>
      <w:divBdr>
        <w:top w:val="none" w:sz="0" w:space="0" w:color="auto"/>
        <w:left w:val="none" w:sz="0" w:space="0" w:color="auto"/>
        <w:bottom w:val="none" w:sz="0" w:space="0" w:color="auto"/>
        <w:right w:val="none" w:sz="0" w:space="0" w:color="auto"/>
      </w:divBdr>
    </w:div>
    <w:div w:id="1120804894">
      <w:bodyDiv w:val="1"/>
      <w:marLeft w:val="0"/>
      <w:marRight w:val="0"/>
      <w:marTop w:val="0"/>
      <w:marBottom w:val="0"/>
      <w:divBdr>
        <w:top w:val="none" w:sz="0" w:space="0" w:color="auto"/>
        <w:left w:val="none" w:sz="0" w:space="0" w:color="auto"/>
        <w:bottom w:val="none" w:sz="0" w:space="0" w:color="auto"/>
        <w:right w:val="none" w:sz="0" w:space="0" w:color="auto"/>
      </w:divBdr>
    </w:div>
    <w:div w:id="1210340453">
      <w:bodyDiv w:val="1"/>
      <w:marLeft w:val="0"/>
      <w:marRight w:val="0"/>
      <w:marTop w:val="0"/>
      <w:marBottom w:val="0"/>
      <w:divBdr>
        <w:top w:val="none" w:sz="0" w:space="0" w:color="auto"/>
        <w:left w:val="none" w:sz="0" w:space="0" w:color="auto"/>
        <w:bottom w:val="none" w:sz="0" w:space="0" w:color="auto"/>
        <w:right w:val="none" w:sz="0" w:space="0" w:color="auto"/>
      </w:divBdr>
    </w:div>
    <w:div w:id="1212111082">
      <w:bodyDiv w:val="1"/>
      <w:marLeft w:val="0"/>
      <w:marRight w:val="0"/>
      <w:marTop w:val="0"/>
      <w:marBottom w:val="0"/>
      <w:divBdr>
        <w:top w:val="none" w:sz="0" w:space="0" w:color="auto"/>
        <w:left w:val="none" w:sz="0" w:space="0" w:color="auto"/>
        <w:bottom w:val="none" w:sz="0" w:space="0" w:color="auto"/>
        <w:right w:val="none" w:sz="0" w:space="0" w:color="auto"/>
      </w:divBdr>
    </w:div>
    <w:div w:id="1217280682">
      <w:bodyDiv w:val="1"/>
      <w:marLeft w:val="0"/>
      <w:marRight w:val="0"/>
      <w:marTop w:val="0"/>
      <w:marBottom w:val="0"/>
      <w:divBdr>
        <w:top w:val="none" w:sz="0" w:space="0" w:color="auto"/>
        <w:left w:val="none" w:sz="0" w:space="0" w:color="auto"/>
        <w:bottom w:val="none" w:sz="0" w:space="0" w:color="auto"/>
        <w:right w:val="none" w:sz="0" w:space="0" w:color="auto"/>
      </w:divBdr>
    </w:div>
    <w:div w:id="1221599933">
      <w:bodyDiv w:val="1"/>
      <w:marLeft w:val="0"/>
      <w:marRight w:val="0"/>
      <w:marTop w:val="0"/>
      <w:marBottom w:val="0"/>
      <w:divBdr>
        <w:top w:val="none" w:sz="0" w:space="0" w:color="auto"/>
        <w:left w:val="none" w:sz="0" w:space="0" w:color="auto"/>
        <w:bottom w:val="none" w:sz="0" w:space="0" w:color="auto"/>
        <w:right w:val="none" w:sz="0" w:space="0" w:color="auto"/>
      </w:divBdr>
    </w:div>
    <w:div w:id="1265765825">
      <w:bodyDiv w:val="1"/>
      <w:marLeft w:val="0"/>
      <w:marRight w:val="0"/>
      <w:marTop w:val="0"/>
      <w:marBottom w:val="0"/>
      <w:divBdr>
        <w:top w:val="none" w:sz="0" w:space="0" w:color="auto"/>
        <w:left w:val="none" w:sz="0" w:space="0" w:color="auto"/>
        <w:bottom w:val="none" w:sz="0" w:space="0" w:color="auto"/>
        <w:right w:val="none" w:sz="0" w:space="0" w:color="auto"/>
      </w:divBdr>
    </w:div>
    <w:div w:id="1286353220">
      <w:bodyDiv w:val="1"/>
      <w:marLeft w:val="0"/>
      <w:marRight w:val="0"/>
      <w:marTop w:val="0"/>
      <w:marBottom w:val="0"/>
      <w:divBdr>
        <w:top w:val="none" w:sz="0" w:space="0" w:color="auto"/>
        <w:left w:val="none" w:sz="0" w:space="0" w:color="auto"/>
        <w:bottom w:val="none" w:sz="0" w:space="0" w:color="auto"/>
        <w:right w:val="none" w:sz="0" w:space="0" w:color="auto"/>
      </w:divBdr>
    </w:div>
    <w:div w:id="1307011317">
      <w:bodyDiv w:val="1"/>
      <w:marLeft w:val="0"/>
      <w:marRight w:val="0"/>
      <w:marTop w:val="0"/>
      <w:marBottom w:val="0"/>
      <w:divBdr>
        <w:top w:val="none" w:sz="0" w:space="0" w:color="auto"/>
        <w:left w:val="none" w:sz="0" w:space="0" w:color="auto"/>
        <w:bottom w:val="none" w:sz="0" w:space="0" w:color="auto"/>
        <w:right w:val="none" w:sz="0" w:space="0" w:color="auto"/>
      </w:divBdr>
    </w:div>
    <w:div w:id="1360467243">
      <w:bodyDiv w:val="1"/>
      <w:marLeft w:val="0"/>
      <w:marRight w:val="0"/>
      <w:marTop w:val="0"/>
      <w:marBottom w:val="0"/>
      <w:divBdr>
        <w:top w:val="none" w:sz="0" w:space="0" w:color="auto"/>
        <w:left w:val="none" w:sz="0" w:space="0" w:color="auto"/>
        <w:bottom w:val="none" w:sz="0" w:space="0" w:color="auto"/>
        <w:right w:val="none" w:sz="0" w:space="0" w:color="auto"/>
      </w:divBdr>
    </w:div>
    <w:div w:id="1398015574">
      <w:bodyDiv w:val="1"/>
      <w:marLeft w:val="0"/>
      <w:marRight w:val="0"/>
      <w:marTop w:val="0"/>
      <w:marBottom w:val="0"/>
      <w:divBdr>
        <w:top w:val="none" w:sz="0" w:space="0" w:color="auto"/>
        <w:left w:val="none" w:sz="0" w:space="0" w:color="auto"/>
        <w:bottom w:val="none" w:sz="0" w:space="0" w:color="auto"/>
        <w:right w:val="none" w:sz="0" w:space="0" w:color="auto"/>
      </w:divBdr>
    </w:div>
    <w:div w:id="1420178067">
      <w:bodyDiv w:val="1"/>
      <w:marLeft w:val="0"/>
      <w:marRight w:val="0"/>
      <w:marTop w:val="0"/>
      <w:marBottom w:val="0"/>
      <w:divBdr>
        <w:top w:val="none" w:sz="0" w:space="0" w:color="auto"/>
        <w:left w:val="none" w:sz="0" w:space="0" w:color="auto"/>
        <w:bottom w:val="none" w:sz="0" w:space="0" w:color="auto"/>
        <w:right w:val="none" w:sz="0" w:space="0" w:color="auto"/>
      </w:divBdr>
    </w:div>
    <w:div w:id="1450512331">
      <w:bodyDiv w:val="1"/>
      <w:marLeft w:val="0"/>
      <w:marRight w:val="0"/>
      <w:marTop w:val="0"/>
      <w:marBottom w:val="0"/>
      <w:divBdr>
        <w:top w:val="none" w:sz="0" w:space="0" w:color="auto"/>
        <w:left w:val="none" w:sz="0" w:space="0" w:color="auto"/>
        <w:bottom w:val="none" w:sz="0" w:space="0" w:color="auto"/>
        <w:right w:val="none" w:sz="0" w:space="0" w:color="auto"/>
      </w:divBdr>
    </w:div>
    <w:div w:id="1452359205">
      <w:bodyDiv w:val="1"/>
      <w:marLeft w:val="0"/>
      <w:marRight w:val="0"/>
      <w:marTop w:val="0"/>
      <w:marBottom w:val="0"/>
      <w:divBdr>
        <w:top w:val="none" w:sz="0" w:space="0" w:color="auto"/>
        <w:left w:val="none" w:sz="0" w:space="0" w:color="auto"/>
        <w:bottom w:val="none" w:sz="0" w:space="0" w:color="auto"/>
        <w:right w:val="none" w:sz="0" w:space="0" w:color="auto"/>
      </w:divBdr>
    </w:div>
    <w:div w:id="1482429667">
      <w:bodyDiv w:val="1"/>
      <w:marLeft w:val="0"/>
      <w:marRight w:val="0"/>
      <w:marTop w:val="0"/>
      <w:marBottom w:val="0"/>
      <w:divBdr>
        <w:top w:val="none" w:sz="0" w:space="0" w:color="auto"/>
        <w:left w:val="none" w:sz="0" w:space="0" w:color="auto"/>
        <w:bottom w:val="none" w:sz="0" w:space="0" w:color="auto"/>
        <w:right w:val="none" w:sz="0" w:space="0" w:color="auto"/>
      </w:divBdr>
    </w:div>
    <w:div w:id="1485470905">
      <w:bodyDiv w:val="1"/>
      <w:marLeft w:val="0"/>
      <w:marRight w:val="0"/>
      <w:marTop w:val="0"/>
      <w:marBottom w:val="0"/>
      <w:divBdr>
        <w:top w:val="none" w:sz="0" w:space="0" w:color="auto"/>
        <w:left w:val="none" w:sz="0" w:space="0" w:color="auto"/>
        <w:bottom w:val="none" w:sz="0" w:space="0" w:color="auto"/>
        <w:right w:val="none" w:sz="0" w:space="0" w:color="auto"/>
      </w:divBdr>
    </w:div>
    <w:div w:id="1533614087">
      <w:bodyDiv w:val="1"/>
      <w:marLeft w:val="0"/>
      <w:marRight w:val="0"/>
      <w:marTop w:val="0"/>
      <w:marBottom w:val="0"/>
      <w:divBdr>
        <w:top w:val="none" w:sz="0" w:space="0" w:color="auto"/>
        <w:left w:val="none" w:sz="0" w:space="0" w:color="auto"/>
        <w:bottom w:val="none" w:sz="0" w:space="0" w:color="auto"/>
        <w:right w:val="none" w:sz="0" w:space="0" w:color="auto"/>
      </w:divBdr>
    </w:div>
    <w:div w:id="1537964803">
      <w:bodyDiv w:val="1"/>
      <w:marLeft w:val="0"/>
      <w:marRight w:val="0"/>
      <w:marTop w:val="0"/>
      <w:marBottom w:val="0"/>
      <w:divBdr>
        <w:top w:val="none" w:sz="0" w:space="0" w:color="auto"/>
        <w:left w:val="none" w:sz="0" w:space="0" w:color="auto"/>
        <w:bottom w:val="none" w:sz="0" w:space="0" w:color="auto"/>
        <w:right w:val="none" w:sz="0" w:space="0" w:color="auto"/>
      </w:divBdr>
    </w:div>
    <w:div w:id="1549226263">
      <w:bodyDiv w:val="1"/>
      <w:marLeft w:val="0"/>
      <w:marRight w:val="0"/>
      <w:marTop w:val="0"/>
      <w:marBottom w:val="0"/>
      <w:divBdr>
        <w:top w:val="none" w:sz="0" w:space="0" w:color="auto"/>
        <w:left w:val="none" w:sz="0" w:space="0" w:color="auto"/>
        <w:bottom w:val="none" w:sz="0" w:space="0" w:color="auto"/>
        <w:right w:val="none" w:sz="0" w:space="0" w:color="auto"/>
      </w:divBdr>
    </w:div>
    <w:div w:id="1555582321">
      <w:bodyDiv w:val="1"/>
      <w:marLeft w:val="0"/>
      <w:marRight w:val="0"/>
      <w:marTop w:val="0"/>
      <w:marBottom w:val="0"/>
      <w:divBdr>
        <w:top w:val="none" w:sz="0" w:space="0" w:color="auto"/>
        <w:left w:val="none" w:sz="0" w:space="0" w:color="auto"/>
        <w:bottom w:val="none" w:sz="0" w:space="0" w:color="auto"/>
        <w:right w:val="none" w:sz="0" w:space="0" w:color="auto"/>
      </w:divBdr>
    </w:div>
    <w:div w:id="1567717896">
      <w:bodyDiv w:val="1"/>
      <w:marLeft w:val="0"/>
      <w:marRight w:val="0"/>
      <w:marTop w:val="0"/>
      <w:marBottom w:val="0"/>
      <w:divBdr>
        <w:top w:val="none" w:sz="0" w:space="0" w:color="auto"/>
        <w:left w:val="none" w:sz="0" w:space="0" w:color="auto"/>
        <w:bottom w:val="none" w:sz="0" w:space="0" w:color="auto"/>
        <w:right w:val="none" w:sz="0" w:space="0" w:color="auto"/>
      </w:divBdr>
    </w:div>
    <w:div w:id="1568035235">
      <w:bodyDiv w:val="1"/>
      <w:marLeft w:val="0"/>
      <w:marRight w:val="0"/>
      <w:marTop w:val="0"/>
      <w:marBottom w:val="0"/>
      <w:divBdr>
        <w:top w:val="none" w:sz="0" w:space="0" w:color="auto"/>
        <w:left w:val="none" w:sz="0" w:space="0" w:color="auto"/>
        <w:bottom w:val="none" w:sz="0" w:space="0" w:color="auto"/>
        <w:right w:val="none" w:sz="0" w:space="0" w:color="auto"/>
      </w:divBdr>
    </w:div>
    <w:div w:id="1584878397">
      <w:bodyDiv w:val="1"/>
      <w:marLeft w:val="0"/>
      <w:marRight w:val="0"/>
      <w:marTop w:val="0"/>
      <w:marBottom w:val="0"/>
      <w:divBdr>
        <w:top w:val="none" w:sz="0" w:space="0" w:color="auto"/>
        <w:left w:val="none" w:sz="0" w:space="0" w:color="auto"/>
        <w:bottom w:val="none" w:sz="0" w:space="0" w:color="auto"/>
        <w:right w:val="none" w:sz="0" w:space="0" w:color="auto"/>
      </w:divBdr>
    </w:div>
    <w:div w:id="1597903325">
      <w:bodyDiv w:val="1"/>
      <w:marLeft w:val="0"/>
      <w:marRight w:val="0"/>
      <w:marTop w:val="0"/>
      <w:marBottom w:val="0"/>
      <w:divBdr>
        <w:top w:val="none" w:sz="0" w:space="0" w:color="auto"/>
        <w:left w:val="none" w:sz="0" w:space="0" w:color="auto"/>
        <w:bottom w:val="none" w:sz="0" w:space="0" w:color="auto"/>
        <w:right w:val="none" w:sz="0" w:space="0" w:color="auto"/>
      </w:divBdr>
    </w:div>
    <w:div w:id="1602183650">
      <w:bodyDiv w:val="1"/>
      <w:marLeft w:val="0"/>
      <w:marRight w:val="0"/>
      <w:marTop w:val="0"/>
      <w:marBottom w:val="0"/>
      <w:divBdr>
        <w:top w:val="none" w:sz="0" w:space="0" w:color="auto"/>
        <w:left w:val="none" w:sz="0" w:space="0" w:color="auto"/>
        <w:bottom w:val="none" w:sz="0" w:space="0" w:color="auto"/>
        <w:right w:val="none" w:sz="0" w:space="0" w:color="auto"/>
      </w:divBdr>
    </w:div>
    <w:div w:id="1603609937">
      <w:bodyDiv w:val="1"/>
      <w:marLeft w:val="0"/>
      <w:marRight w:val="0"/>
      <w:marTop w:val="0"/>
      <w:marBottom w:val="0"/>
      <w:divBdr>
        <w:top w:val="none" w:sz="0" w:space="0" w:color="auto"/>
        <w:left w:val="none" w:sz="0" w:space="0" w:color="auto"/>
        <w:bottom w:val="none" w:sz="0" w:space="0" w:color="auto"/>
        <w:right w:val="none" w:sz="0" w:space="0" w:color="auto"/>
      </w:divBdr>
    </w:div>
    <w:div w:id="1622760314">
      <w:bodyDiv w:val="1"/>
      <w:marLeft w:val="0"/>
      <w:marRight w:val="0"/>
      <w:marTop w:val="0"/>
      <w:marBottom w:val="0"/>
      <w:divBdr>
        <w:top w:val="none" w:sz="0" w:space="0" w:color="auto"/>
        <w:left w:val="none" w:sz="0" w:space="0" w:color="auto"/>
        <w:bottom w:val="none" w:sz="0" w:space="0" w:color="auto"/>
        <w:right w:val="none" w:sz="0" w:space="0" w:color="auto"/>
      </w:divBdr>
    </w:div>
    <w:div w:id="1632708973">
      <w:bodyDiv w:val="1"/>
      <w:marLeft w:val="0"/>
      <w:marRight w:val="0"/>
      <w:marTop w:val="0"/>
      <w:marBottom w:val="0"/>
      <w:divBdr>
        <w:top w:val="none" w:sz="0" w:space="0" w:color="auto"/>
        <w:left w:val="none" w:sz="0" w:space="0" w:color="auto"/>
        <w:bottom w:val="none" w:sz="0" w:space="0" w:color="auto"/>
        <w:right w:val="none" w:sz="0" w:space="0" w:color="auto"/>
      </w:divBdr>
    </w:div>
    <w:div w:id="1647931015">
      <w:bodyDiv w:val="1"/>
      <w:marLeft w:val="0"/>
      <w:marRight w:val="0"/>
      <w:marTop w:val="0"/>
      <w:marBottom w:val="0"/>
      <w:divBdr>
        <w:top w:val="none" w:sz="0" w:space="0" w:color="auto"/>
        <w:left w:val="none" w:sz="0" w:space="0" w:color="auto"/>
        <w:bottom w:val="none" w:sz="0" w:space="0" w:color="auto"/>
        <w:right w:val="none" w:sz="0" w:space="0" w:color="auto"/>
      </w:divBdr>
    </w:div>
    <w:div w:id="1654597437">
      <w:bodyDiv w:val="1"/>
      <w:marLeft w:val="0"/>
      <w:marRight w:val="0"/>
      <w:marTop w:val="0"/>
      <w:marBottom w:val="0"/>
      <w:divBdr>
        <w:top w:val="none" w:sz="0" w:space="0" w:color="auto"/>
        <w:left w:val="none" w:sz="0" w:space="0" w:color="auto"/>
        <w:bottom w:val="none" w:sz="0" w:space="0" w:color="auto"/>
        <w:right w:val="none" w:sz="0" w:space="0" w:color="auto"/>
      </w:divBdr>
    </w:div>
    <w:div w:id="1717658680">
      <w:bodyDiv w:val="1"/>
      <w:marLeft w:val="0"/>
      <w:marRight w:val="0"/>
      <w:marTop w:val="0"/>
      <w:marBottom w:val="0"/>
      <w:divBdr>
        <w:top w:val="none" w:sz="0" w:space="0" w:color="auto"/>
        <w:left w:val="none" w:sz="0" w:space="0" w:color="auto"/>
        <w:bottom w:val="none" w:sz="0" w:space="0" w:color="auto"/>
        <w:right w:val="none" w:sz="0" w:space="0" w:color="auto"/>
      </w:divBdr>
    </w:div>
    <w:div w:id="1762557074">
      <w:bodyDiv w:val="1"/>
      <w:marLeft w:val="0"/>
      <w:marRight w:val="0"/>
      <w:marTop w:val="0"/>
      <w:marBottom w:val="0"/>
      <w:divBdr>
        <w:top w:val="none" w:sz="0" w:space="0" w:color="auto"/>
        <w:left w:val="none" w:sz="0" w:space="0" w:color="auto"/>
        <w:bottom w:val="none" w:sz="0" w:space="0" w:color="auto"/>
        <w:right w:val="none" w:sz="0" w:space="0" w:color="auto"/>
      </w:divBdr>
    </w:div>
    <w:div w:id="1787501355">
      <w:bodyDiv w:val="1"/>
      <w:marLeft w:val="0"/>
      <w:marRight w:val="0"/>
      <w:marTop w:val="0"/>
      <w:marBottom w:val="0"/>
      <w:divBdr>
        <w:top w:val="none" w:sz="0" w:space="0" w:color="auto"/>
        <w:left w:val="none" w:sz="0" w:space="0" w:color="auto"/>
        <w:bottom w:val="none" w:sz="0" w:space="0" w:color="auto"/>
        <w:right w:val="none" w:sz="0" w:space="0" w:color="auto"/>
      </w:divBdr>
    </w:div>
    <w:div w:id="1813787251">
      <w:bodyDiv w:val="1"/>
      <w:marLeft w:val="0"/>
      <w:marRight w:val="0"/>
      <w:marTop w:val="0"/>
      <w:marBottom w:val="0"/>
      <w:divBdr>
        <w:top w:val="none" w:sz="0" w:space="0" w:color="auto"/>
        <w:left w:val="none" w:sz="0" w:space="0" w:color="auto"/>
        <w:bottom w:val="none" w:sz="0" w:space="0" w:color="auto"/>
        <w:right w:val="none" w:sz="0" w:space="0" w:color="auto"/>
      </w:divBdr>
    </w:div>
    <w:div w:id="1818180806">
      <w:bodyDiv w:val="1"/>
      <w:marLeft w:val="0"/>
      <w:marRight w:val="0"/>
      <w:marTop w:val="0"/>
      <w:marBottom w:val="0"/>
      <w:divBdr>
        <w:top w:val="none" w:sz="0" w:space="0" w:color="auto"/>
        <w:left w:val="none" w:sz="0" w:space="0" w:color="auto"/>
        <w:bottom w:val="none" w:sz="0" w:space="0" w:color="auto"/>
        <w:right w:val="none" w:sz="0" w:space="0" w:color="auto"/>
      </w:divBdr>
    </w:div>
    <w:div w:id="1836917532">
      <w:bodyDiv w:val="1"/>
      <w:marLeft w:val="0"/>
      <w:marRight w:val="0"/>
      <w:marTop w:val="0"/>
      <w:marBottom w:val="0"/>
      <w:divBdr>
        <w:top w:val="none" w:sz="0" w:space="0" w:color="auto"/>
        <w:left w:val="none" w:sz="0" w:space="0" w:color="auto"/>
        <w:bottom w:val="none" w:sz="0" w:space="0" w:color="auto"/>
        <w:right w:val="none" w:sz="0" w:space="0" w:color="auto"/>
      </w:divBdr>
    </w:div>
    <w:div w:id="1895696481">
      <w:bodyDiv w:val="1"/>
      <w:marLeft w:val="0"/>
      <w:marRight w:val="0"/>
      <w:marTop w:val="0"/>
      <w:marBottom w:val="0"/>
      <w:divBdr>
        <w:top w:val="none" w:sz="0" w:space="0" w:color="auto"/>
        <w:left w:val="none" w:sz="0" w:space="0" w:color="auto"/>
        <w:bottom w:val="none" w:sz="0" w:space="0" w:color="auto"/>
        <w:right w:val="none" w:sz="0" w:space="0" w:color="auto"/>
      </w:divBdr>
    </w:div>
    <w:div w:id="1900944972">
      <w:bodyDiv w:val="1"/>
      <w:marLeft w:val="0"/>
      <w:marRight w:val="0"/>
      <w:marTop w:val="0"/>
      <w:marBottom w:val="0"/>
      <w:divBdr>
        <w:top w:val="none" w:sz="0" w:space="0" w:color="auto"/>
        <w:left w:val="none" w:sz="0" w:space="0" w:color="auto"/>
        <w:bottom w:val="none" w:sz="0" w:space="0" w:color="auto"/>
        <w:right w:val="none" w:sz="0" w:space="0" w:color="auto"/>
      </w:divBdr>
    </w:div>
    <w:div w:id="1901094698">
      <w:bodyDiv w:val="1"/>
      <w:marLeft w:val="0"/>
      <w:marRight w:val="0"/>
      <w:marTop w:val="0"/>
      <w:marBottom w:val="0"/>
      <w:divBdr>
        <w:top w:val="none" w:sz="0" w:space="0" w:color="auto"/>
        <w:left w:val="none" w:sz="0" w:space="0" w:color="auto"/>
        <w:bottom w:val="none" w:sz="0" w:space="0" w:color="auto"/>
        <w:right w:val="none" w:sz="0" w:space="0" w:color="auto"/>
      </w:divBdr>
    </w:div>
    <w:div w:id="1912306708">
      <w:bodyDiv w:val="1"/>
      <w:marLeft w:val="0"/>
      <w:marRight w:val="0"/>
      <w:marTop w:val="0"/>
      <w:marBottom w:val="0"/>
      <w:divBdr>
        <w:top w:val="none" w:sz="0" w:space="0" w:color="auto"/>
        <w:left w:val="none" w:sz="0" w:space="0" w:color="auto"/>
        <w:bottom w:val="none" w:sz="0" w:space="0" w:color="auto"/>
        <w:right w:val="none" w:sz="0" w:space="0" w:color="auto"/>
      </w:divBdr>
    </w:div>
    <w:div w:id="1931574009">
      <w:bodyDiv w:val="1"/>
      <w:marLeft w:val="0"/>
      <w:marRight w:val="0"/>
      <w:marTop w:val="0"/>
      <w:marBottom w:val="0"/>
      <w:divBdr>
        <w:top w:val="none" w:sz="0" w:space="0" w:color="auto"/>
        <w:left w:val="none" w:sz="0" w:space="0" w:color="auto"/>
        <w:bottom w:val="none" w:sz="0" w:space="0" w:color="auto"/>
        <w:right w:val="none" w:sz="0" w:space="0" w:color="auto"/>
      </w:divBdr>
    </w:div>
    <w:div w:id="1940672469">
      <w:bodyDiv w:val="1"/>
      <w:marLeft w:val="0"/>
      <w:marRight w:val="0"/>
      <w:marTop w:val="0"/>
      <w:marBottom w:val="0"/>
      <w:divBdr>
        <w:top w:val="none" w:sz="0" w:space="0" w:color="auto"/>
        <w:left w:val="none" w:sz="0" w:space="0" w:color="auto"/>
        <w:bottom w:val="none" w:sz="0" w:space="0" w:color="auto"/>
        <w:right w:val="none" w:sz="0" w:space="0" w:color="auto"/>
      </w:divBdr>
    </w:div>
    <w:div w:id="1953320243">
      <w:bodyDiv w:val="1"/>
      <w:marLeft w:val="0"/>
      <w:marRight w:val="0"/>
      <w:marTop w:val="0"/>
      <w:marBottom w:val="0"/>
      <w:divBdr>
        <w:top w:val="none" w:sz="0" w:space="0" w:color="auto"/>
        <w:left w:val="none" w:sz="0" w:space="0" w:color="auto"/>
        <w:bottom w:val="none" w:sz="0" w:space="0" w:color="auto"/>
        <w:right w:val="none" w:sz="0" w:space="0" w:color="auto"/>
      </w:divBdr>
    </w:div>
    <w:div w:id="1961305039">
      <w:bodyDiv w:val="1"/>
      <w:marLeft w:val="0"/>
      <w:marRight w:val="0"/>
      <w:marTop w:val="0"/>
      <w:marBottom w:val="0"/>
      <w:divBdr>
        <w:top w:val="none" w:sz="0" w:space="0" w:color="auto"/>
        <w:left w:val="none" w:sz="0" w:space="0" w:color="auto"/>
        <w:bottom w:val="none" w:sz="0" w:space="0" w:color="auto"/>
        <w:right w:val="none" w:sz="0" w:space="0" w:color="auto"/>
      </w:divBdr>
    </w:div>
    <w:div w:id="1965698701">
      <w:bodyDiv w:val="1"/>
      <w:marLeft w:val="0"/>
      <w:marRight w:val="0"/>
      <w:marTop w:val="0"/>
      <w:marBottom w:val="0"/>
      <w:divBdr>
        <w:top w:val="none" w:sz="0" w:space="0" w:color="auto"/>
        <w:left w:val="none" w:sz="0" w:space="0" w:color="auto"/>
        <w:bottom w:val="none" w:sz="0" w:space="0" w:color="auto"/>
        <w:right w:val="none" w:sz="0" w:space="0" w:color="auto"/>
      </w:divBdr>
    </w:div>
    <w:div w:id="1986396587">
      <w:bodyDiv w:val="1"/>
      <w:marLeft w:val="0"/>
      <w:marRight w:val="0"/>
      <w:marTop w:val="0"/>
      <w:marBottom w:val="0"/>
      <w:divBdr>
        <w:top w:val="none" w:sz="0" w:space="0" w:color="auto"/>
        <w:left w:val="none" w:sz="0" w:space="0" w:color="auto"/>
        <w:bottom w:val="none" w:sz="0" w:space="0" w:color="auto"/>
        <w:right w:val="none" w:sz="0" w:space="0" w:color="auto"/>
      </w:divBdr>
    </w:div>
    <w:div w:id="1989556529">
      <w:bodyDiv w:val="1"/>
      <w:marLeft w:val="0"/>
      <w:marRight w:val="0"/>
      <w:marTop w:val="0"/>
      <w:marBottom w:val="0"/>
      <w:divBdr>
        <w:top w:val="none" w:sz="0" w:space="0" w:color="auto"/>
        <w:left w:val="none" w:sz="0" w:space="0" w:color="auto"/>
        <w:bottom w:val="none" w:sz="0" w:space="0" w:color="auto"/>
        <w:right w:val="none" w:sz="0" w:space="0" w:color="auto"/>
      </w:divBdr>
    </w:div>
    <w:div w:id="1989705557">
      <w:bodyDiv w:val="1"/>
      <w:marLeft w:val="0"/>
      <w:marRight w:val="0"/>
      <w:marTop w:val="0"/>
      <w:marBottom w:val="0"/>
      <w:divBdr>
        <w:top w:val="none" w:sz="0" w:space="0" w:color="auto"/>
        <w:left w:val="none" w:sz="0" w:space="0" w:color="auto"/>
        <w:bottom w:val="none" w:sz="0" w:space="0" w:color="auto"/>
        <w:right w:val="none" w:sz="0" w:space="0" w:color="auto"/>
      </w:divBdr>
    </w:div>
    <w:div w:id="2029868159">
      <w:bodyDiv w:val="1"/>
      <w:marLeft w:val="0"/>
      <w:marRight w:val="0"/>
      <w:marTop w:val="0"/>
      <w:marBottom w:val="0"/>
      <w:divBdr>
        <w:top w:val="none" w:sz="0" w:space="0" w:color="auto"/>
        <w:left w:val="none" w:sz="0" w:space="0" w:color="auto"/>
        <w:bottom w:val="none" w:sz="0" w:space="0" w:color="auto"/>
        <w:right w:val="none" w:sz="0" w:space="0" w:color="auto"/>
      </w:divBdr>
    </w:div>
    <w:div w:id="2048093397">
      <w:bodyDiv w:val="1"/>
      <w:marLeft w:val="0"/>
      <w:marRight w:val="0"/>
      <w:marTop w:val="0"/>
      <w:marBottom w:val="0"/>
      <w:divBdr>
        <w:top w:val="none" w:sz="0" w:space="0" w:color="auto"/>
        <w:left w:val="none" w:sz="0" w:space="0" w:color="auto"/>
        <w:bottom w:val="none" w:sz="0" w:space="0" w:color="auto"/>
        <w:right w:val="none" w:sz="0" w:space="0" w:color="auto"/>
      </w:divBdr>
    </w:div>
    <w:div w:id="2056616661">
      <w:bodyDiv w:val="1"/>
      <w:marLeft w:val="0"/>
      <w:marRight w:val="0"/>
      <w:marTop w:val="0"/>
      <w:marBottom w:val="0"/>
      <w:divBdr>
        <w:top w:val="none" w:sz="0" w:space="0" w:color="auto"/>
        <w:left w:val="none" w:sz="0" w:space="0" w:color="auto"/>
        <w:bottom w:val="none" w:sz="0" w:space="0" w:color="auto"/>
        <w:right w:val="none" w:sz="0" w:space="0" w:color="auto"/>
      </w:divBdr>
    </w:div>
    <w:div w:id="2072774889">
      <w:bodyDiv w:val="1"/>
      <w:marLeft w:val="0"/>
      <w:marRight w:val="0"/>
      <w:marTop w:val="0"/>
      <w:marBottom w:val="0"/>
      <w:divBdr>
        <w:top w:val="none" w:sz="0" w:space="0" w:color="auto"/>
        <w:left w:val="none" w:sz="0" w:space="0" w:color="auto"/>
        <w:bottom w:val="none" w:sz="0" w:space="0" w:color="auto"/>
        <w:right w:val="none" w:sz="0" w:space="0" w:color="auto"/>
      </w:divBdr>
    </w:div>
    <w:div w:id="2094473134">
      <w:bodyDiv w:val="1"/>
      <w:marLeft w:val="0"/>
      <w:marRight w:val="0"/>
      <w:marTop w:val="0"/>
      <w:marBottom w:val="0"/>
      <w:divBdr>
        <w:top w:val="none" w:sz="0" w:space="0" w:color="auto"/>
        <w:left w:val="none" w:sz="0" w:space="0" w:color="auto"/>
        <w:bottom w:val="none" w:sz="0" w:space="0" w:color="auto"/>
        <w:right w:val="none" w:sz="0" w:space="0" w:color="auto"/>
      </w:divBdr>
    </w:div>
    <w:div w:id="2094626592">
      <w:bodyDiv w:val="1"/>
      <w:marLeft w:val="0"/>
      <w:marRight w:val="0"/>
      <w:marTop w:val="0"/>
      <w:marBottom w:val="0"/>
      <w:divBdr>
        <w:top w:val="none" w:sz="0" w:space="0" w:color="auto"/>
        <w:left w:val="none" w:sz="0" w:space="0" w:color="auto"/>
        <w:bottom w:val="none" w:sz="0" w:space="0" w:color="auto"/>
        <w:right w:val="none" w:sz="0" w:space="0" w:color="auto"/>
      </w:divBdr>
    </w:div>
    <w:div w:id="2106223597">
      <w:bodyDiv w:val="1"/>
      <w:marLeft w:val="0"/>
      <w:marRight w:val="0"/>
      <w:marTop w:val="0"/>
      <w:marBottom w:val="0"/>
      <w:divBdr>
        <w:top w:val="none" w:sz="0" w:space="0" w:color="auto"/>
        <w:left w:val="none" w:sz="0" w:space="0" w:color="auto"/>
        <w:bottom w:val="none" w:sz="0" w:space="0" w:color="auto"/>
        <w:right w:val="none" w:sz="0" w:space="0" w:color="auto"/>
      </w:divBdr>
    </w:div>
    <w:div w:id="2117091072">
      <w:bodyDiv w:val="1"/>
      <w:marLeft w:val="0"/>
      <w:marRight w:val="0"/>
      <w:marTop w:val="0"/>
      <w:marBottom w:val="0"/>
      <w:divBdr>
        <w:top w:val="none" w:sz="0" w:space="0" w:color="auto"/>
        <w:left w:val="none" w:sz="0" w:space="0" w:color="auto"/>
        <w:bottom w:val="none" w:sz="0" w:space="0" w:color="auto"/>
        <w:right w:val="none" w:sz="0" w:space="0" w:color="auto"/>
      </w:divBdr>
    </w:div>
    <w:div w:id="21282339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F7891-9290-4517-8BED-5778AC1E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4307</Characters>
  <Application>Microsoft Office Word</Application>
  <DocSecurity>4</DocSecurity>
  <PresentationFormat/>
  <Lines>35</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清算审计报告</vt:lpstr>
    </vt:vector>
  </TitlesOfParts>
  <Company>Ernst &amp; Young</Company>
  <LinksUpToDate>false</LinksUpToDate>
  <CharactersWithSpaces>5052</CharactersWithSpaces>
  <SharedDoc>false</SharedDoc>
  <HLinks>
    <vt:vector size="36" baseType="variant">
      <vt:variant>
        <vt:i4>1114174</vt:i4>
      </vt:variant>
      <vt:variant>
        <vt:i4>32</vt:i4>
      </vt:variant>
      <vt:variant>
        <vt:i4>0</vt:i4>
      </vt:variant>
      <vt:variant>
        <vt:i4>5</vt:i4>
      </vt:variant>
      <vt:variant>
        <vt:lpwstr/>
      </vt:variant>
      <vt:variant>
        <vt:lpwstr>_Toc447194472</vt:lpwstr>
      </vt:variant>
      <vt:variant>
        <vt:i4>1114174</vt:i4>
      </vt:variant>
      <vt:variant>
        <vt:i4>26</vt:i4>
      </vt:variant>
      <vt:variant>
        <vt:i4>0</vt:i4>
      </vt:variant>
      <vt:variant>
        <vt:i4>5</vt:i4>
      </vt:variant>
      <vt:variant>
        <vt:lpwstr/>
      </vt:variant>
      <vt:variant>
        <vt:lpwstr>_Toc447194471</vt:lpwstr>
      </vt:variant>
      <vt:variant>
        <vt:i4>1114174</vt:i4>
      </vt:variant>
      <vt:variant>
        <vt:i4>20</vt:i4>
      </vt:variant>
      <vt:variant>
        <vt:i4>0</vt:i4>
      </vt:variant>
      <vt:variant>
        <vt:i4>5</vt:i4>
      </vt:variant>
      <vt:variant>
        <vt:lpwstr/>
      </vt:variant>
      <vt:variant>
        <vt:lpwstr>_Toc447194470</vt:lpwstr>
      </vt:variant>
      <vt:variant>
        <vt:i4>1048638</vt:i4>
      </vt:variant>
      <vt:variant>
        <vt:i4>14</vt:i4>
      </vt:variant>
      <vt:variant>
        <vt:i4>0</vt:i4>
      </vt:variant>
      <vt:variant>
        <vt:i4>5</vt:i4>
      </vt:variant>
      <vt:variant>
        <vt:lpwstr/>
      </vt:variant>
      <vt:variant>
        <vt:lpwstr>_Toc447194469</vt:lpwstr>
      </vt:variant>
      <vt:variant>
        <vt:i4>1048638</vt:i4>
      </vt:variant>
      <vt:variant>
        <vt:i4>8</vt:i4>
      </vt:variant>
      <vt:variant>
        <vt:i4>0</vt:i4>
      </vt:variant>
      <vt:variant>
        <vt:i4>5</vt:i4>
      </vt:variant>
      <vt:variant>
        <vt:lpwstr/>
      </vt:variant>
      <vt:variant>
        <vt:lpwstr>_Toc447194468</vt:lpwstr>
      </vt:variant>
      <vt:variant>
        <vt:i4>1048638</vt:i4>
      </vt:variant>
      <vt:variant>
        <vt:i4>2</vt:i4>
      </vt:variant>
      <vt:variant>
        <vt:i4>0</vt:i4>
      </vt:variant>
      <vt:variant>
        <vt:i4>5</vt:i4>
      </vt:variant>
      <vt:variant>
        <vt:lpwstr/>
      </vt:variant>
      <vt:variant>
        <vt:lpwstr>_Toc447194467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运营服务部-韩一平</dc:creator>
  <cp:lastModifiedBy>ZHONGM</cp:lastModifiedBy>
  <cp:revision>2</cp:revision>
  <cp:lastPrinted>2025-03-18T07:49:00Z</cp:lastPrinted>
  <dcterms:created xsi:type="dcterms:W3CDTF">2025-03-20T16:02:00Z</dcterms:created>
  <dcterms:modified xsi:type="dcterms:W3CDTF">2025-03-20T16:02:00Z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