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2025年3月21日</w:t>
      </w:r>
      <w:bookmarkEnd w:id="0"/>
    </w:p>
    <w:p w:rsidR="00DA2749" w:rsidRDefault="00426411" w:rsidP="00D32BFF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97278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97278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97278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97278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97278A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2025年3月21日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2025年3月21日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97278A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2025年3月21日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  <w:bookmarkStart w:id="1" w:name="_GoBack"/>
        <w:bookmarkEnd w:id="1"/>
      </w:tr>
      <w:tr w:rsidR="0097278A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97278A" w:rsidRDefault="0097278A" w:rsidP="0097278A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97278A" w:rsidRPr="00EB764E" w:rsidRDefault="0097278A" w:rsidP="0097278A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97278A" w:rsidRPr="000C7A08" w:rsidRDefault="0097278A" w:rsidP="0097278A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97278A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为充分保护基金持有人利益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3948"/>
        <w:gridCol w:w="1708"/>
        <w:gridCol w:w="1708"/>
        <w:gridCol w:w="1708"/>
      </w:tblGrid>
      <w:tr w:rsidR="0097278A" w:rsidTr="0097278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同泰恒利纯债D</w:t>
            </w:r>
          </w:p>
        </w:tc>
      </w:tr>
      <w:tr w:rsidR="0097278A" w:rsidTr="0097278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008728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008729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020710</w:t>
            </w:r>
          </w:p>
        </w:tc>
      </w:tr>
      <w:tr w:rsidR="0097278A" w:rsidTr="0097278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</w:tr>
      <w:tr w:rsidR="0097278A" w:rsidTr="0097278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  <w:tr w:rsidR="0097278A" w:rsidTr="0097278A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下属分类基金的限制转换转入金额（单</w:t>
            </w:r>
            <w:r w:rsidRPr="00946FD3">
              <w:rPr>
                <w:rFonts w:hint="eastAsia"/>
              </w:rPr>
              <w:lastRenderedPageBreak/>
              <w:t>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lastRenderedPageBreak/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注：恢复大额申购、转换转入、定期定额投资起始日：2025年3月24日。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D32BFF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 xml:space="preserve">(1)本基金于2025年3月21日暂停大额申购、转换转入、定期定额投资，单个账户每一开放日申购、转换转入、定期定额投资累计不得超过100万元(不含100万元)。本基金于2025年3月24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2025年3月21日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28" w:rsidRDefault="00306628" w:rsidP="00426411">
      <w:r>
        <w:separator/>
      </w:r>
    </w:p>
  </w:endnote>
  <w:endnote w:type="continuationSeparator" w:id="0">
    <w:p w:rsidR="00306628" w:rsidRDefault="00306628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974122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974122">
      <w:fldChar w:fldCharType="separate"/>
    </w:r>
    <w:r w:rsidR="00D32BFF">
      <w:rPr>
        <w:noProof/>
      </w:rPr>
      <w:t>1</w:t>
    </w:r>
    <w:r w:rsidR="00974122">
      <w:fldChar w:fldCharType="end"/>
    </w:r>
    <w:r w:rsidRPr="00912507">
      <w:rPr>
        <w:rFonts w:hint="eastAsia"/>
      </w:rPr>
      <w:t>页 共</w:t>
    </w:r>
    <w:fldSimple w:instr=" NUMPAGES   \* MERGEFORMAT ">
      <w:r w:rsidR="00D32BFF">
        <w:rPr>
          <w:noProof/>
        </w:rPr>
        <w:t>2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28" w:rsidRDefault="00306628" w:rsidP="00426411">
      <w:r>
        <w:separator/>
      </w:r>
    </w:p>
  </w:footnote>
  <w:footnote w:type="continuationSeparator" w:id="0">
    <w:p w:rsidR="00306628" w:rsidRDefault="00306628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FD" w:rsidRDefault="001E77E3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1A70FD" w:rsidRDefault="001A70FD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96EE0"/>
    <w:rsid w:val="000F2376"/>
    <w:rsid w:val="000F646B"/>
    <w:rsid w:val="00104940"/>
    <w:rsid w:val="00166BB5"/>
    <w:rsid w:val="001954E5"/>
    <w:rsid w:val="001A70FD"/>
    <w:rsid w:val="001B68FF"/>
    <w:rsid w:val="001D1FEC"/>
    <w:rsid w:val="001E77E3"/>
    <w:rsid w:val="00204B9E"/>
    <w:rsid w:val="00253457"/>
    <w:rsid w:val="00261960"/>
    <w:rsid w:val="002764F5"/>
    <w:rsid w:val="00281DD4"/>
    <w:rsid w:val="0028618B"/>
    <w:rsid w:val="002B0D3B"/>
    <w:rsid w:val="002B1E2C"/>
    <w:rsid w:val="002C40DA"/>
    <w:rsid w:val="003009B4"/>
    <w:rsid w:val="00306628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4016B8"/>
    <w:rsid w:val="00426411"/>
    <w:rsid w:val="00455466"/>
    <w:rsid w:val="00460244"/>
    <w:rsid w:val="0054420B"/>
    <w:rsid w:val="005C6647"/>
    <w:rsid w:val="005D2061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55E4C"/>
    <w:rsid w:val="00862EFB"/>
    <w:rsid w:val="008839B3"/>
    <w:rsid w:val="00887C00"/>
    <w:rsid w:val="008C09CC"/>
    <w:rsid w:val="008C57FA"/>
    <w:rsid w:val="008D4E8A"/>
    <w:rsid w:val="00912507"/>
    <w:rsid w:val="0094280C"/>
    <w:rsid w:val="00955A97"/>
    <w:rsid w:val="0097278A"/>
    <w:rsid w:val="00974122"/>
    <w:rsid w:val="00974789"/>
    <w:rsid w:val="00975E72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32BFF"/>
    <w:rsid w:val="00D45412"/>
    <w:rsid w:val="00D651DB"/>
    <w:rsid w:val="00DA2749"/>
    <w:rsid w:val="00E01C9B"/>
    <w:rsid w:val="00E33A18"/>
    <w:rsid w:val="00E40B6D"/>
    <w:rsid w:val="00E942A7"/>
    <w:rsid w:val="00EB53C0"/>
    <w:rsid w:val="00EC222A"/>
    <w:rsid w:val="00EF3257"/>
    <w:rsid w:val="00F018F1"/>
    <w:rsid w:val="00F24A63"/>
    <w:rsid w:val="00F37F37"/>
    <w:rsid w:val="00F55506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D267B5D-9B64-48B2-B749-545BB8AF7158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4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2025-03-20T16:01:00Z</dcterms:created>
  <dcterms:modified xsi:type="dcterms:W3CDTF">2025-03-20T16:01:00Z</dcterms:modified>
</cp:coreProperties>
</file>