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5C4" w:rsidRDefault="005D55C4">
      <w:pPr>
        <w:spacing w:line="360" w:lineRule="auto"/>
        <w:ind w:firstLineChars="200" w:firstLine="482"/>
        <w:rPr>
          <w:rFonts w:ascii="Times New Roman" w:eastAsia="宋体" w:hAnsi="Times New Roman" w:cs="Times New Roman"/>
          <w:b/>
          <w:bCs/>
          <w:sz w:val="24"/>
          <w:szCs w:val="24"/>
        </w:rPr>
      </w:pPr>
      <w:bookmarkStart w:id="0" w:name="_GoBack"/>
      <w:bookmarkEnd w:id="0"/>
    </w:p>
    <w:p w:rsidR="005D55C4" w:rsidRDefault="0038642D">
      <w:pPr>
        <w:spacing w:line="360" w:lineRule="auto"/>
        <w:jc w:val="center"/>
        <w:rPr>
          <w:rFonts w:ascii="Times New Roman" w:eastAsia="宋体" w:hAnsi="Times New Roman" w:cs="Times New Roman"/>
          <w:b/>
          <w:sz w:val="32"/>
          <w:szCs w:val="32"/>
          <w:shd w:val="clear" w:color="auto" w:fill="FFFFFF"/>
        </w:rPr>
      </w:pPr>
      <w:r>
        <w:rPr>
          <w:rFonts w:ascii="Times New Roman" w:eastAsia="宋体" w:hAnsi="Times New Roman" w:cs="Times New Roman"/>
          <w:b/>
          <w:sz w:val="32"/>
          <w:szCs w:val="32"/>
          <w:shd w:val="clear" w:color="auto" w:fill="FFFFFF"/>
        </w:rPr>
        <w:t>关于</w:t>
      </w:r>
      <w:bookmarkStart w:id="1" w:name="_Hlk190799510"/>
      <w:r>
        <w:rPr>
          <w:rFonts w:ascii="Times New Roman" w:eastAsia="宋体" w:hAnsi="Times New Roman" w:cs="Times New Roman"/>
          <w:b/>
          <w:sz w:val="32"/>
          <w:szCs w:val="32"/>
          <w:shd w:val="clear" w:color="auto" w:fill="FFFFFF"/>
        </w:rPr>
        <w:t>华安基金管理有限公司旗下部分指数基金</w:t>
      </w:r>
      <w:bookmarkEnd w:id="1"/>
      <w:r>
        <w:rPr>
          <w:rFonts w:ascii="Times New Roman" w:eastAsia="宋体" w:hAnsi="Times New Roman" w:cs="Times New Roman"/>
          <w:b/>
          <w:sz w:val="32"/>
          <w:szCs w:val="32"/>
          <w:shd w:val="clear" w:color="auto" w:fill="FFFFFF"/>
        </w:rPr>
        <w:t>指数使用费调整为基金管理人承担并修订基金合同的公告</w:t>
      </w:r>
    </w:p>
    <w:p w:rsidR="005D55C4" w:rsidRDefault="005D55C4">
      <w:pPr>
        <w:snapToGrid w:val="0"/>
        <w:spacing w:line="360" w:lineRule="auto"/>
        <w:ind w:firstLineChars="200" w:firstLine="480"/>
        <w:rPr>
          <w:rFonts w:ascii="Times New Roman" w:eastAsia="宋体" w:hAnsi="Times New Roman" w:cs="Times New Roman"/>
          <w:sz w:val="24"/>
          <w:szCs w:val="24"/>
        </w:rPr>
      </w:pPr>
    </w:p>
    <w:p w:rsidR="005D55C4" w:rsidRDefault="0038642D">
      <w:pPr>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为维护基金份额持有人利益，降低投资者的投资理财成本，经与基金托管人协商一致，自</w:t>
      </w:r>
      <w:r>
        <w:rPr>
          <w:rFonts w:ascii="Times New Roman" w:eastAsia="宋体" w:hAnsi="Times New Roman" w:cs="Times New Roman"/>
          <w:sz w:val="24"/>
          <w:szCs w:val="24"/>
        </w:rPr>
        <w:t>2025</w:t>
      </w:r>
      <w:r>
        <w:rPr>
          <w:rFonts w:ascii="Times New Roman" w:eastAsia="宋体" w:hAnsi="Times New Roman" w:cs="Times New Roman"/>
          <w:sz w:val="24"/>
          <w:szCs w:val="24"/>
        </w:rPr>
        <w:t>年</w:t>
      </w:r>
      <w:r>
        <w:rPr>
          <w:rFonts w:ascii="Times New Roman" w:eastAsia="宋体" w:hAnsi="Times New Roman" w:cs="Times New Roman"/>
          <w:sz w:val="24"/>
          <w:szCs w:val="24"/>
        </w:rPr>
        <w:t>3</w:t>
      </w:r>
      <w:r>
        <w:rPr>
          <w:rFonts w:ascii="Times New Roman" w:eastAsia="宋体" w:hAnsi="Times New Roman" w:cs="Times New Roman"/>
          <w:sz w:val="24"/>
          <w:szCs w:val="24"/>
        </w:rPr>
        <w:t>月</w:t>
      </w:r>
      <w:r>
        <w:rPr>
          <w:rFonts w:ascii="Times New Roman" w:eastAsia="宋体" w:hAnsi="Times New Roman" w:cs="Times New Roman"/>
          <w:sz w:val="24"/>
          <w:szCs w:val="24"/>
        </w:rPr>
        <w:t>21</w:t>
      </w:r>
      <w:r>
        <w:rPr>
          <w:rFonts w:ascii="Times New Roman" w:eastAsia="宋体" w:hAnsi="Times New Roman" w:cs="Times New Roman"/>
          <w:sz w:val="24"/>
          <w:szCs w:val="24"/>
        </w:rPr>
        <w:t>日起，华安基金管理有限公司（以下简称</w:t>
      </w:r>
      <w:r>
        <w:rPr>
          <w:rFonts w:ascii="Times New Roman" w:eastAsia="宋体" w:hAnsi="Times New Roman" w:cs="Times New Roman"/>
          <w:sz w:val="24"/>
          <w:szCs w:val="24"/>
        </w:rPr>
        <w:t>“</w:t>
      </w:r>
      <w:r>
        <w:rPr>
          <w:rFonts w:ascii="Times New Roman" w:eastAsia="宋体" w:hAnsi="Times New Roman" w:cs="Times New Roman"/>
          <w:sz w:val="24"/>
          <w:szCs w:val="24"/>
        </w:rPr>
        <w:t>基金管理人</w:t>
      </w:r>
      <w:r>
        <w:rPr>
          <w:rFonts w:ascii="Times New Roman" w:eastAsia="宋体" w:hAnsi="Times New Roman" w:cs="Times New Roman"/>
          <w:sz w:val="24"/>
          <w:szCs w:val="24"/>
        </w:rPr>
        <w:t>”</w:t>
      </w:r>
      <w:r>
        <w:rPr>
          <w:rFonts w:ascii="Times New Roman" w:eastAsia="宋体" w:hAnsi="Times New Roman" w:cs="Times New Roman"/>
          <w:sz w:val="24"/>
          <w:szCs w:val="24"/>
        </w:rPr>
        <w:t>）旗下部分指数基金指数使用费调整为基金管理人承担，并相应修订各基金基金合同有关内容。本次调整后，基金管理人旗下全部指数基金指数使用费均由基金管理人承担。现将具体情况公告如下：</w:t>
      </w:r>
    </w:p>
    <w:p w:rsidR="005D55C4" w:rsidRDefault="005D55C4">
      <w:pPr>
        <w:snapToGrid w:val="0"/>
        <w:spacing w:line="360" w:lineRule="auto"/>
        <w:ind w:firstLineChars="200" w:firstLine="482"/>
        <w:rPr>
          <w:rFonts w:ascii="Times New Roman" w:eastAsia="宋体" w:hAnsi="Times New Roman" w:cs="Times New Roman"/>
          <w:b/>
          <w:bCs/>
          <w:sz w:val="24"/>
          <w:szCs w:val="24"/>
        </w:rPr>
      </w:pPr>
    </w:p>
    <w:p w:rsidR="005D55C4" w:rsidRDefault="0038642D">
      <w:pPr>
        <w:snapToGrid w:val="0"/>
        <w:spacing w:line="360" w:lineRule="auto"/>
        <w:ind w:firstLineChars="200" w:firstLine="482"/>
        <w:rPr>
          <w:rFonts w:ascii="Times New Roman" w:eastAsia="宋体" w:hAnsi="Times New Roman" w:cs="Times New Roman"/>
          <w:b/>
          <w:bCs/>
          <w:sz w:val="24"/>
          <w:szCs w:val="24"/>
        </w:rPr>
      </w:pPr>
      <w:r>
        <w:rPr>
          <w:rFonts w:ascii="Times New Roman" w:eastAsia="宋体" w:hAnsi="Times New Roman" w:cs="Times New Roman"/>
          <w:b/>
          <w:bCs/>
          <w:sz w:val="24"/>
          <w:szCs w:val="24"/>
        </w:rPr>
        <w:t>一、基金范围</w:t>
      </w:r>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7"/>
        <w:gridCol w:w="5212"/>
        <w:gridCol w:w="2448"/>
        <w:gridCol w:w="1377"/>
      </w:tblGrid>
      <w:tr w:rsidR="005D55C4">
        <w:trPr>
          <w:trHeight w:val="300"/>
          <w:jc w:val="center"/>
        </w:trPr>
        <w:tc>
          <w:tcPr>
            <w:tcW w:w="557" w:type="dxa"/>
            <w:shd w:val="clear" w:color="auto" w:fill="auto"/>
            <w:noWrap/>
            <w:vAlign w:val="center"/>
          </w:tcPr>
          <w:p w:rsidR="005D55C4" w:rsidRDefault="0038642D">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序号</w:t>
            </w:r>
          </w:p>
        </w:tc>
        <w:tc>
          <w:tcPr>
            <w:tcW w:w="5212" w:type="dxa"/>
            <w:shd w:val="clear" w:color="auto" w:fill="auto"/>
            <w:noWrap/>
            <w:vAlign w:val="center"/>
          </w:tcPr>
          <w:p w:rsidR="005D55C4" w:rsidRDefault="0038642D">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基金全称</w:t>
            </w:r>
          </w:p>
        </w:tc>
        <w:tc>
          <w:tcPr>
            <w:tcW w:w="2448" w:type="dxa"/>
            <w:shd w:val="clear" w:color="auto" w:fill="auto"/>
            <w:noWrap/>
            <w:vAlign w:val="center"/>
          </w:tcPr>
          <w:p w:rsidR="005D55C4" w:rsidRDefault="0038642D">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基金简称</w:t>
            </w:r>
          </w:p>
        </w:tc>
        <w:tc>
          <w:tcPr>
            <w:tcW w:w="1377" w:type="dxa"/>
            <w:shd w:val="clear" w:color="auto" w:fill="auto"/>
            <w:noWrap/>
            <w:vAlign w:val="center"/>
          </w:tcPr>
          <w:p w:rsidR="005D55C4" w:rsidRDefault="0038642D">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rPr>
              <w:t>基金主代码</w:t>
            </w:r>
          </w:p>
        </w:tc>
      </w:tr>
      <w:tr w:rsidR="005D55C4">
        <w:trPr>
          <w:trHeight w:val="300"/>
          <w:jc w:val="center"/>
        </w:trPr>
        <w:tc>
          <w:tcPr>
            <w:tcW w:w="557" w:type="dxa"/>
            <w:shd w:val="clear" w:color="auto" w:fill="auto"/>
            <w:noWrap/>
            <w:vAlign w:val="center"/>
          </w:tcPr>
          <w:p w:rsidR="005D55C4" w:rsidRDefault="0038642D">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sz w:val="24"/>
                <w:szCs w:val="24"/>
              </w:rPr>
              <w:t>1</w:t>
            </w:r>
          </w:p>
        </w:tc>
        <w:tc>
          <w:tcPr>
            <w:tcW w:w="5212" w:type="dxa"/>
            <w:shd w:val="clear" w:color="auto" w:fill="auto"/>
            <w:noWrap/>
            <w:vAlign w:val="center"/>
          </w:tcPr>
          <w:p w:rsidR="005D55C4" w:rsidRDefault="0038642D">
            <w:pPr>
              <w:widowControl/>
              <w:jc w:val="left"/>
              <w:textAlignment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sz w:val="24"/>
                <w:szCs w:val="24"/>
              </w:rPr>
              <w:t>华安上证</w:t>
            </w:r>
            <w:r>
              <w:rPr>
                <w:rFonts w:ascii="Times New Roman" w:eastAsia="宋体" w:hAnsi="Times New Roman" w:cs="Times New Roman"/>
                <w:color w:val="000000"/>
                <w:sz w:val="24"/>
                <w:szCs w:val="24"/>
              </w:rPr>
              <w:t>50</w:t>
            </w:r>
            <w:r>
              <w:rPr>
                <w:rFonts w:ascii="Times New Roman" w:eastAsia="宋体" w:hAnsi="Times New Roman" w:cs="Times New Roman"/>
                <w:color w:val="000000"/>
                <w:sz w:val="24"/>
                <w:szCs w:val="24"/>
              </w:rPr>
              <w:t>交易型开放式指数证券投资基金</w:t>
            </w:r>
          </w:p>
        </w:tc>
        <w:tc>
          <w:tcPr>
            <w:tcW w:w="2448" w:type="dxa"/>
            <w:shd w:val="clear" w:color="auto" w:fill="auto"/>
            <w:noWrap/>
            <w:vAlign w:val="center"/>
          </w:tcPr>
          <w:p w:rsidR="005D55C4" w:rsidRDefault="0038642D">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sz w:val="24"/>
                <w:szCs w:val="24"/>
              </w:rPr>
              <w:t>华安上证</w:t>
            </w:r>
            <w:r>
              <w:rPr>
                <w:rFonts w:ascii="Times New Roman" w:eastAsia="宋体" w:hAnsi="Times New Roman" w:cs="Times New Roman"/>
                <w:color w:val="000000"/>
                <w:sz w:val="24"/>
                <w:szCs w:val="24"/>
              </w:rPr>
              <w:t>50ETF</w:t>
            </w:r>
          </w:p>
        </w:tc>
        <w:tc>
          <w:tcPr>
            <w:tcW w:w="1377" w:type="dxa"/>
            <w:shd w:val="clear" w:color="auto" w:fill="auto"/>
            <w:noWrap/>
            <w:vAlign w:val="center"/>
          </w:tcPr>
          <w:p w:rsidR="005D55C4" w:rsidRDefault="0038642D">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sz w:val="24"/>
                <w:szCs w:val="24"/>
              </w:rPr>
              <w:t>510190</w:t>
            </w:r>
          </w:p>
        </w:tc>
      </w:tr>
      <w:tr w:rsidR="005D55C4">
        <w:trPr>
          <w:trHeight w:val="300"/>
          <w:jc w:val="center"/>
        </w:trPr>
        <w:tc>
          <w:tcPr>
            <w:tcW w:w="557" w:type="dxa"/>
            <w:shd w:val="clear" w:color="auto" w:fill="auto"/>
            <w:noWrap/>
            <w:vAlign w:val="center"/>
          </w:tcPr>
          <w:p w:rsidR="005D55C4" w:rsidRDefault="0038642D">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sz w:val="24"/>
                <w:szCs w:val="24"/>
              </w:rPr>
              <w:t>2</w:t>
            </w:r>
          </w:p>
        </w:tc>
        <w:tc>
          <w:tcPr>
            <w:tcW w:w="5212" w:type="dxa"/>
            <w:shd w:val="clear" w:color="auto" w:fill="auto"/>
            <w:vAlign w:val="center"/>
          </w:tcPr>
          <w:p w:rsidR="005D55C4" w:rsidRDefault="0038642D">
            <w:pPr>
              <w:widowControl/>
              <w:jc w:val="left"/>
              <w:textAlignment w:val="center"/>
              <w:rPr>
                <w:rFonts w:ascii="Times New Roman" w:eastAsia="宋体" w:hAnsi="Times New Roman" w:cs="Times New Roman"/>
                <w:kern w:val="0"/>
                <w:sz w:val="24"/>
                <w:szCs w:val="24"/>
              </w:rPr>
            </w:pPr>
            <w:r>
              <w:rPr>
                <w:rFonts w:ascii="Times New Roman" w:eastAsia="宋体" w:hAnsi="Times New Roman" w:cs="Times New Roman"/>
                <w:color w:val="000000"/>
                <w:sz w:val="24"/>
                <w:szCs w:val="24"/>
              </w:rPr>
              <w:t>华安标普全球石油指数证券投资基金（</w:t>
            </w:r>
            <w:r>
              <w:rPr>
                <w:rFonts w:ascii="Times New Roman" w:eastAsia="宋体" w:hAnsi="Times New Roman" w:cs="Times New Roman"/>
                <w:color w:val="000000"/>
                <w:sz w:val="24"/>
                <w:szCs w:val="24"/>
              </w:rPr>
              <w:t>LOF</w:t>
            </w:r>
            <w:r>
              <w:rPr>
                <w:rFonts w:ascii="Times New Roman" w:eastAsia="宋体" w:hAnsi="Times New Roman" w:cs="Times New Roman"/>
                <w:color w:val="000000"/>
                <w:sz w:val="24"/>
                <w:szCs w:val="24"/>
              </w:rPr>
              <w:t>）</w:t>
            </w:r>
          </w:p>
        </w:tc>
        <w:tc>
          <w:tcPr>
            <w:tcW w:w="2448" w:type="dxa"/>
            <w:shd w:val="clear" w:color="auto" w:fill="auto"/>
            <w:noWrap/>
            <w:vAlign w:val="center"/>
          </w:tcPr>
          <w:p w:rsidR="005D55C4" w:rsidRDefault="0038642D">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sz w:val="24"/>
                <w:szCs w:val="24"/>
              </w:rPr>
              <w:t>华安标普全球石油指数</w:t>
            </w:r>
            <w:r>
              <w:rPr>
                <w:rFonts w:ascii="Times New Roman" w:eastAsia="宋体" w:hAnsi="Times New Roman" w:cs="Times New Roman" w:hint="eastAsia"/>
                <w:color w:val="000000"/>
                <w:sz w:val="24"/>
                <w:szCs w:val="24"/>
              </w:rPr>
              <w:t>（</w:t>
            </w:r>
            <w:r>
              <w:rPr>
                <w:rFonts w:ascii="Times New Roman" w:eastAsia="宋体" w:hAnsi="Times New Roman" w:cs="Times New Roman"/>
                <w:color w:val="000000"/>
                <w:sz w:val="24"/>
                <w:szCs w:val="24"/>
              </w:rPr>
              <w:t>LOF</w:t>
            </w:r>
            <w:r>
              <w:rPr>
                <w:rFonts w:ascii="Times New Roman" w:eastAsia="宋体" w:hAnsi="Times New Roman" w:cs="Times New Roman" w:hint="eastAsia"/>
                <w:color w:val="000000"/>
                <w:sz w:val="24"/>
                <w:szCs w:val="24"/>
              </w:rPr>
              <w:t>）</w:t>
            </w:r>
          </w:p>
        </w:tc>
        <w:tc>
          <w:tcPr>
            <w:tcW w:w="1377" w:type="dxa"/>
            <w:shd w:val="clear" w:color="auto" w:fill="auto"/>
            <w:noWrap/>
            <w:vAlign w:val="center"/>
          </w:tcPr>
          <w:p w:rsidR="005D55C4" w:rsidRDefault="0038642D">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sz w:val="24"/>
                <w:szCs w:val="24"/>
              </w:rPr>
              <w:t>160416</w:t>
            </w:r>
          </w:p>
        </w:tc>
      </w:tr>
      <w:tr w:rsidR="005D55C4">
        <w:trPr>
          <w:trHeight w:val="300"/>
          <w:jc w:val="center"/>
        </w:trPr>
        <w:tc>
          <w:tcPr>
            <w:tcW w:w="557" w:type="dxa"/>
            <w:shd w:val="clear" w:color="auto" w:fill="auto"/>
            <w:noWrap/>
            <w:vAlign w:val="center"/>
          </w:tcPr>
          <w:p w:rsidR="005D55C4" w:rsidRDefault="0038642D">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sz w:val="24"/>
                <w:szCs w:val="24"/>
              </w:rPr>
              <w:t>3</w:t>
            </w:r>
          </w:p>
        </w:tc>
        <w:tc>
          <w:tcPr>
            <w:tcW w:w="5212" w:type="dxa"/>
            <w:shd w:val="clear" w:color="auto" w:fill="auto"/>
            <w:vAlign w:val="center"/>
          </w:tcPr>
          <w:p w:rsidR="005D55C4" w:rsidRDefault="0038642D">
            <w:pPr>
              <w:widowControl/>
              <w:jc w:val="left"/>
              <w:textAlignment w:val="center"/>
              <w:rPr>
                <w:rFonts w:ascii="Times New Roman" w:eastAsia="宋体" w:hAnsi="Times New Roman" w:cs="Times New Roman"/>
                <w:kern w:val="0"/>
                <w:sz w:val="24"/>
                <w:szCs w:val="24"/>
              </w:rPr>
            </w:pPr>
            <w:r>
              <w:rPr>
                <w:rFonts w:ascii="Times New Roman" w:eastAsia="宋体" w:hAnsi="Times New Roman" w:cs="Times New Roman"/>
                <w:color w:val="000000"/>
                <w:sz w:val="24"/>
                <w:szCs w:val="24"/>
              </w:rPr>
              <w:t>华安沪深</w:t>
            </w:r>
            <w:r>
              <w:rPr>
                <w:rFonts w:ascii="Times New Roman" w:eastAsia="宋体" w:hAnsi="Times New Roman" w:cs="Times New Roman"/>
                <w:color w:val="000000"/>
                <w:sz w:val="24"/>
                <w:szCs w:val="24"/>
              </w:rPr>
              <w:t>300</w:t>
            </w:r>
            <w:r>
              <w:rPr>
                <w:rFonts w:ascii="Times New Roman" w:eastAsia="宋体" w:hAnsi="Times New Roman" w:cs="Times New Roman"/>
                <w:color w:val="000000"/>
                <w:sz w:val="24"/>
                <w:szCs w:val="24"/>
              </w:rPr>
              <w:t>量化增强证券投资基金</w:t>
            </w:r>
          </w:p>
        </w:tc>
        <w:tc>
          <w:tcPr>
            <w:tcW w:w="2448" w:type="dxa"/>
            <w:shd w:val="clear" w:color="auto" w:fill="auto"/>
            <w:noWrap/>
            <w:vAlign w:val="center"/>
          </w:tcPr>
          <w:p w:rsidR="005D55C4" w:rsidRDefault="0038642D">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sz w:val="24"/>
                <w:szCs w:val="24"/>
              </w:rPr>
              <w:t>华安沪深</w:t>
            </w:r>
            <w:r>
              <w:rPr>
                <w:rFonts w:ascii="Times New Roman" w:eastAsia="宋体" w:hAnsi="Times New Roman" w:cs="Times New Roman"/>
                <w:color w:val="000000"/>
                <w:sz w:val="24"/>
                <w:szCs w:val="24"/>
              </w:rPr>
              <w:t>300</w:t>
            </w:r>
            <w:r>
              <w:rPr>
                <w:rFonts w:ascii="Times New Roman" w:eastAsia="宋体" w:hAnsi="Times New Roman" w:cs="Times New Roman"/>
                <w:color w:val="000000"/>
                <w:sz w:val="24"/>
                <w:szCs w:val="24"/>
              </w:rPr>
              <w:t>增强</w:t>
            </w:r>
          </w:p>
        </w:tc>
        <w:tc>
          <w:tcPr>
            <w:tcW w:w="1377" w:type="dxa"/>
            <w:shd w:val="clear" w:color="auto" w:fill="auto"/>
            <w:noWrap/>
            <w:vAlign w:val="center"/>
          </w:tcPr>
          <w:p w:rsidR="005D55C4" w:rsidRDefault="0038642D">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sz w:val="24"/>
                <w:szCs w:val="24"/>
              </w:rPr>
              <w:t>000312</w:t>
            </w:r>
          </w:p>
        </w:tc>
      </w:tr>
      <w:tr w:rsidR="005D55C4">
        <w:trPr>
          <w:trHeight w:val="300"/>
          <w:jc w:val="center"/>
        </w:trPr>
        <w:tc>
          <w:tcPr>
            <w:tcW w:w="557" w:type="dxa"/>
            <w:shd w:val="clear" w:color="auto" w:fill="auto"/>
            <w:noWrap/>
            <w:vAlign w:val="center"/>
          </w:tcPr>
          <w:p w:rsidR="005D55C4" w:rsidRDefault="0038642D">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sz w:val="24"/>
                <w:szCs w:val="24"/>
              </w:rPr>
              <w:t>4</w:t>
            </w:r>
          </w:p>
        </w:tc>
        <w:tc>
          <w:tcPr>
            <w:tcW w:w="5212" w:type="dxa"/>
            <w:shd w:val="clear" w:color="auto" w:fill="auto"/>
            <w:vAlign w:val="center"/>
          </w:tcPr>
          <w:p w:rsidR="005D55C4" w:rsidRDefault="0038642D">
            <w:pPr>
              <w:widowControl/>
              <w:jc w:val="left"/>
              <w:textAlignment w:val="center"/>
              <w:rPr>
                <w:rFonts w:ascii="Times New Roman" w:eastAsia="宋体" w:hAnsi="Times New Roman" w:cs="Times New Roman"/>
                <w:kern w:val="0"/>
                <w:sz w:val="24"/>
                <w:szCs w:val="24"/>
              </w:rPr>
            </w:pPr>
            <w:r>
              <w:rPr>
                <w:rFonts w:ascii="Times New Roman" w:eastAsia="宋体" w:hAnsi="Times New Roman" w:cs="Times New Roman"/>
                <w:color w:val="000000"/>
                <w:sz w:val="24"/>
                <w:szCs w:val="24"/>
              </w:rPr>
              <w:t>华安中证细分医药交易型开放式指数证券投资基金</w:t>
            </w:r>
          </w:p>
        </w:tc>
        <w:tc>
          <w:tcPr>
            <w:tcW w:w="2448" w:type="dxa"/>
            <w:shd w:val="clear" w:color="auto" w:fill="auto"/>
            <w:noWrap/>
            <w:vAlign w:val="center"/>
          </w:tcPr>
          <w:p w:rsidR="005D55C4" w:rsidRDefault="0038642D">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sz w:val="24"/>
                <w:szCs w:val="24"/>
              </w:rPr>
              <w:t>华安中证细分医药</w:t>
            </w:r>
            <w:r>
              <w:rPr>
                <w:rFonts w:ascii="Times New Roman" w:eastAsia="宋体" w:hAnsi="Times New Roman" w:cs="Times New Roman"/>
                <w:color w:val="000000"/>
                <w:sz w:val="24"/>
                <w:szCs w:val="24"/>
              </w:rPr>
              <w:t>ETF</w:t>
            </w:r>
          </w:p>
        </w:tc>
        <w:tc>
          <w:tcPr>
            <w:tcW w:w="1377" w:type="dxa"/>
            <w:shd w:val="clear" w:color="auto" w:fill="auto"/>
            <w:noWrap/>
            <w:vAlign w:val="center"/>
          </w:tcPr>
          <w:p w:rsidR="005D55C4" w:rsidRDefault="0038642D">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sz w:val="24"/>
                <w:szCs w:val="24"/>
              </w:rPr>
              <w:t>512120</w:t>
            </w:r>
          </w:p>
        </w:tc>
      </w:tr>
      <w:tr w:rsidR="005D55C4">
        <w:trPr>
          <w:trHeight w:val="300"/>
          <w:jc w:val="center"/>
        </w:trPr>
        <w:tc>
          <w:tcPr>
            <w:tcW w:w="557" w:type="dxa"/>
            <w:shd w:val="clear" w:color="auto" w:fill="auto"/>
            <w:noWrap/>
            <w:vAlign w:val="center"/>
          </w:tcPr>
          <w:p w:rsidR="005D55C4" w:rsidRDefault="0038642D">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sz w:val="24"/>
                <w:szCs w:val="24"/>
              </w:rPr>
              <w:t>5</w:t>
            </w:r>
          </w:p>
        </w:tc>
        <w:tc>
          <w:tcPr>
            <w:tcW w:w="5212" w:type="dxa"/>
            <w:shd w:val="clear" w:color="auto" w:fill="auto"/>
            <w:vAlign w:val="center"/>
          </w:tcPr>
          <w:p w:rsidR="005D55C4" w:rsidRDefault="0038642D">
            <w:pPr>
              <w:widowControl/>
              <w:jc w:val="left"/>
              <w:textAlignment w:val="center"/>
              <w:rPr>
                <w:rFonts w:ascii="Times New Roman" w:eastAsia="宋体" w:hAnsi="Times New Roman" w:cs="Times New Roman"/>
                <w:kern w:val="0"/>
                <w:sz w:val="24"/>
                <w:szCs w:val="24"/>
              </w:rPr>
            </w:pPr>
            <w:r>
              <w:rPr>
                <w:rFonts w:ascii="Times New Roman" w:eastAsia="宋体" w:hAnsi="Times New Roman" w:cs="Times New Roman"/>
                <w:color w:val="000000"/>
                <w:sz w:val="24"/>
                <w:szCs w:val="24"/>
              </w:rPr>
              <w:t>华安国际龙头（</w:t>
            </w:r>
            <w:r>
              <w:rPr>
                <w:rFonts w:ascii="Times New Roman" w:eastAsia="宋体" w:hAnsi="Times New Roman" w:cs="Times New Roman"/>
                <w:color w:val="000000"/>
                <w:sz w:val="24"/>
                <w:szCs w:val="24"/>
              </w:rPr>
              <w:t>DAX</w:t>
            </w:r>
            <w:r>
              <w:rPr>
                <w:rFonts w:ascii="Times New Roman" w:eastAsia="宋体" w:hAnsi="Times New Roman" w:cs="Times New Roman"/>
                <w:color w:val="000000"/>
                <w:sz w:val="24"/>
                <w:szCs w:val="24"/>
              </w:rPr>
              <w:t>）交易型开放式指数证券投资基金</w:t>
            </w:r>
          </w:p>
        </w:tc>
        <w:tc>
          <w:tcPr>
            <w:tcW w:w="2448" w:type="dxa"/>
            <w:shd w:val="clear" w:color="auto" w:fill="auto"/>
            <w:noWrap/>
            <w:vAlign w:val="center"/>
          </w:tcPr>
          <w:p w:rsidR="005D55C4" w:rsidRDefault="0038642D">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sz w:val="24"/>
                <w:szCs w:val="24"/>
              </w:rPr>
              <w:t>华安德国</w:t>
            </w:r>
            <w:r>
              <w:rPr>
                <w:rFonts w:ascii="Times New Roman" w:eastAsia="宋体" w:hAnsi="Times New Roman" w:cs="Times New Roman" w:hint="eastAsia"/>
                <w:color w:val="000000"/>
                <w:sz w:val="24"/>
                <w:szCs w:val="24"/>
              </w:rPr>
              <w:t>（</w:t>
            </w:r>
            <w:r>
              <w:rPr>
                <w:rFonts w:ascii="Times New Roman" w:eastAsia="宋体" w:hAnsi="Times New Roman" w:cs="Times New Roman"/>
                <w:color w:val="000000"/>
                <w:sz w:val="24"/>
                <w:szCs w:val="24"/>
              </w:rPr>
              <w:t>DAX</w:t>
            </w:r>
            <w:r>
              <w:rPr>
                <w:rFonts w:ascii="Times New Roman" w:eastAsia="宋体" w:hAnsi="Times New Roman" w:cs="Times New Roman" w:hint="eastAsia"/>
                <w:color w:val="000000"/>
                <w:sz w:val="24"/>
                <w:szCs w:val="24"/>
              </w:rPr>
              <w:t>）</w:t>
            </w:r>
            <w:r>
              <w:rPr>
                <w:rFonts w:ascii="Times New Roman" w:eastAsia="宋体" w:hAnsi="Times New Roman" w:cs="Times New Roman"/>
                <w:color w:val="000000"/>
                <w:sz w:val="24"/>
                <w:szCs w:val="24"/>
              </w:rPr>
              <w:t>ETF</w:t>
            </w:r>
          </w:p>
        </w:tc>
        <w:tc>
          <w:tcPr>
            <w:tcW w:w="1377" w:type="dxa"/>
            <w:shd w:val="clear" w:color="auto" w:fill="auto"/>
            <w:noWrap/>
            <w:vAlign w:val="center"/>
          </w:tcPr>
          <w:p w:rsidR="005D55C4" w:rsidRDefault="0038642D">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sz w:val="24"/>
                <w:szCs w:val="24"/>
              </w:rPr>
              <w:t>513030</w:t>
            </w:r>
          </w:p>
        </w:tc>
      </w:tr>
      <w:tr w:rsidR="005D55C4">
        <w:trPr>
          <w:trHeight w:val="300"/>
          <w:jc w:val="center"/>
        </w:trPr>
        <w:tc>
          <w:tcPr>
            <w:tcW w:w="557" w:type="dxa"/>
            <w:shd w:val="clear" w:color="auto" w:fill="auto"/>
            <w:noWrap/>
            <w:vAlign w:val="center"/>
          </w:tcPr>
          <w:p w:rsidR="005D55C4" w:rsidRDefault="0038642D">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sz w:val="24"/>
                <w:szCs w:val="24"/>
              </w:rPr>
              <w:t>6</w:t>
            </w:r>
          </w:p>
        </w:tc>
        <w:tc>
          <w:tcPr>
            <w:tcW w:w="5212" w:type="dxa"/>
            <w:shd w:val="clear" w:color="auto" w:fill="auto"/>
            <w:vAlign w:val="center"/>
          </w:tcPr>
          <w:p w:rsidR="005D55C4" w:rsidRDefault="0038642D">
            <w:pPr>
              <w:widowControl/>
              <w:jc w:val="left"/>
              <w:textAlignment w:val="center"/>
              <w:rPr>
                <w:rFonts w:ascii="Times New Roman" w:eastAsia="宋体" w:hAnsi="Times New Roman" w:cs="Times New Roman"/>
                <w:kern w:val="0"/>
                <w:sz w:val="24"/>
                <w:szCs w:val="24"/>
              </w:rPr>
            </w:pPr>
            <w:r>
              <w:rPr>
                <w:rFonts w:ascii="Times New Roman" w:eastAsia="宋体" w:hAnsi="Times New Roman" w:cs="Times New Roman"/>
                <w:color w:val="000000"/>
                <w:sz w:val="24"/>
                <w:szCs w:val="24"/>
              </w:rPr>
              <w:t>华安创业板</w:t>
            </w:r>
            <w:r>
              <w:rPr>
                <w:rFonts w:ascii="Times New Roman" w:eastAsia="宋体" w:hAnsi="Times New Roman" w:cs="Times New Roman"/>
                <w:color w:val="000000"/>
                <w:sz w:val="24"/>
                <w:szCs w:val="24"/>
              </w:rPr>
              <w:t>50</w:t>
            </w:r>
            <w:r>
              <w:rPr>
                <w:rFonts w:ascii="Times New Roman" w:eastAsia="宋体" w:hAnsi="Times New Roman" w:cs="Times New Roman"/>
                <w:color w:val="000000"/>
                <w:sz w:val="24"/>
                <w:szCs w:val="24"/>
              </w:rPr>
              <w:t>指数型证券投资基金</w:t>
            </w:r>
          </w:p>
        </w:tc>
        <w:tc>
          <w:tcPr>
            <w:tcW w:w="2448" w:type="dxa"/>
            <w:shd w:val="clear" w:color="auto" w:fill="auto"/>
            <w:noWrap/>
            <w:vAlign w:val="center"/>
          </w:tcPr>
          <w:p w:rsidR="005D55C4" w:rsidRDefault="0038642D">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sz w:val="24"/>
                <w:szCs w:val="24"/>
              </w:rPr>
              <w:t>华安创业板</w:t>
            </w:r>
            <w:r>
              <w:rPr>
                <w:rFonts w:ascii="Times New Roman" w:eastAsia="宋体" w:hAnsi="Times New Roman" w:cs="Times New Roman"/>
                <w:color w:val="000000"/>
                <w:sz w:val="24"/>
                <w:szCs w:val="24"/>
              </w:rPr>
              <w:t>50</w:t>
            </w:r>
            <w:r>
              <w:rPr>
                <w:rFonts w:ascii="Times New Roman" w:eastAsia="宋体" w:hAnsi="Times New Roman" w:cs="Times New Roman"/>
                <w:color w:val="000000"/>
                <w:sz w:val="24"/>
                <w:szCs w:val="24"/>
              </w:rPr>
              <w:t>指数</w:t>
            </w:r>
          </w:p>
        </w:tc>
        <w:tc>
          <w:tcPr>
            <w:tcW w:w="1377" w:type="dxa"/>
            <w:shd w:val="clear" w:color="auto" w:fill="auto"/>
            <w:noWrap/>
            <w:vAlign w:val="center"/>
          </w:tcPr>
          <w:p w:rsidR="005D55C4" w:rsidRDefault="0038642D">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sz w:val="24"/>
                <w:szCs w:val="24"/>
              </w:rPr>
              <w:t>160420</w:t>
            </w:r>
          </w:p>
        </w:tc>
      </w:tr>
      <w:tr w:rsidR="005D55C4">
        <w:trPr>
          <w:trHeight w:val="300"/>
          <w:jc w:val="center"/>
        </w:trPr>
        <w:tc>
          <w:tcPr>
            <w:tcW w:w="557" w:type="dxa"/>
            <w:shd w:val="clear" w:color="auto" w:fill="auto"/>
            <w:noWrap/>
            <w:vAlign w:val="center"/>
          </w:tcPr>
          <w:p w:rsidR="005D55C4" w:rsidRDefault="0038642D">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sz w:val="24"/>
                <w:szCs w:val="24"/>
              </w:rPr>
              <w:t>7</w:t>
            </w:r>
          </w:p>
        </w:tc>
        <w:tc>
          <w:tcPr>
            <w:tcW w:w="5212" w:type="dxa"/>
            <w:shd w:val="clear" w:color="auto" w:fill="auto"/>
            <w:vAlign w:val="center"/>
          </w:tcPr>
          <w:p w:rsidR="005D55C4" w:rsidRDefault="0038642D">
            <w:pPr>
              <w:widowControl/>
              <w:jc w:val="left"/>
              <w:textAlignment w:val="center"/>
              <w:rPr>
                <w:rFonts w:ascii="Times New Roman" w:eastAsia="宋体" w:hAnsi="Times New Roman" w:cs="Times New Roman"/>
                <w:kern w:val="0"/>
                <w:sz w:val="24"/>
                <w:szCs w:val="24"/>
              </w:rPr>
            </w:pPr>
            <w:r>
              <w:rPr>
                <w:rFonts w:ascii="Times New Roman" w:eastAsia="宋体" w:hAnsi="Times New Roman" w:cs="Times New Roman"/>
                <w:color w:val="000000"/>
                <w:sz w:val="24"/>
                <w:szCs w:val="24"/>
              </w:rPr>
              <w:t>华安创业板</w:t>
            </w:r>
            <w:r>
              <w:rPr>
                <w:rFonts w:ascii="Times New Roman" w:eastAsia="宋体" w:hAnsi="Times New Roman" w:cs="Times New Roman"/>
                <w:color w:val="000000"/>
                <w:sz w:val="24"/>
                <w:szCs w:val="24"/>
              </w:rPr>
              <w:t>50</w:t>
            </w:r>
            <w:r>
              <w:rPr>
                <w:rFonts w:ascii="Times New Roman" w:eastAsia="宋体" w:hAnsi="Times New Roman" w:cs="Times New Roman"/>
                <w:color w:val="000000"/>
                <w:sz w:val="24"/>
                <w:szCs w:val="24"/>
              </w:rPr>
              <w:t>交易型开放式指数证券投资基金</w:t>
            </w:r>
          </w:p>
        </w:tc>
        <w:tc>
          <w:tcPr>
            <w:tcW w:w="2448" w:type="dxa"/>
            <w:shd w:val="clear" w:color="auto" w:fill="auto"/>
            <w:noWrap/>
            <w:vAlign w:val="center"/>
          </w:tcPr>
          <w:p w:rsidR="005D55C4" w:rsidRDefault="0038642D">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sz w:val="24"/>
                <w:szCs w:val="24"/>
              </w:rPr>
              <w:t>华安创业板</w:t>
            </w:r>
            <w:r>
              <w:rPr>
                <w:rFonts w:ascii="Times New Roman" w:eastAsia="宋体" w:hAnsi="Times New Roman" w:cs="Times New Roman"/>
                <w:color w:val="000000"/>
                <w:sz w:val="24"/>
                <w:szCs w:val="24"/>
              </w:rPr>
              <w:t>50ETF</w:t>
            </w:r>
          </w:p>
        </w:tc>
        <w:tc>
          <w:tcPr>
            <w:tcW w:w="1377" w:type="dxa"/>
            <w:shd w:val="clear" w:color="auto" w:fill="auto"/>
            <w:noWrap/>
            <w:vAlign w:val="center"/>
          </w:tcPr>
          <w:p w:rsidR="005D55C4" w:rsidRDefault="0038642D">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sz w:val="24"/>
                <w:szCs w:val="24"/>
              </w:rPr>
              <w:t>159949</w:t>
            </w:r>
          </w:p>
        </w:tc>
      </w:tr>
      <w:tr w:rsidR="005D55C4">
        <w:trPr>
          <w:trHeight w:val="300"/>
          <w:jc w:val="center"/>
        </w:trPr>
        <w:tc>
          <w:tcPr>
            <w:tcW w:w="557" w:type="dxa"/>
            <w:shd w:val="clear" w:color="auto" w:fill="auto"/>
            <w:noWrap/>
            <w:vAlign w:val="center"/>
          </w:tcPr>
          <w:p w:rsidR="005D55C4" w:rsidRDefault="0038642D">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sz w:val="24"/>
                <w:szCs w:val="24"/>
              </w:rPr>
              <w:t>8</w:t>
            </w:r>
          </w:p>
        </w:tc>
        <w:tc>
          <w:tcPr>
            <w:tcW w:w="5212" w:type="dxa"/>
            <w:shd w:val="clear" w:color="auto" w:fill="auto"/>
            <w:vAlign w:val="center"/>
          </w:tcPr>
          <w:p w:rsidR="005D55C4" w:rsidRDefault="0038642D">
            <w:pPr>
              <w:widowControl/>
              <w:jc w:val="left"/>
              <w:textAlignment w:val="center"/>
              <w:rPr>
                <w:rFonts w:ascii="Times New Roman" w:eastAsia="宋体" w:hAnsi="Times New Roman" w:cs="Times New Roman"/>
                <w:kern w:val="0"/>
                <w:sz w:val="24"/>
                <w:szCs w:val="24"/>
              </w:rPr>
            </w:pPr>
            <w:r>
              <w:rPr>
                <w:rFonts w:ascii="Times New Roman" w:eastAsia="宋体" w:hAnsi="Times New Roman" w:cs="Times New Roman"/>
                <w:color w:val="000000"/>
                <w:sz w:val="24"/>
                <w:szCs w:val="24"/>
              </w:rPr>
              <w:t>华安</w:t>
            </w:r>
            <w:r>
              <w:rPr>
                <w:rFonts w:ascii="Times New Roman" w:eastAsia="宋体" w:hAnsi="Times New Roman" w:cs="Times New Roman"/>
                <w:color w:val="000000"/>
                <w:sz w:val="24"/>
                <w:szCs w:val="24"/>
              </w:rPr>
              <w:t>CES</w:t>
            </w:r>
            <w:r>
              <w:rPr>
                <w:rFonts w:ascii="Times New Roman" w:eastAsia="宋体" w:hAnsi="Times New Roman" w:cs="Times New Roman"/>
                <w:color w:val="000000"/>
                <w:sz w:val="24"/>
                <w:szCs w:val="24"/>
              </w:rPr>
              <w:t>港股通精选</w:t>
            </w:r>
            <w:r>
              <w:rPr>
                <w:rFonts w:ascii="Times New Roman" w:eastAsia="宋体" w:hAnsi="Times New Roman" w:cs="Times New Roman"/>
                <w:color w:val="000000"/>
                <w:sz w:val="24"/>
                <w:szCs w:val="24"/>
              </w:rPr>
              <w:t>100</w:t>
            </w:r>
            <w:r>
              <w:rPr>
                <w:rFonts w:ascii="Times New Roman" w:eastAsia="宋体" w:hAnsi="Times New Roman" w:cs="Times New Roman"/>
                <w:color w:val="000000"/>
                <w:sz w:val="24"/>
                <w:szCs w:val="24"/>
              </w:rPr>
              <w:t>交易型开放式指数证券投资基金</w:t>
            </w:r>
          </w:p>
        </w:tc>
        <w:tc>
          <w:tcPr>
            <w:tcW w:w="2448" w:type="dxa"/>
            <w:shd w:val="clear" w:color="auto" w:fill="auto"/>
            <w:noWrap/>
            <w:vAlign w:val="center"/>
          </w:tcPr>
          <w:p w:rsidR="005D55C4" w:rsidRDefault="0038642D">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sz w:val="24"/>
                <w:szCs w:val="24"/>
              </w:rPr>
              <w:t>华安</w:t>
            </w:r>
            <w:r>
              <w:rPr>
                <w:rFonts w:ascii="Times New Roman" w:eastAsia="宋体" w:hAnsi="Times New Roman" w:cs="Times New Roman"/>
                <w:color w:val="000000"/>
                <w:sz w:val="24"/>
                <w:szCs w:val="24"/>
              </w:rPr>
              <w:t>CES</w:t>
            </w:r>
            <w:r>
              <w:rPr>
                <w:rFonts w:ascii="Times New Roman" w:eastAsia="宋体" w:hAnsi="Times New Roman" w:cs="Times New Roman"/>
                <w:color w:val="000000"/>
                <w:sz w:val="24"/>
                <w:szCs w:val="24"/>
              </w:rPr>
              <w:t>港股通精选</w:t>
            </w:r>
            <w:r>
              <w:rPr>
                <w:rFonts w:ascii="Times New Roman" w:eastAsia="宋体" w:hAnsi="Times New Roman" w:cs="Times New Roman"/>
                <w:color w:val="000000"/>
                <w:sz w:val="24"/>
                <w:szCs w:val="24"/>
              </w:rPr>
              <w:t>100ETF</w:t>
            </w:r>
          </w:p>
        </w:tc>
        <w:tc>
          <w:tcPr>
            <w:tcW w:w="1377" w:type="dxa"/>
            <w:shd w:val="clear" w:color="auto" w:fill="auto"/>
            <w:noWrap/>
            <w:vAlign w:val="center"/>
          </w:tcPr>
          <w:p w:rsidR="005D55C4" w:rsidRDefault="0038642D">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sz w:val="24"/>
                <w:szCs w:val="24"/>
              </w:rPr>
              <w:t>513900</w:t>
            </w:r>
          </w:p>
        </w:tc>
      </w:tr>
      <w:tr w:rsidR="005D55C4">
        <w:trPr>
          <w:trHeight w:val="300"/>
          <w:jc w:val="center"/>
        </w:trPr>
        <w:tc>
          <w:tcPr>
            <w:tcW w:w="557" w:type="dxa"/>
            <w:shd w:val="clear" w:color="auto" w:fill="auto"/>
            <w:noWrap/>
            <w:vAlign w:val="center"/>
          </w:tcPr>
          <w:p w:rsidR="005D55C4" w:rsidRDefault="0038642D">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sz w:val="24"/>
                <w:szCs w:val="24"/>
              </w:rPr>
              <w:t>9</w:t>
            </w:r>
          </w:p>
        </w:tc>
        <w:tc>
          <w:tcPr>
            <w:tcW w:w="5212" w:type="dxa"/>
            <w:shd w:val="clear" w:color="auto" w:fill="auto"/>
            <w:vAlign w:val="center"/>
          </w:tcPr>
          <w:p w:rsidR="005D55C4" w:rsidRDefault="0038642D">
            <w:pPr>
              <w:widowControl/>
              <w:jc w:val="left"/>
              <w:textAlignment w:val="center"/>
              <w:rPr>
                <w:rFonts w:ascii="Times New Roman" w:eastAsia="宋体" w:hAnsi="Times New Roman" w:cs="Times New Roman"/>
                <w:kern w:val="0"/>
                <w:sz w:val="24"/>
                <w:szCs w:val="24"/>
              </w:rPr>
            </w:pPr>
            <w:r>
              <w:rPr>
                <w:rFonts w:ascii="Times New Roman" w:eastAsia="宋体" w:hAnsi="Times New Roman" w:cs="Times New Roman"/>
                <w:color w:val="000000"/>
                <w:sz w:val="24"/>
                <w:szCs w:val="24"/>
              </w:rPr>
              <w:t>华安中证</w:t>
            </w:r>
            <w:r>
              <w:rPr>
                <w:rFonts w:ascii="Times New Roman" w:eastAsia="宋体" w:hAnsi="Times New Roman" w:cs="Times New Roman"/>
                <w:color w:val="000000"/>
                <w:sz w:val="24"/>
                <w:szCs w:val="24"/>
              </w:rPr>
              <w:t>500</w:t>
            </w:r>
            <w:r>
              <w:rPr>
                <w:rFonts w:ascii="Times New Roman" w:eastAsia="宋体" w:hAnsi="Times New Roman" w:cs="Times New Roman"/>
                <w:color w:val="000000"/>
                <w:sz w:val="24"/>
                <w:szCs w:val="24"/>
              </w:rPr>
              <w:t>行业中性低波动交易型开放式指数证券投资基金</w:t>
            </w:r>
          </w:p>
        </w:tc>
        <w:tc>
          <w:tcPr>
            <w:tcW w:w="2448" w:type="dxa"/>
            <w:shd w:val="clear" w:color="auto" w:fill="auto"/>
            <w:noWrap/>
            <w:vAlign w:val="center"/>
          </w:tcPr>
          <w:p w:rsidR="005D55C4" w:rsidRDefault="0038642D">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sz w:val="24"/>
                <w:szCs w:val="24"/>
              </w:rPr>
              <w:t>华安中证</w:t>
            </w:r>
            <w:r>
              <w:rPr>
                <w:rFonts w:ascii="Times New Roman" w:eastAsia="宋体" w:hAnsi="Times New Roman" w:cs="Times New Roman"/>
                <w:color w:val="000000"/>
                <w:sz w:val="24"/>
                <w:szCs w:val="24"/>
              </w:rPr>
              <w:t>500</w:t>
            </w:r>
            <w:r>
              <w:rPr>
                <w:rFonts w:ascii="Times New Roman" w:eastAsia="宋体" w:hAnsi="Times New Roman" w:cs="Times New Roman"/>
                <w:color w:val="000000"/>
                <w:sz w:val="24"/>
                <w:szCs w:val="24"/>
              </w:rPr>
              <w:t>低波</w:t>
            </w:r>
            <w:r>
              <w:rPr>
                <w:rFonts w:ascii="Times New Roman" w:eastAsia="宋体" w:hAnsi="Times New Roman" w:cs="Times New Roman"/>
                <w:color w:val="000000"/>
                <w:sz w:val="24"/>
                <w:szCs w:val="24"/>
              </w:rPr>
              <w:t>ETF</w:t>
            </w:r>
          </w:p>
        </w:tc>
        <w:tc>
          <w:tcPr>
            <w:tcW w:w="1377" w:type="dxa"/>
            <w:shd w:val="clear" w:color="auto" w:fill="auto"/>
            <w:noWrap/>
            <w:vAlign w:val="center"/>
          </w:tcPr>
          <w:p w:rsidR="005D55C4" w:rsidRDefault="0038642D">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sz w:val="24"/>
                <w:szCs w:val="24"/>
              </w:rPr>
              <w:t>512260</w:t>
            </w:r>
          </w:p>
        </w:tc>
      </w:tr>
      <w:tr w:rsidR="005D55C4">
        <w:trPr>
          <w:trHeight w:val="300"/>
          <w:jc w:val="center"/>
        </w:trPr>
        <w:tc>
          <w:tcPr>
            <w:tcW w:w="557" w:type="dxa"/>
            <w:shd w:val="clear" w:color="auto" w:fill="auto"/>
            <w:noWrap/>
            <w:vAlign w:val="center"/>
          </w:tcPr>
          <w:p w:rsidR="005D55C4" w:rsidRDefault="0038642D">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sz w:val="24"/>
                <w:szCs w:val="24"/>
              </w:rPr>
              <w:t>10</w:t>
            </w:r>
          </w:p>
        </w:tc>
        <w:tc>
          <w:tcPr>
            <w:tcW w:w="5212" w:type="dxa"/>
            <w:shd w:val="clear" w:color="auto" w:fill="auto"/>
            <w:vAlign w:val="center"/>
          </w:tcPr>
          <w:p w:rsidR="005D55C4" w:rsidRDefault="0038642D">
            <w:pPr>
              <w:widowControl/>
              <w:jc w:val="left"/>
              <w:textAlignment w:val="center"/>
              <w:rPr>
                <w:rFonts w:ascii="Times New Roman" w:eastAsia="宋体" w:hAnsi="Times New Roman" w:cs="Times New Roman"/>
                <w:kern w:val="0"/>
                <w:sz w:val="24"/>
                <w:szCs w:val="24"/>
              </w:rPr>
            </w:pPr>
            <w:r>
              <w:rPr>
                <w:rFonts w:ascii="Times New Roman" w:eastAsia="宋体" w:hAnsi="Times New Roman" w:cs="Times New Roman"/>
                <w:color w:val="000000"/>
                <w:sz w:val="24"/>
                <w:szCs w:val="24"/>
              </w:rPr>
              <w:t>华安中债</w:t>
            </w:r>
            <w:r>
              <w:rPr>
                <w:rFonts w:ascii="Times New Roman" w:eastAsia="宋体" w:hAnsi="Times New Roman" w:cs="Times New Roman"/>
                <w:color w:val="000000"/>
                <w:sz w:val="24"/>
                <w:szCs w:val="24"/>
              </w:rPr>
              <w:t>1-3</w:t>
            </w:r>
            <w:r>
              <w:rPr>
                <w:rFonts w:ascii="Times New Roman" w:eastAsia="宋体" w:hAnsi="Times New Roman" w:cs="Times New Roman"/>
                <w:color w:val="000000"/>
                <w:sz w:val="24"/>
                <w:szCs w:val="24"/>
              </w:rPr>
              <w:t>年政策性金融债指数证券投资基金</w:t>
            </w:r>
          </w:p>
        </w:tc>
        <w:tc>
          <w:tcPr>
            <w:tcW w:w="2448" w:type="dxa"/>
            <w:shd w:val="clear" w:color="auto" w:fill="auto"/>
            <w:noWrap/>
            <w:vAlign w:val="center"/>
          </w:tcPr>
          <w:p w:rsidR="005D55C4" w:rsidRDefault="0038642D">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sz w:val="24"/>
                <w:szCs w:val="24"/>
              </w:rPr>
              <w:t>华安中债</w:t>
            </w:r>
            <w:r>
              <w:rPr>
                <w:rFonts w:ascii="Times New Roman" w:eastAsia="宋体" w:hAnsi="Times New Roman" w:cs="Times New Roman"/>
                <w:color w:val="000000"/>
                <w:sz w:val="24"/>
                <w:szCs w:val="24"/>
              </w:rPr>
              <w:t>1-3</w:t>
            </w:r>
            <w:r>
              <w:rPr>
                <w:rFonts w:ascii="Times New Roman" w:eastAsia="宋体" w:hAnsi="Times New Roman" w:cs="Times New Roman"/>
                <w:color w:val="000000"/>
                <w:sz w:val="24"/>
                <w:szCs w:val="24"/>
              </w:rPr>
              <w:t>年政策金融债</w:t>
            </w:r>
          </w:p>
        </w:tc>
        <w:tc>
          <w:tcPr>
            <w:tcW w:w="1377" w:type="dxa"/>
            <w:shd w:val="clear" w:color="auto" w:fill="auto"/>
            <w:noWrap/>
            <w:vAlign w:val="center"/>
          </w:tcPr>
          <w:p w:rsidR="005D55C4" w:rsidRDefault="0038642D">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sz w:val="24"/>
                <w:szCs w:val="24"/>
              </w:rPr>
              <w:t>007180</w:t>
            </w:r>
          </w:p>
        </w:tc>
      </w:tr>
      <w:tr w:rsidR="005D55C4">
        <w:trPr>
          <w:trHeight w:val="300"/>
          <w:jc w:val="center"/>
        </w:trPr>
        <w:tc>
          <w:tcPr>
            <w:tcW w:w="557" w:type="dxa"/>
            <w:shd w:val="clear" w:color="auto" w:fill="auto"/>
            <w:noWrap/>
            <w:vAlign w:val="center"/>
          </w:tcPr>
          <w:p w:rsidR="005D55C4" w:rsidRDefault="0038642D">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sz w:val="24"/>
                <w:szCs w:val="24"/>
              </w:rPr>
              <w:t>11</w:t>
            </w:r>
          </w:p>
        </w:tc>
        <w:tc>
          <w:tcPr>
            <w:tcW w:w="5212" w:type="dxa"/>
            <w:shd w:val="clear" w:color="auto" w:fill="auto"/>
            <w:vAlign w:val="center"/>
          </w:tcPr>
          <w:p w:rsidR="005D55C4" w:rsidRDefault="0038642D">
            <w:pPr>
              <w:widowControl/>
              <w:jc w:val="left"/>
              <w:textAlignment w:val="center"/>
              <w:rPr>
                <w:rFonts w:ascii="Times New Roman" w:eastAsia="宋体" w:hAnsi="Times New Roman" w:cs="Times New Roman"/>
                <w:kern w:val="0"/>
                <w:sz w:val="24"/>
                <w:szCs w:val="24"/>
              </w:rPr>
            </w:pPr>
            <w:r>
              <w:rPr>
                <w:rFonts w:ascii="Times New Roman" w:eastAsia="宋体" w:hAnsi="Times New Roman" w:cs="Times New Roman"/>
                <w:color w:val="000000"/>
                <w:sz w:val="24"/>
                <w:szCs w:val="24"/>
              </w:rPr>
              <w:t>华安中债</w:t>
            </w:r>
            <w:r>
              <w:rPr>
                <w:rFonts w:ascii="Times New Roman" w:eastAsia="宋体" w:hAnsi="Times New Roman" w:cs="Times New Roman"/>
                <w:color w:val="000000"/>
                <w:sz w:val="24"/>
                <w:szCs w:val="24"/>
              </w:rPr>
              <w:t>7-10</w:t>
            </w:r>
            <w:r>
              <w:rPr>
                <w:rFonts w:ascii="Times New Roman" w:eastAsia="宋体" w:hAnsi="Times New Roman" w:cs="Times New Roman"/>
                <w:color w:val="000000"/>
                <w:sz w:val="24"/>
                <w:szCs w:val="24"/>
              </w:rPr>
              <w:t>年国开行债券指数证券投资基金</w:t>
            </w:r>
          </w:p>
        </w:tc>
        <w:tc>
          <w:tcPr>
            <w:tcW w:w="2448" w:type="dxa"/>
            <w:shd w:val="clear" w:color="auto" w:fill="auto"/>
            <w:noWrap/>
            <w:vAlign w:val="center"/>
          </w:tcPr>
          <w:p w:rsidR="005D55C4" w:rsidRDefault="0038642D">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sz w:val="24"/>
                <w:szCs w:val="24"/>
              </w:rPr>
              <w:t>华安中债</w:t>
            </w:r>
            <w:r>
              <w:rPr>
                <w:rFonts w:ascii="Times New Roman" w:eastAsia="宋体" w:hAnsi="Times New Roman" w:cs="Times New Roman"/>
                <w:color w:val="000000"/>
                <w:sz w:val="24"/>
                <w:szCs w:val="24"/>
              </w:rPr>
              <w:t>7-10</w:t>
            </w:r>
            <w:r>
              <w:rPr>
                <w:rFonts w:ascii="Times New Roman" w:eastAsia="宋体" w:hAnsi="Times New Roman" w:cs="Times New Roman"/>
                <w:color w:val="000000"/>
                <w:sz w:val="24"/>
                <w:szCs w:val="24"/>
              </w:rPr>
              <w:t>年国开债</w:t>
            </w:r>
          </w:p>
        </w:tc>
        <w:tc>
          <w:tcPr>
            <w:tcW w:w="1377" w:type="dxa"/>
            <w:shd w:val="clear" w:color="auto" w:fill="auto"/>
            <w:noWrap/>
            <w:vAlign w:val="center"/>
          </w:tcPr>
          <w:p w:rsidR="005D55C4" w:rsidRDefault="0038642D">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sz w:val="24"/>
                <w:szCs w:val="24"/>
              </w:rPr>
              <w:t>007228</w:t>
            </w:r>
          </w:p>
        </w:tc>
      </w:tr>
      <w:tr w:rsidR="005D55C4">
        <w:trPr>
          <w:trHeight w:val="300"/>
          <w:jc w:val="center"/>
        </w:trPr>
        <w:tc>
          <w:tcPr>
            <w:tcW w:w="557" w:type="dxa"/>
            <w:shd w:val="clear" w:color="auto" w:fill="auto"/>
            <w:noWrap/>
            <w:vAlign w:val="center"/>
          </w:tcPr>
          <w:p w:rsidR="005D55C4" w:rsidRDefault="0038642D">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sz w:val="24"/>
                <w:szCs w:val="24"/>
              </w:rPr>
              <w:t>12</w:t>
            </w:r>
          </w:p>
        </w:tc>
        <w:tc>
          <w:tcPr>
            <w:tcW w:w="5212" w:type="dxa"/>
            <w:shd w:val="clear" w:color="auto" w:fill="auto"/>
            <w:vAlign w:val="center"/>
          </w:tcPr>
          <w:p w:rsidR="005D55C4" w:rsidRDefault="0038642D">
            <w:pPr>
              <w:widowControl/>
              <w:jc w:val="left"/>
              <w:textAlignment w:val="center"/>
              <w:rPr>
                <w:rFonts w:ascii="Times New Roman" w:eastAsia="宋体" w:hAnsi="Times New Roman" w:cs="Times New Roman"/>
                <w:kern w:val="0"/>
                <w:sz w:val="24"/>
                <w:szCs w:val="24"/>
              </w:rPr>
            </w:pPr>
            <w:r>
              <w:rPr>
                <w:rFonts w:ascii="Times New Roman" w:eastAsia="宋体" w:hAnsi="Times New Roman" w:cs="Times New Roman"/>
                <w:color w:val="000000"/>
                <w:sz w:val="24"/>
                <w:szCs w:val="24"/>
              </w:rPr>
              <w:t>华安沪深</w:t>
            </w:r>
            <w:r>
              <w:rPr>
                <w:rFonts w:ascii="Times New Roman" w:eastAsia="宋体" w:hAnsi="Times New Roman" w:cs="Times New Roman"/>
                <w:color w:val="000000"/>
                <w:sz w:val="24"/>
                <w:szCs w:val="24"/>
              </w:rPr>
              <w:t>300</w:t>
            </w:r>
            <w:r>
              <w:rPr>
                <w:rFonts w:ascii="Times New Roman" w:eastAsia="宋体" w:hAnsi="Times New Roman" w:cs="Times New Roman"/>
                <w:color w:val="000000"/>
                <w:sz w:val="24"/>
                <w:szCs w:val="24"/>
              </w:rPr>
              <w:t>交易型开放式指数证券投资基金</w:t>
            </w:r>
          </w:p>
        </w:tc>
        <w:tc>
          <w:tcPr>
            <w:tcW w:w="2448" w:type="dxa"/>
            <w:shd w:val="clear" w:color="auto" w:fill="auto"/>
            <w:noWrap/>
            <w:vAlign w:val="center"/>
          </w:tcPr>
          <w:p w:rsidR="005D55C4" w:rsidRDefault="0038642D">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sz w:val="24"/>
                <w:szCs w:val="24"/>
              </w:rPr>
              <w:t>华安沪深</w:t>
            </w:r>
            <w:r>
              <w:rPr>
                <w:rFonts w:ascii="Times New Roman" w:eastAsia="宋体" w:hAnsi="Times New Roman" w:cs="Times New Roman"/>
                <w:color w:val="000000"/>
                <w:sz w:val="24"/>
                <w:szCs w:val="24"/>
              </w:rPr>
              <w:t>300ETF</w:t>
            </w:r>
          </w:p>
        </w:tc>
        <w:tc>
          <w:tcPr>
            <w:tcW w:w="1377" w:type="dxa"/>
            <w:shd w:val="clear" w:color="auto" w:fill="auto"/>
            <w:noWrap/>
            <w:vAlign w:val="center"/>
          </w:tcPr>
          <w:p w:rsidR="005D55C4" w:rsidRDefault="0038642D">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sz w:val="24"/>
                <w:szCs w:val="24"/>
              </w:rPr>
              <w:t>515390</w:t>
            </w:r>
          </w:p>
        </w:tc>
      </w:tr>
      <w:tr w:rsidR="005D55C4">
        <w:trPr>
          <w:trHeight w:val="300"/>
          <w:jc w:val="center"/>
        </w:trPr>
        <w:tc>
          <w:tcPr>
            <w:tcW w:w="557" w:type="dxa"/>
            <w:shd w:val="clear" w:color="auto" w:fill="auto"/>
            <w:noWrap/>
            <w:vAlign w:val="center"/>
          </w:tcPr>
          <w:p w:rsidR="005D55C4" w:rsidRDefault="0038642D">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sz w:val="24"/>
                <w:szCs w:val="24"/>
              </w:rPr>
              <w:t>13</w:t>
            </w:r>
          </w:p>
        </w:tc>
        <w:tc>
          <w:tcPr>
            <w:tcW w:w="5212" w:type="dxa"/>
            <w:shd w:val="clear" w:color="auto" w:fill="auto"/>
            <w:vAlign w:val="center"/>
          </w:tcPr>
          <w:p w:rsidR="005D55C4" w:rsidRDefault="0038642D">
            <w:pPr>
              <w:widowControl/>
              <w:jc w:val="left"/>
              <w:textAlignment w:val="center"/>
              <w:rPr>
                <w:rFonts w:ascii="Times New Roman" w:eastAsia="宋体" w:hAnsi="Times New Roman" w:cs="Times New Roman"/>
                <w:kern w:val="0"/>
                <w:sz w:val="24"/>
                <w:szCs w:val="24"/>
              </w:rPr>
            </w:pPr>
            <w:r>
              <w:rPr>
                <w:rFonts w:ascii="Times New Roman" w:eastAsia="宋体" w:hAnsi="Times New Roman" w:cs="Times New Roman"/>
                <w:color w:val="000000"/>
                <w:sz w:val="24"/>
                <w:szCs w:val="24"/>
              </w:rPr>
              <w:t>华安法国</w:t>
            </w:r>
            <w:r>
              <w:rPr>
                <w:rFonts w:ascii="Times New Roman" w:eastAsia="宋体" w:hAnsi="Times New Roman" w:cs="Times New Roman"/>
                <w:color w:val="000000"/>
                <w:sz w:val="24"/>
                <w:szCs w:val="24"/>
              </w:rPr>
              <w:t>CAC40</w:t>
            </w:r>
            <w:r>
              <w:rPr>
                <w:rFonts w:ascii="Times New Roman" w:eastAsia="宋体" w:hAnsi="Times New Roman" w:cs="Times New Roman"/>
                <w:color w:val="000000"/>
                <w:sz w:val="24"/>
                <w:szCs w:val="24"/>
              </w:rPr>
              <w:t>交易型开放式指数证券投资基金（</w:t>
            </w:r>
            <w:r>
              <w:rPr>
                <w:rFonts w:ascii="Times New Roman" w:eastAsia="宋体" w:hAnsi="Times New Roman" w:cs="Times New Roman"/>
                <w:color w:val="000000"/>
                <w:sz w:val="24"/>
                <w:szCs w:val="24"/>
              </w:rPr>
              <w:t>QDII</w:t>
            </w:r>
            <w:r>
              <w:rPr>
                <w:rFonts w:ascii="Times New Roman" w:eastAsia="宋体" w:hAnsi="Times New Roman" w:cs="Times New Roman"/>
                <w:color w:val="000000"/>
                <w:sz w:val="24"/>
                <w:szCs w:val="24"/>
              </w:rPr>
              <w:t>）</w:t>
            </w:r>
          </w:p>
        </w:tc>
        <w:tc>
          <w:tcPr>
            <w:tcW w:w="2448" w:type="dxa"/>
            <w:shd w:val="clear" w:color="auto" w:fill="auto"/>
            <w:noWrap/>
            <w:vAlign w:val="center"/>
          </w:tcPr>
          <w:p w:rsidR="005D55C4" w:rsidRDefault="0038642D">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sz w:val="24"/>
                <w:szCs w:val="24"/>
              </w:rPr>
              <w:t>华安法国</w:t>
            </w:r>
            <w:r>
              <w:rPr>
                <w:rFonts w:ascii="Times New Roman" w:eastAsia="宋体" w:hAnsi="Times New Roman" w:cs="Times New Roman"/>
                <w:color w:val="000000"/>
                <w:sz w:val="24"/>
                <w:szCs w:val="24"/>
              </w:rPr>
              <w:t>CAC40ETF</w:t>
            </w:r>
          </w:p>
        </w:tc>
        <w:tc>
          <w:tcPr>
            <w:tcW w:w="1377" w:type="dxa"/>
            <w:shd w:val="clear" w:color="auto" w:fill="auto"/>
            <w:noWrap/>
            <w:vAlign w:val="center"/>
          </w:tcPr>
          <w:p w:rsidR="005D55C4" w:rsidRDefault="0038642D">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sz w:val="24"/>
                <w:szCs w:val="24"/>
              </w:rPr>
              <w:t>513080</w:t>
            </w:r>
          </w:p>
        </w:tc>
      </w:tr>
      <w:tr w:rsidR="005D55C4">
        <w:trPr>
          <w:trHeight w:val="300"/>
          <w:jc w:val="center"/>
        </w:trPr>
        <w:tc>
          <w:tcPr>
            <w:tcW w:w="557" w:type="dxa"/>
            <w:shd w:val="clear" w:color="auto" w:fill="auto"/>
            <w:noWrap/>
            <w:vAlign w:val="center"/>
          </w:tcPr>
          <w:p w:rsidR="005D55C4" w:rsidRDefault="0038642D">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sz w:val="24"/>
                <w:szCs w:val="24"/>
              </w:rPr>
              <w:t>14</w:t>
            </w:r>
          </w:p>
        </w:tc>
        <w:tc>
          <w:tcPr>
            <w:tcW w:w="5212" w:type="dxa"/>
            <w:shd w:val="clear" w:color="auto" w:fill="auto"/>
            <w:vAlign w:val="center"/>
          </w:tcPr>
          <w:p w:rsidR="005D55C4" w:rsidRDefault="0038642D">
            <w:pPr>
              <w:widowControl/>
              <w:jc w:val="left"/>
              <w:textAlignment w:val="center"/>
              <w:rPr>
                <w:rFonts w:ascii="Times New Roman" w:eastAsia="宋体" w:hAnsi="Times New Roman" w:cs="Times New Roman"/>
                <w:kern w:val="0"/>
                <w:sz w:val="24"/>
                <w:szCs w:val="24"/>
              </w:rPr>
            </w:pPr>
            <w:r>
              <w:rPr>
                <w:rFonts w:ascii="Times New Roman" w:eastAsia="宋体" w:hAnsi="Times New Roman" w:cs="Times New Roman"/>
                <w:color w:val="000000"/>
                <w:sz w:val="24"/>
                <w:szCs w:val="24"/>
              </w:rPr>
              <w:t>华安中证电子</w:t>
            </w:r>
            <w:r>
              <w:rPr>
                <w:rFonts w:ascii="Times New Roman" w:eastAsia="宋体" w:hAnsi="Times New Roman" w:cs="Times New Roman"/>
                <w:color w:val="000000"/>
                <w:sz w:val="24"/>
                <w:szCs w:val="24"/>
              </w:rPr>
              <w:t>50</w:t>
            </w:r>
            <w:r>
              <w:rPr>
                <w:rFonts w:ascii="Times New Roman" w:eastAsia="宋体" w:hAnsi="Times New Roman" w:cs="Times New Roman"/>
                <w:color w:val="000000"/>
                <w:sz w:val="24"/>
                <w:szCs w:val="24"/>
              </w:rPr>
              <w:t>交易型开放式指数证券投资基金</w:t>
            </w:r>
          </w:p>
        </w:tc>
        <w:tc>
          <w:tcPr>
            <w:tcW w:w="2448" w:type="dxa"/>
            <w:shd w:val="clear" w:color="auto" w:fill="auto"/>
            <w:noWrap/>
            <w:vAlign w:val="center"/>
          </w:tcPr>
          <w:p w:rsidR="005D55C4" w:rsidRDefault="0038642D">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color w:val="000000"/>
                <w:sz w:val="24"/>
                <w:szCs w:val="24"/>
              </w:rPr>
              <w:t>华安中证电子</w:t>
            </w:r>
            <w:r>
              <w:rPr>
                <w:rFonts w:ascii="Times New Roman" w:eastAsia="宋体" w:hAnsi="Times New Roman" w:cs="Times New Roman"/>
                <w:color w:val="000000"/>
                <w:sz w:val="24"/>
                <w:szCs w:val="24"/>
              </w:rPr>
              <w:t>50ETF</w:t>
            </w:r>
          </w:p>
        </w:tc>
        <w:tc>
          <w:tcPr>
            <w:tcW w:w="1377" w:type="dxa"/>
            <w:shd w:val="clear" w:color="auto" w:fill="auto"/>
            <w:noWrap/>
            <w:vAlign w:val="center"/>
          </w:tcPr>
          <w:p w:rsidR="005D55C4" w:rsidRDefault="0038642D">
            <w:pPr>
              <w:widowControl/>
              <w:jc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sz w:val="24"/>
                <w:szCs w:val="24"/>
              </w:rPr>
              <w:t>515320</w:t>
            </w:r>
          </w:p>
        </w:tc>
      </w:tr>
    </w:tbl>
    <w:p w:rsidR="005D55C4" w:rsidRDefault="005D55C4">
      <w:pPr>
        <w:snapToGrid w:val="0"/>
        <w:spacing w:line="360" w:lineRule="auto"/>
        <w:ind w:firstLineChars="200" w:firstLine="480"/>
        <w:rPr>
          <w:rFonts w:ascii="Times New Roman" w:eastAsia="宋体" w:hAnsi="Times New Roman" w:cs="Times New Roman"/>
          <w:sz w:val="24"/>
          <w:szCs w:val="24"/>
        </w:rPr>
      </w:pPr>
    </w:p>
    <w:p w:rsidR="005D55C4" w:rsidRDefault="0038642D">
      <w:pPr>
        <w:snapToGrid w:val="0"/>
        <w:spacing w:line="360" w:lineRule="auto"/>
        <w:ind w:firstLineChars="200" w:firstLine="482"/>
        <w:rPr>
          <w:rFonts w:ascii="Times New Roman" w:eastAsia="宋体" w:hAnsi="Times New Roman" w:cs="Times New Roman"/>
          <w:b/>
          <w:bCs/>
          <w:sz w:val="24"/>
          <w:szCs w:val="24"/>
        </w:rPr>
      </w:pPr>
      <w:r>
        <w:rPr>
          <w:rFonts w:ascii="Times New Roman" w:eastAsia="宋体" w:hAnsi="Times New Roman" w:cs="Times New Roman"/>
          <w:b/>
          <w:bCs/>
          <w:sz w:val="24"/>
          <w:szCs w:val="24"/>
        </w:rPr>
        <w:lastRenderedPageBreak/>
        <w:t>二、其他事项</w:t>
      </w:r>
    </w:p>
    <w:p w:rsidR="005D55C4" w:rsidRDefault="0038642D">
      <w:pPr>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基金管理人将根据上述调整情况修订各基金基金合同</w:t>
      </w:r>
      <w:r>
        <w:rPr>
          <w:rFonts w:ascii="Times New Roman" w:eastAsia="宋体" w:hAnsi="Times New Roman" w:cs="Times New Roman"/>
          <w:sz w:val="24"/>
          <w:szCs w:val="24"/>
        </w:rPr>
        <w:t>“</w:t>
      </w:r>
      <w:r>
        <w:rPr>
          <w:rFonts w:ascii="Times New Roman" w:eastAsia="宋体" w:hAnsi="Times New Roman" w:cs="Times New Roman"/>
          <w:sz w:val="24"/>
          <w:szCs w:val="24"/>
        </w:rPr>
        <w:t>基金费用与税收</w:t>
      </w:r>
      <w:r>
        <w:rPr>
          <w:rFonts w:ascii="Times New Roman" w:eastAsia="宋体" w:hAnsi="Times New Roman" w:cs="Times New Roman"/>
          <w:sz w:val="24"/>
          <w:szCs w:val="24"/>
        </w:rPr>
        <w:t>”</w:t>
      </w:r>
      <w:r>
        <w:rPr>
          <w:rFonts w:ascii="Times New Roman" w:eastAsia="宋体" w:hAnsi="Times New Roman" w:cs="Times New Roman"/>
          <w:sz w:val="24"/>
          <w:szCs w:val="24"/>
        </w:rPr>
        <w:t>等章节中的有关内容，并将根据修订的基金合同相应修订各基金的托管协议（如涉及）、招募说明书、基金产品资料概要（如涉及）等法律文件。本次修订已履行规定的程序，符合法律法规及各基金基金合同的规定，修订内容自</w:t>
      </w:r>
      <w:r>
        <w:rPr>
          <w:rFonts w:ascii="Times New Roman" w:eastAsia="宋体" w:hAnsi="Times New Roman" w:cs="Times New Roman"/>
          <w:sz w:val="24"/>
          <w:szCs w:val="24"/>
        </w:rPr>
        <w:t>2025</w:t>
      </w:r>
      <w:r>
        <w:rPr>
          <w:rFonts w:ascii="Times New Roman" w:eastAsia="宋体" w:hAnsi="Times New Roman" w:cs="Times New Roman"/>
          <w:sz w:val="24"/>
          <w:szCs w:val="24"/>
        </w:rPr>
        <w:t>年</w:t>
      </w:r>
      <w:r>
        <w:rPr>
          <w:rFonts w:ascii="Times New Roman" w:eastAsia="宋体" w:hAnsi="Times New Roman" w:cs="Times New Roman"/>
          <w:sz w:val="24"/>
          <w:szCs w:val="24"/>
        </w:rPr>
        <w:t>3</w:t>
      </w:r>
      <w:r>
        <w:rPr>
          <w:rFonts w:ascii="Times New Roman" w:eastAsia="宋体" w:hAnsi="Times New Roman" w:cs="Times New Roman"/>
          <w:sz w:val="24"/>
          <w:szCs w:val="24"/>
        </w:rPr>
        <w:t>月</w:t>
      </w:r>
      <w:r>
        <w:rPr>
          <w:rFonts w:ascii="Times New Roman" w:eastAsia="宋体" w:hAnsi="Times New Roman" w:cs="Times New Roman"/>
          <w:sz w:val="24"/>
          <w:szCs w:val="24"/>
        </w:rPr>
        <w:t>21</w:t>
      </w:r>
      <w:r>
        <w:rPr>
          <w:rFonts w:ascii="Times New Roman" w:eastAsia="宋体" w:hAnsi="Times New Roman" w:cs="Times New Roman"/>
          <w:sz w:val="24"/>
          <w:szCs w:val="24"/>
        </w:rPr>
        <w:t>日起生效，修订后的法律文件将依照《公开募集证券投资基金信息披露管理办法》的有关规定在基金管理人网站（</w:t>
      </w:r>
      <w:r>
        <w:rPr>
          <w:rFonts w:ascii="Times New Roman" w:hAnsi="Times New Roman" w:cs="Times New Roman"/>
          <w:color w:val="333333"/>
          <w:sz w:val="24"/>
          <w:szCs w:val="24"/>
        </w:rPr>
        <w:t>www.huaan.com.cn</w:t>
      </w:r>
      <w:r>
        <w:rPr>
          <w:rFonts w:ascii="Times New Roman" w:eastAsia="宋体" w:hAnsi="Times New Roman" w:cs="Times New Roman"/>
          <w:sz w:val="24"/>
          <w:szCs w:val="24"/>
        </w:rPr>
        <w:t>）和中国证监会基金电子披露网站（</w:t>
      </w:r>
      <w:r>
        <w:rPr>
          <w:rFonts w:ascii="Times New Roman" w:eastAsia="宋体" w:hAnsi="Times New Roman" w:cs="Times New Roman"/>
          <w:sz w:val="24"/>
          <w:szCs w:val="24"/>
        </w:rPr>
        <w:t>http://eid.csrc.gov.cn/fund</w:t>
      </w:r>
      <w:r>
        <w:rPr>
          <w:rFonts w:ascii="Times New Roman" w:eastAsia="宋体" w:hAnsi="Times New Roman" w:cs="Times New Roman"/>
          <w:sz w:val="24"/>
          <w:szCs w:val="24"/>
        </w:rPr>
        <w:t>）发布，投资者可登录查阅。</w:t>
      </w:r>
    </w:p>
    <w:p w:rsidR="005D55C4" w:rsidRDefault="0038642D">
      <w:pPr>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如有疑问，投资者可访问本公司网站</w:t>
      </w:r>
      <w:r>
        <w:rPr>
          <w:rFonts w:ascii="Times New Roman" w:eastAsia="宋体" w:hAnsi="Times New Roman" w:cs="Times New Roman" w:hint="eastAsia"/>
          <w:sz w:val="24"/>
          <w:szCs w:val="24"/>
        </w:rPr>
        <w:t>（</w:t>
      </w:r>
      <w:r>
        <w:rPr>
          <w:rFonts w:ascii="Times New Roman" w:hAnsi="Times New Roman" w:cs="Times New Roman"/>
          <w:color w:val="333333"/>
          <w:sz w:val="24"/>
          <w:szCs w:val="24"/>
        </w:rPr>
        <w:t>www.huaan.com.cn</w:t>
      </w:r>
      <w:r>
        <w:rPr>
          <w:rFonts w:ascii="Times New Roman" w:eastAsia="宋体" w:hAnsi="Times New Roman" w:cs="Times New Roman" w:hint="eastAsia"/>
          <w:sz w:val="24"/>
          <w:szCs w:val="24"/>
        </w:rPr>
        <w:t>）</w:t>
      </w:r>
      <w:r>
        <w:rPr>
          <w:rFonts w:ascii="Times New Roman" w:eastAsia="宋体" w:hAnsi="Times New Roman" w:cs="Times New Roman"/>
          <w:sz w:val="24"/>
          <w:szCs w:val="24"/>
        </w:rPr>
        <w:t>或拨打客户服务电话（</w:t>
      </w:r>
      <w:r>
        <w:rPr>
          <w:rFonts w:ascii="Times New Roman" w:hAnsi="Times New Roman" w:cs="Times New Roman"/>
          <w:color w:val="333333"/>
          <w:sz w:val="24"/>
          <w:szCs w:val="24"/>
        </w:rPr>
        <w:t>40088-50099</w:t>
      </w:r>
      <w:r>
        <w:rPr>
          <w:rFonts w:ascii="Times New Roman" w:eastAsia="宋体" w:hAnsi="Times New Roman" w:cs="Times New Roman"/>
          <w:sz w:val="24"/>
          <w:szCs w:val="24"/>
        </w:rPr>
        <w:t>）咨询相关事宜。</w:t>
      </w:r>
    </w:p>
    <w:p w:rsidR="005D55C4" w:rsidRDefault="0038642D">
      <w:pPr>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风险提示：基金管理人依照恪尽职守、诚实信用、谨慎勤勉的原则管理和运用基金财产，但不保证基金一定盈利，也不保证最低收益。基金的过往业绩及其净值高低并不预示其未来业绩表现。基金管理人提醒投资人基金投资的</w:t>
      </w:r>
      <w:r>
        <w:rPr>
          <w:rFonts w:ascii="Times New Roman" w:eastAsia="宋体" w:hAnsi="Times New Roman" w:cs="Times New Roman"/>
          <w:sz w:val="24"/>
          <w:szCs w:val="24"/>
        </w:rPr>
        <w:t>“</w:t>
      </w:r>
      <w:r>
        <w:rPr>
          <w:rFonts w:ascii="Times New Roman" w:eastAsia="宋体" w:hAnsi="Times New Roman" w:cs="Times New Roman"/>
          <w:sz w:val="24"/>
          <w:szCs w:val="24"/>
        </w:rPr>
        <w:t>买者自负</w:t>
      </w:r>
      <w:r>
        <w:rPr>
          <w:rFonts w:ascii="Times New Roman" w:eastAsia="宋体" w:hAnsi="Times New Roman" w:cs="Times New Roman"/>
          <w:sz w:val="24"/>
          <w:szCs w:val="24"/>
        </w:rPr>
        <w:t>”</w:t>
      </w:r>
      <w:r>
        <w:rPr>
          <w:rFonts w:ascii="Times New Roman" w:eastAsia="宋体" w:hAnsi="Times New Roman" w:cs="Times New Roman"/>
          <w:sz w:val="24"/>
          <w:szCs w:val="24"/>
        </w:rPr>
        <w:t>原则，在做出投资决策后，基金运营状况与基金净值变化引致的投资风险，由投资人自行负担。投资有风险，投资者在投资基金之前，请仔细阅读基金的基金合同、招募说明书和基金产品资料概要等法律文件，全面认识基金的风险收益特征和产品特性，充分考虑自身的风险承受能力，在了解产品情况、听取销售机构适当性匹配意见的基础上，理性判断市场，谨慎做出投资决策。基金具体风险评级结果以销售机构提供的评级结果为准。</w:t>
      </w:r>
    </w:p>
    <w:p w:rsidR="005D55C4" w:rsidRDefault="0038642D">
      <w:pPr>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特此公告</w:t>
      </w:r>
      <w:r>
        <w:rPr>
          <w:rFonts w:ascii="Times New Roman" w:eastAsia="宋体" w:hAnsi="Times New Roman" w:cs="Times New Roman" w:hint="eastAsia"/>
          <w:sz w:val="24"/>
          <w:szCs w:val="24"/>
        </w:rPr>
        <w:t>。</w:t>
      </w:r>
    </w:p>
    <w:p w:rsidR="005D55C4" w:rsidRDefault="005D55C4">
      <w:pPr>
        <w:snapToGrid w:val="0"/>
        <w:spacing w:line="360" w:lineRule="auto"/>
        <w:ind w:firstLineChars="200" w:firstLine="480"/>
        <w:rPr>
          <w:rFonts w:ascii="Times New Roman" w:eastAsia="宋体" w:hAnsi="Times New Roman" w:cs="Times New Roman"/>
          <w:sz w:val="24"/>
          <w:szCs w:val="24"/>
        </w:rPr>
      </w:pPr>
    </w:p>
    <w:p w:rsidR="005D55C4" w:rsidRDefault="005D55C4">
      <w:pPr>
        <w:snapToGrid w:val="0"/>
        <w:spacing w:line="360" w:lineRule="auto"/>
        <w:ind w:firstLineChars="200" w:firstLine="480"/>
        <w:rPr>
          <w:rFonts w:ascii="Times New Roman" w:eastAsia="宋体" w:hAnsi="Times New Roman" w:cs="Times New Roman"/>
          <w:sz w:val="24"/>
          <w:szCs w:val="24"/>
        </w:rPr>
      </w:pPr>
    </w:p>
    <w:p w:rsidR="005D55C4" w:rsidRDefault="0038642D">
      <w:pPr>
        <w:snapToGrid w:val="0"/>
        <w:spacing w:line="360" w:lineRule="auto"/>
        <w:ind w:firstLineChars="200" w:firstLine="480"/>
        <w:jc w:val="right"/>
        <w:rPr>
          <w:rFonts w:ascii="Times New Roman" w:eastAsia="宋体" w:hAnsi="Times New Roman" w:cs="Times New Roman"/>
          <w:sz w:val="24"/>
          <w:szCs w:val="24"/>
        </w:rPr>
      </w:pPr>
      <w:r>
        <w:rPr>
          <w:rFonts w:ascii="Times New Roman" w:eastAsia="宋体" w:hAnsi="Times New Roman" w:cs="Times New Roman"/>
          <w:sz w:val="24"/>
          <w:szCs w:val="24"/>
        </w:rPr>
        <w:t>华安基金管理有限公司</w:t>
      </w:r>
    </w:p>
    <w:p w:rsidR="005D55C4" w:rsidRDefault="0038642D">
      <w:pPr>
        <w:jc w:val="right"/>
        <w:rPr>
          <w:rFonts w:ascii="Times New Roman" w:eastAsia="宋体" w:hAnsi="Times New Roman" w:cs="Times New Roman"/>
          <w:sz w:val="24"/>
          <w:szCs w:val="24"/>
        </w:rPr>
      </w:pPr>
      <w:r>
        <w:rPr>
          <w:rFonts w:ascii="Times New Roman" w:eastAsia="宋体" w:hAnsi="Times New Roman" w:cs="Times New Roman"/>
          <w:sz w:val="24"/>
          <w:szCs w:val="24"/>
        </w:rPr>
        <w:t>2025</w:t>
      </w:r>
      <w:r>
        <w:rPr>
          <w:rFonts w:ascii="Times New Roman" w:eastAsia="宋体" w:hAnsi="Times New Roman" w:cs="Times New Roman"/>
          <w:sz w:val="24"/>
          <w:szCs w:val="24"/>
        </w:rPr>
        <w:t>年</w:t>
      </w:r>
      <w:r>
        <w:rPr>
          <w:rFonts w:ascii="Times New Roman" w:eastAsia="宋体" w:hAnsi="Times New Roman" w:cs="Times New Roman"/>
          <w:sz w:val="24"/>
          <w:szCs w:val="24"/>
        </w:rPr>
        <w:t>3</w:t>
      </w:r>
      <w:r>
        <w:rPr>
          <w:rFonts w:ascii="Times New Roman" w:eastAsia="宋体" w:hAnsi="Times New Roman" w:cs="Times New Roman"/>
          <w:sz w:val="24"/>
          <w:szCs w:val="24"/>
        </w:rPr>
        <w:t>月</w:t>
      </w:r>
      <w:r>
        <w:rPr>
          <w:rFonts w:ascii="Times New Roman" w:eastAsia="宋体" w:hAnsi="Times New Roman" w:cs="Times New Roman"/>
          <w:sz w:val="24"/>
          <w:szCs w:val="24"/>
        </w:rPr>
        <w:t>20</w:t>
      </w:r>
      <w:r>
        <w:rPr>
          <w:rFonts w:ascii="Times New Roman" w:eastAsia="宋体" w:hAnsi="Times New Roman" w:cs="Times New Roman"/>
          <w:sz w:val="24"/>
          <w:szCs w:val="24"/>
        </w:rPr>
        <w:t>日</w:t>
      </w:r>
    </w:p>
    <w:p w:rsidR="005D55C4" w:rsidRDefault="005D55C4">
      <w:pPr>
        <w:jc w:val="right"/>
        <w:rPr>
          <w:rFonts w:ascii="Times New Roman" w:eastAsia="宋体" w:hAnsi="Times New Roman" w:cs="Times New Roman"/>
          <w:sz w:val="24"/>
          <w:szCs w:val="24"/>
        </w:rPr>
      </w:pPr>
    </w:p>
    <w:p w:rsidR="005D55C4" w:rsidRDefault="0038642D">
      <w:pPr>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rsidR="005D55C4" w:rsidRDefault="005D55C4">
      <w:pPr>
        <w:jc w:val="right"/>
        <w:rPr>
          <w:rFonts w:ascii="Times New Roman" w:eastAsia="宋体" w:hAnsi="Times New Roman" w:cs="Times New Roman"/>
          <w:sz w:val="24"/>
          <w:szCs w:val="24"/>
        </w:rPr>
      </w:pPr>
    </w:p>
    <w:p w:rsidR="005D55C4" w:rsidRDefault="0038642D">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附件：基金合同修订内容</w:t>
      </w:r>
    </w:p>
    <w:p w:rsidR="005D55C4" w:rsidRDefault="0038642D">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以《华安沪深</w:t>
      </w:r>
      <w:r>
        <w:rPr>
          <w:rFonts w:ascii="Times New Roman" w:eastAsia="宋体" w:hAnsi="Times New Roman" w:cs="Times New Roman"/>
          <w:sz w:val="24"/>
          <w:szCs w:val="24"/>
        </w:rPr>
        <w:t>300</w:t>
      </w:r>
      <w:r>
        <w:rPr>
          <w:rFonts w:ascii="Times New Roman" w:eastAsia="宋体" w:hAnsi="Times New Roman" w:cs="Times New Roman"/>
          <w:sz w:val="24"/>
          <w:szCs w:val="24"/>
        </w:rPr>
        <w:t>交易型开放式指数证券投资基金</w:t>
      </w:r>
      <w:r>
        <w:rPr>
          <w:rFonts w:ascii="Times New Roman" w:eastAsia="宋体" w:hAnsi="Times New Roman" w:cs="Times New Roman" w:hint="eastAsia"/>
          <w:sz w:val="24"/>
          <w:szCs w:val="24"/>
        </w:rPr>
        <w:t>基金合同》为例，修订如下：</w:t>
      </w:r>
    </w:p>
    <w:tbl>
      <w:tblPr>
        <w:tblStyle w:val="a9"/>
        <w:tblW w:w="9921" w:type="dxa"/>
        <w:jc w:val="center"/>
        <w:tblLayout w:type="fixed"/>
        <w:tblCellMar>
          <w:left w:w="57" w:type="dxa"/>
          <w:right w:w="57" w:type="dxa"/>
        </w:tblCellMar>
        <w:tblLook w:val="04A0"/>
      </w:tblPr>
      <w:tblGrid>
        <w:gridCol w:w="1984"/>
        <w:gridCol w:w="4535"/>
        <w:gridCol w:w="3402"/>
      </w:tblGrid>
      <w:tr w:rsidR="005D55C4">
        <w:trPr>
          <w:jc w:val="center"/>
        </w:trPr>
        <w:tc>
          <w:tcPr>
            <w:tcW w:w="1984" w:type="dxa"/>
          </w:tcPr>
          <w:p w:rsidR="005D55C4" w:rsidRDefault="0038642D">
            <w:pPr>
              <w:rPr>
                <w:rFonts w:ascii="Times New Roman" w:eastAsia="宋体" w:hAnsi="Times New Roman" w:cs="Times New Roman"/>
                <w:sz w:val="24"/>
                <w:szCs w:val="24"/>
              </w:rPr>
            </w:pPr>
            <w:r>
              <w:rPr>
                <w:rFonts w:ascii="Times New Roman" w:eastAsia="宋体" w:hAnsi="Times New Roman" w:cs="Times New Roman"/>
                <w:sz w:val="24"/>
                <w:szCs w:val="24"/>
              </w:rPr>
              <w:t>《基金合同》</w:t>
            </w:r>
          </w:p>
        </w:tc>
        <w:tc>
          <w:tcPr>
            <w:tcW w:w="4535" w:type="dxa"/>
          </w:tcPr>
          <w:p w:rsidR="005D55C4" w:rsidRDefault="0038642D">
            <w:pPr>
              <w:rPr>
                <w:rFonts w:ascii="Times New Roman" w:eastAsia="宋体" w:hAnsi="Times New Roman" w:cs="Times New Roman"/>
                <w:sz w:val="24"/>
                <w:szCs w:val="24"/>
              </w:rPr>
            </w:pPr>
            <w:r>
              <w:rPr>
                <w:rFonts w:ascii="Times New Roman" w:eastAsia="宋体" w:hAnsi="Times New Roman" w:cs="Times New Roman"/>
                <w:sz w:val="24"/>
                <w:szCs w:val="24"/>
              </w:rPr>
              <w:t>修订前</w:t>
            </w:r>
          </w:p>
        </w:tc>
        <w:tc>
          <w:tcPr>
            <w:tcW w:w="3402" w:type="dxa"/>
          </w:tcPr>
          <w:p w:rsidR="005D55C4" w:rsidRDefault="0038642D">
            <w:pPr>
              <w:rPr>
                <w:rFonts w:ascii="Times New Roman" w:eastAsia="宋体" w:hAnsi="Times New Roman" w:cs="Times New Roman"/>
                <w:sz w:val="24"/>
                <w:szCs w:val="24"/>
              </w:rPr>
            </w:pPr>
            <w:r>
              <w:rPr>
                <w:rFonts w:ascii="Times New Roman" w:eastAsia="宋体" w:hAnsi="Times New Roman" w:cs="Times New Roman"/>
                <w:sz w:val="24"/>
                <w:szCs w:val="24"/>
              </w:rPr>
              <w:t>修订后</w:t>
            </w:r>
          </w:p>
        </w:tc>
      </w:tr>
      <w:tr w:rsidR="005D55C4">
        <w:trPr>
          <w:jc w:val="center"/>
        </w:trPr>
        <w:tc>
          <w:tcPr>
            <w:tcW w:w="1984" w:type="dxa"/>
            <w:vMerge w:val="restart"/>
          </w:tcPr>
          <w:p w:rsidR="005D55C4" w:rsidRDefault="0038642D">
            <w:pPr>
              <w:rPr>
                <w:rFonts w:ascii="Times New Roman" w:eastAsia="宋体" w:hAnsi="Times New Roman" w:cs="Times New Roman"/>
                <w:sz w:val="24"/>
                <w:szCs w:val="24"/>
              </w:rPr>
            </w:pPr>
            <w:r>
              <w:rPr>
                <w:rFonts w:ascii="Times New Roman" w:eastAsia="宋体" w:hAnsi="Times New Roman" w:cs="Times New Roman"/>
                <w:sz w:val="24"/>
                <w:szCs w:val="24"/>
              </w:rPr>
              <w:t>基金费用与税收</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章节</w:t>
            </w:r>
          </w:p>
        </w:tc>
        <w:tc>
          <w:tcPr>
            <w:tcW w:w="4535" w:type="dxa"/>
          </w:tcPr>
          <w:p w:rsidR="005D55C4" w:rsidRDefault="0038642D">
            <w:pPr>
              <w:rPr>
                <w:rFonts w:ascii="Times New Roman" w:eastAsia="宋体" w:hAnsi="Times New Roman" w:cs="Times New Roman"/>
                <w:sz w:val="24"/>
                <w:szCs w:val="24"/>
              </w:rPr>
            </w:pPr>
            <w:r>
              <w:rPr>
                <w:rFonts w:ascii="Times New Roman" w:eastAsia="宋体" w:hAnsi="Times New Roman" w:cs="Times New Roman"/>
                <w:sz w:val="24"/>
                <w:szCs w:val="24"/>
              </w:rPr>
              <w:t>一、基金费用的种类</w:t>
            </w:r>
          </w:p>
          <w:p w:rsidR="005D55C4" w:rsidRDefault="0038642D">
            <w:pPr>
              <w:rPr>
                <w:rFonts w:ascii="Times New Roman" w:eastAsia="宋体" w:hAnsi="Times New Roman" w:cs="Times New Roman"/>
                <w:sz w:val="24"/>
                <w:szCs w:val="24"/>
              </w:rPr>
            </w:pPr>
            <w:r>
              <w:rPr>
                <w:rFonts w:ascii="Times New Roman" w:eastAsia="宋体" w:hAnsi="Times New Roman" w:cs="Times New Roman"/>
                <w:sz w:val="24"/>
                <w:szCs w:val="24"/>
              </w:rPr>
              <w:t>……</w:t>
            </w:r>
          </w:p>
          <w:p w:rsidR="005D55C4" w:rsidRDefault="0038642D">
            <w:pPr>
              <w:rPr>
                <w:rFonts w:ascii="Times New Roman" w:eastAsia="宋体" w:hAnsi="Times New Roman" w:cs="Times New Roman"/>
                <w:b/>
                <w:bCs/>
                <w:strike/>
                <w:sz w:val="24"/>
                <w:szCs w:val="24"/>
              </w:rPr>
            </w:pPr>
            <w:r>
              <w:rPr>
                <w:rFonts w:ascii="Times New Roman" w:eastAsia="宋体" w:hAnsi="Times New Roman" w:cs="Times New Roman" w:hint="eastAsia"/>
                <w:b/>
                <w:bCs/>
                <w:strike/>
                <w:sz w:val="24"/>
                <w:szCs w:val="24"/>
              </w:rPr>
              <w:t>9</w:t>
            </w:r>
            <w:r>
              <w:rPr>
                <w:rFonts w:ascii="Times New Roman" w:eastAsia="宋体" w:hAnsi="Times New Roman" w:cs="Times New Roman"/>
                <w:b/>
                <w:bCs/>
                <w:strike/>
                <w:sz w:val="24"/>
                <w:szCs w:val="24"/>
              </w:rPr>
              <w:t>、</w:t>
            </w:r>
            <w:r>
              <w:rPr>
                <w:rFonts w:ascii="Times New Roman" w:eastAsia="宋体" w:hAnsi="Times New Roman" w:cs="Times New Roman" w:hint="eastAsia"/>
                <w:b/>
                <w:bCs/>
                <w:strike/>
                <w:sz w:val="24"/>
                <w:szCs w:val="24"/>
              </w:rPr>
              <w:t>标的指数</w:t>
            </w:r>
            <w:r>
              <w:rPr>
                <w:rFonts w:ascii="Times New Roman" w:eastAsia="宋体" w:hAnsi="Times New Roman" w:cs="Times New Roman"/>
                <w:b/>
                <w:bCs/>
                <w:strike/>
                <w:sz w:val="24"/>
                <w:szCs w:val="24"/>
              </w:rPr>
              <w:t>许可</w:t>
            </w:r>
            <w:r>
              <w:rPr>
                <w:rFonts w:ascii="Times New Roman" w:eastAsia="宋体" w:hAnsi="Times New Roman" w:cs="Times New Roman" w:hint="eastAsia"/>
                <w:b/>
                <w:bCs/>
                <w:strike/>
                <w:sz w:val="24"/>
                <w:szCs w:val="24"/>
              </w:rPr>
              <w:t>使用费</w:t>
            </w:r>
            <w:r>
              <w:rPr>
                <w:rFonts w:ascii="Times New Roman" w:eastAsia="宋体" w:hAnsi="Times New Roman" w:cs="Times New Roman"/>
                <w:b/>
                <w:bCs/>
                <w:strike/>
                <w:sz w:val="24"/>
                <w:szCs w:val="24"/>
              </w:rPr>
              <w:t>；；</w:t>
            </w:r>
          </w:p>
          <w:p w:rsidR="005D55C4" w:rsidRDefault="0038642D">
            <w:pPr>
              <w:rPr>
                <w:rFonts w:ascii="Times New Roman" w:eastAsia="宋体" w:hAnsi="Times New Roman" w:cs="Times New Roman"/>
                <w:sz w:val="24"/>
                <w:szCs w:val="24"/>
              </w:rPr>
            </w:pPr>
            <w:r>
              <w:rPr>
                <w:rFonts w:ascii="Times New Roman" w:eastAsia="宋体" w:hAnsi="Times New Roman" w:cs="Times New Roman"/>
                <w:sz w:val="24"/>
                <w:szCs w:val="24"/>
              </w:rPr>
              <w:t>……</w:t>
            </w:r>
          </w:p>
        </w:tc>
        <w:tc>
          <w:tcPr>
            <w:tcW w:w="3402" w:type="dxa"/>
          </w:tcPr>
          <w:p w:rsidR="005D55C4" w:rsidRDefault="0038642D">
            <w:pPr>
              <w:rPr>
                <w:rFonts w:ascii="Times New Roman" w:eastAsia="宋体" w:hAnsi="Times New Roman" w:cs="Times New Roman"/>
                <w:sz w:val="24"/>
                <w:szCs w:val="24"/>
              </w:rPr>
            </w:pPr>
            <w:r>
              <w:rPr>
                <w:rFonts w:ascii="Times New Roman" w:eastAsia="宋体" w:hAnsi="Times New Roman" w:cs="Times New Roman"/>
                <w:sz w:val="24"/>
                <w:szCs w:val="24"/>
              </w:rPr>
              <w:t>一、基金费用的种类</w:t>
            </w:r>
          </w:p>
          <w:p w:rsidR="005D55C4" w:rsidRDefault="0038642D">
            <w:pPr>
              <w:rPr>
                <w:rFonts w:ascii="Times New Roman" w:eastAsia="宋体" w:hAnsi="Times New Roman" w:cs="Times New Roman"/>
                <w:sz w:val="24"/>
                <w:szCs w:val="24"/>
              </w:rPr>
            </w:pPr>
            <w:r>
              <w:rPr>
                <w:rFonts w:ascii="Times New Roman" w:eastAsia="宋体" w:hAnsi="Times New Roman" w:cs="Times New Roman"/>
                <w:sz w:val="24"/>
                <w:szCs w:val="24"/>
              </w:rPr>
              <w:t>……</w:t>
            </w:r>
          </w:p>
          <w:p w:rsidR="005D55C4" w:rsidRDefault="005D55C4">
            <w:pPr>
              <w:rPr>
                <w:rFonts w:ascii="Times New Roman" w:eastAsia="宋体" w:hAnsi="Times New Roman" w:cs="Times New Roman"/>
                <w:sz w:val="24"/>
                <w:szCs w:val="24"/>
              </w:rPr>
            </w:pPr>
          </w:p>
        </w:tc>
      </w:tr>
      <w:tr w:rsidR="005D55C4">
        <w:trPr>
          <w:jc w:val="center"/>
        </w:trPr>
        <w:tc>
          <w:tcPr>
            <w:tcW w:w="1984" w:type="dxa"/>
            <w:vMerge/>
          </w:tcPr>
          <w:p w:rsidR="005D55C4" w:rsidRDefault="005D55C4">
            <w:pPr>
              <w:rPr>
                <w:rFonts w:ascii="Times New Roman" w:eastAsia="宋体" w:hAnsi="Times New Roman" w:cs="Times New Roman"/>
                <w:sz w:val="24"/>
                <w:szCs w:val="24"/>
              </w:rPr>
            </w:pPr>
          </w:p>
        </w:tc>
        <w:tc>
          <w:tcPr>
            <w:tcW w:w="4535" w:type="dxa"/>
          </w:tcPr>
          <w:p w:rsidR="005D55C4" w:rsidRDefault="0038642D">
            <w:pPr>
              <w:rPr>
                <w:rFonts w:ascii="Times New Roman" w:eastAsia="宋体" w:hAnsi="Times New Roman" w:cs="Times New Roman"/>
                <w:sz w:val="24"/>
                <w:szCs w:val="24"/>
              </w:rPr>
            </w:pPr>
            <w:r>
              <w:rPr>
                <w:rFonts w:ascii="Times New Roman" w:eastAsia="宋体" w:hAnsi="Times New Roman" w:cs="Times New Roman"/>
                <w:sz w:val="24"/>
                <w:szCs w:val="24"/>
              </w:rPr>
              <w:t>二、基金费用计提方法、计提标准和支付方式</w:t>
            </w:r>
          </w:p>
          <w:p w:rsidR="005D55C4" w:rsidRDefault="0038642D">
            <w:pPr>
              <w:rPr>
                <w:rFonts w:ascii="Times New Roman" w:eastAsia="宋体" w:hAnsi="Times New Roman" w:cs="Times New Roman"/>
                <w:sz w:val="24"/>
                <w:szCs w:val="24"/>
              </w:rPr>
            </w:pPr>
            <w:r>
              <w:rPr>
                <w:rFonts w:ascii="Times New Roman" w:eastAsia="宋体" w:hAnsi="Times New Roman" w:cs="Times New Roman"/>
                <w:sz w:val="24"/>
                <w:szCs w:val="24"/>
              </w:rPr>
              <w:t>……</w:t>
            </w:r>
          </w:p>
          <w:p w:rsidR="005D55C4" w:rsidRDefault="0038642D">
            <w:pPr>
              <w:rPr>
                <w:rFonts w:ascii="Times New Roman" w:eastAsia="宋体" w:hAnsi="Times New Roman" w:cs="Times New Roman"/>
                <w:b/>
                <w:strike/>
                <w:sz w:val="24"/>
                <w:szCs w:val="24"/>
              </w:rPr>
            </w:pPr>
            <w:r>
              <w:rPr>
                <w:rFonts w:ascii="Times New Roman" w:eastAsia="宋体" w:hAnsi="Times New Roman" w:cs="Times New Roman" w:hint="eastAsia"/>
                <w:b/>
                <w:strike/>
                <w:sz w:val="24"/>
                <w:szCs w:val="24"/>
              </w:rPr>
              <w:t>3</w:t>
            </w:r>
            <w:r>
              <w:rPr>
                <w:rFonts w:ascii="Times New Roman" w:eastAsia="宋体" w:hAnsi="Times New Roman" w:cs="Times New Roman" w:hint="eastAsia"/>
                <w:b/>
                <w:strike/>
                <w:sz w:val="24"/>
                <w:szCs w:val="24"/>
              </w:rPr>
              <w:t>、基金的指数许可使用费</w:t>
            </w:r>
          </w:p>
          <w:p w:rsidR="005D55C4" w:rsidRDefault="0038642D">
            <w:pPr>
              <w:rPr>
                <w:rFonts w:ascii="Times New Roman" w:eastAsia="宋体" w:hAnsi="Times New Roman" w:cs="Times New Roman"/>
                <w:b/>
                <w:strike/>
                <w:sz w:val="24"/>
                <w:szCs w:val="24"/>
              </w:rPr>
            </w:pPr>
            <w:r>
              <w:rPr>
                <w:rFonts w:ascii="Times New Roman" w:eastAsia="宋体" w:hAnsi="Times New Roman" w:cs="Times New Roman" w:hint="eastAsia"/>
                <w:b/>
                <w:strike/>
                <w:sz w:val="24"/>
                <w:szCs w:val="24"/>
              </w:rPr>
              <w:t>本基金按照基金管理人与标的指数许可方所签订的指数使用许可协议中所规定的指数许可使用费计提方法支付指数许可使用费。指数许可使用费的费率、具体计算方法及支付方式见招募说明书。</w:t>
            </w:r>
          </w:p>
          <w:p w:rsidR="005D55C4" w:rsidRDefault="0038642D">
            <w:pPr>
              <w:rPr>
                <w:rFonts w:ascii="Times New Roman" w:eastAsia="宋体" w:hAnsi="Times New Roman" w:cs="Times New Roman"/>
                <w:b/>
                <w:strike/>
                <w:sz w:val="24"/>
                <w:szCs w:val="24"/>
              </w:rPr>
            </w:pPr>
            <w:r>
              <w:rPr>
                <w:rFonts w:ascii="Times New Roman" w:eastAsia="宋体" w:hAnsi="Times New Roman" w:cs="Times New Roman" w:hint="eastAsia"/>
                <w:b/>
                <w:strike/>
                <w:sz w:val="24"/>
                <w:szCs w:val="24"/>
              </w:rPr>
              <w:t>如果指数使用许可协议约定的指数许可使用费的计算方法、费率和支付方式等发生调整，本基金将采用调整后的方法或费率计算指数许可使用费。基金管理人将在招募说明书更新或其他公告中披露基金最新适用的方法。</w:t>
            </w:r>
          </w:p>
          <w:p w:rsidR="005D55C4" w:rsidRDefault="0038642D">
            <w:pPr>
              <w:rPr>
                <w:rFonts w:ascii="Times New Roman" w:eastAsia="宋体" w:hAnsi="Times New Roman" w:cs="Times New Roman"/>
                <w:sz w:val="24"/>
                <w:szCs w:val="24"/>
              </w:rPr>
            </w:pPr>
            <w:r>
              <w:rPr>
                <w:rFonts w:ascii="Times New Roman" w:eastAsia="宋体" w:hAnsi="Times New Roman" w:cs="Times New Roman"/>
                <w:sz w:val="24"/>
                <w:szCs w:val="24"/>
              </w:rPr>
              <w:t>上述</w:t>
            </w:r>
            <w:r>
              <w:rPr>
                <w:rFonts w:ascii="Times New Roman" w:eastAsia="宋体" w:hAnsi="Times New Roman" w:cs="Times New Roman" w:hint="eastAsia"/>
                <w:sz w:val="24"/>
                <w:szCs w:val="24"/>
              </w:rPr>
              <w:t>“</w:t>
            </w:r>
            <w:r>
              <w:rPr>
                <w:rFonts w:ascii="Times New Roman" w:eastAsia="宋体" w:hAnsi="Times New Roman" w:cs="Times New Roman"/>
                <w:sz w:val="24"/>
                <w:szCs w:val="24"/>
              </w:rPr>
              <w:t>一、基金费用的种类</w:t>
            </w:r>
            <w:r>
              <w:rPr>
                <w:rFonts w:ascii="Times New Roman" w:eastAsia="宋体" w:hAnsi="Times New Roman" w:cs="Times New Roman" w:hint="eastAsia"/>
                <w:sz w:val="24"/>
                <w:szCs w:val="24"/>
              </w:rPr>
              <w:t>”</w:t>
            </w:r>
            <w:r>
              <w:rPr>
                <w:rFonts w:ascii="Times New Roman" w:eastAsia="宋体" w:hAnsi="Times New Roman" w:cs="Times New Roman"/>
                <w:sz w:val="24"/>
                <w:szCs w:val="24"/>
              </w:rPr>
              <w:t>中除</w:t>
            </w:r>
            <w:r>
              <w:rPr>
                <w:rFonts w:ascii="Times New Roman" w:eastAsia="宋体" w:hAnsi="Times New Roman" w:cs="Times New Roman" w:hint="eastAsia"/>
                <w:sz w:val="24"/>
                <w:szCs w:val="24"/>
              </w:rPr>
              <w:t>基金</w:t>
            </w:r>
            <w:r>
              <w:rPr>
                <w:rFonts w:ascii="Times New Roman" w:eastAsia="宋体" w:hAnsi="Times New Roman" w:cs="Times New Roman"/>
                <w:sz w:val="24"/>
                <w:szCs w:val="24"/>
              </w:rPr>
              <w:t>管理费、</w:t>
            </w:r>
            <w:r>
              <w:rPr>
                <w:rFonts w:ascii="Times New Roman" w:eastAsia="宋体" w:hAnsi="Times New Roman" w:cs="Times New Roman" w:hint="eastAsia"/>
                <w:sz w:val="24"/>
                <w:szCs w:val="24"/>
              </w:rPr>
              <w:t>基金</w:t>
            </w:r>
            <w:r>
              <w:rPr>
                <w:rFonts w:ascii="Times New Roman" w:eastAsia="宋体" w:hAnsi="Times New Roman" w:cs="Times New Roman"/>
                <w:sz w:val="24"/>
                <w:szCs w:val="24"/>
              </w:rPr>
              <w:t>托管费</w:t>
            </w:r>
            <w:r>
              <w:rPr>
                <w:rFonts w:ascii="Times New Roman" w:eastAsia="宋体" w:hAnsi="Times New Roman" w:cs="Times New Roman"/>
                <w:b/>
                <w:strike/>
                <w:sz w:val="24"/>
                <w:szCs w:val="24"/>
              </w:rPr>
              <w:t>和标的指数许可使用费</w:t>
            </w:r>
            <w:r>
              <w:rPr>
                <w:rFonts w:ascii="Times New Roman" w:eastAsia="宋体" w:hAnsi="Times New Roman" w:cs="Times New Roman"/>
                <w:sz w:val="24"/>
                <w:szCs w:val="24"/>
              </w:rPr>
              <w:t>之外的其他费用，根据有关法规及相应协议规定，按费用实际支出金额列入当期费用，由基金托管人从基金财产中支付。</w:t>
            </w:r>
          </w:p>
        </w:tc>
        <w:tc>
          <w:tcPr>
            <w:tcW w:w="3402" w:type="dxa"/>
          </w:tcPr>
          <w:p w:rsidR="005D55C4" w:rsidRDefault="0038642D">
            <w:pPr>
              <w:rPr>
                <w:rFonts w:ascii="Times New Roman" w:eastAsia="宋体" w:hAnsi="Times New Roman" w:cs="Times New Roman"/>
                <w:sz w:val="24"/>
                <w:szCs w:val="24"/>
              </w:rPr>
            </w:pPr>
            <w:r>
              <w:rPr>
                <w:rFonts w:ascii="Times New Roman" w:eastAsia="宋体" w:hAnsi="Times New Roman" w:cs="Times New Roman"/>
                <w:sz w:val="24"/>
                <w:szCs w:val="24"/>
              </w:rPr>
              <w:t>二、基金费用计提方法、计提标准和支付方式</w:t>
            </w:r>
          </w:p>
          <w:p w:rsidR="005D55C4" w:rsidRDefault="0038642D">
            <w:pPr>
              <w:rPr>
                <w:rFonts w:ascii="Times New Roman" w:eastAsia="宋体" w:hAnsi="Times New Roman" w:cs="Times New Roman"/>
                <w:sz w:val="24"/>
                <w:szCs w:val="24"/>
              </w:rPr>
            </w:pPr>
            <w:r>
              <w:rPr>
                <w:rFonts w:ascii="Times New Roman" w:eastAsia="宋体" w:hAnsi="Times New Roman" w:cs="Times New Roman"/>
                <w:sz w:val="24"/>
                <w:szCs w:val="24"/>
              </w:rPr>
              <w:t>……</w:t>
            </w:r>
          </w:p>
          <w:p w:rsidR="005D55C4" w:rsidRDefault="005D55C4">
            <w:pPr>
              <w:rPr>
                <w:rFonts w:ascii="Times New Roman" w:eastAsia="宋体" w:hAnsi="Times New Roman" w:cs="Times New Roman"/>
                <w:sz w:val="24"/>
                <w:szCs w:val="24"/>
              </w:rPr>
            </w:pPr>
          </w:p>
        </w:tc>
      </w:tr>
      <w:tr w:rsidR="005D55C4">
        <w:trPr>
          <w:jc w:val="center"/>
        </w:trPr>
        <w:tc>
          <w:tcPr>
            <w:tcW w:w="1984" w:type="dxa"/>
            <w:vMerge/>
          </w:tcPr>
          <w:p w:rsidR="005D55C4" w:rsidRDefault="005D55C4">
            <w:pPr>
              <w:rPr>
                <w:rFonts w:ascii="Times New Roman" w:eastAsia="宋体" w:hAnsi="Times New Roman" w:cs="Times New Roman"/>
                <w:sz w:val="24"/>
                <w:szCs w:val="24"/>
              </w:rPr>
            </w:pPr>
          </w:p>
        </w:tc>
        <w:tc>
          <w:tcPr>
            <w:tcW w:w="4535" w:type="dxa"/>
          </w:tcPr>
          <w:p w:rsidR="005D55C4" w:rsidRDefault="0038642D">
            <w:pPr>
              <w:rPr>
                <w:rFonts w:ascii="Times New Roman" w:eastAsia="宋体" w:hAnsi="Times New Roman" w:cs="Times New Roman"/>
                <w:sz w:val="24"/>
                <w:szCs w:val="24"/>
              </w:rPr>
            </w:pPr>
            <w:r>
              <w:rPr>
                <w:rFonts w:ascii="Times New Roman" w:eastAsia="宋体" w:hAnsi="Times New Roman" w:cs="Times New Roman"/>
                <w:sz w:val="24"/>
                <w:szCs w:val="24"/>
              </w:rPr>
              <w:t>三、不列入基金费用的项目</w:t>
            </w:r>
          </w:p>
          <w:p w:rsidR="005D55C4" w:rsidRDefault="0038642D">
            <w:pPr>
              <w:rPr>
                <w:rFonts w:ascii="Times New Roman" w:eastAsia="宋体" w:hAnsi="Times New Roman" w:cs="Times New Roman"/>
                <w:sz w:val="24"/>
                <w:szCs w:val="24"/>
              </w:rPr>
            </w:pPr>
            <w:r>
              <w:rPr>
                <w:rFonts w:ascii="Times New Roman" w:eastAsia="宋体" w:hAnsi="Times New Roman" w:cs="Times New Roman"/>
                <w:sz w:val="24"/>
                <w:szCs w:val="24"/>
              </w:rPr>
              <w:t>下列费用不列入基金费用：</w:t>
            </w:r>
          </w:p>
          <w:p w:rsidR="005D55C4" w:rsidRDefault="0038642D">
            <w:pPr>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sz w:val="24"/>
                <w:szCs w:val="24"/>
              </w:rPr>
              <w:t>、基金管理人和基金托管人因未履行或未完全履行义务导致的费用支出或基金财产的损失；</w:t>
            </w:r>
          </w:p>
          <w:p w:rsidR="005D55C4" w:rsidRDefault="0038642D">
            <w:pPr>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宋体" w:hAnsi="Times New Roman" w:cs="Times New Roman"/>
                <w:sz w:val="24"/>
                <w:szCs w:val="24"/>
              </w:rPr>
              <w:t>、基金管理人和基金托管人处理与基金运作无关的事项发生的费用；</w:t>
            </w:r>
          </w:p>
          <w:p w:rsidR="005D55C4" w:rsidRDefault="0038642D">
            <w:pPr>
              <w:rPr>
                <w:rFonts w:ascii="Times New Roman" w:eastAsia="宋体" w:hAnsi="Times New Roman" w:cs="Times New Roman"/>
                <w:sz w:val="24"/>
                <w:szCs w:val="24"/>
              </w:rPr>
            </w:pPr>
            <w:r>
              <w:rPr>
                <w:rFonts w:ascii="Times New Roman" w:eastAsia="宋体" w:hAnsi="Times New Roman" w:cs="Times New Roman"/>
                <w:sz w:val="24"/>
                <w:szCs w:val="24"/>
              </w:rPr>
              <w:t>3</w:t>
            </w:r>
            <w:r>
              <w:rPr>
                <w:rFonts w:ascii="Times New Roman" w:eastAsia="宋体" w:hAnsi="Times New Roman" w:cs="Times New Roman"/>
                <w:sz w:val="24"/>
                <w:szCs w:val="24"/>
              </w:rPr>
              <w:t>、《基金合同》生效前的相关费用；</w:t>
            </w:r>
          </w:p>
          <w:p w:rsidR="005D55C4" w:rsidRDefault="0038642D">
            <w:pPr>
              <w:rPr>
                <w:rFonts w:ascii="Times New Roman" w:eastAsia="宋体" w:hAnsi="Times New Roman" w:cs="Times New Roman"/>
                <w:sz w:val="24"/>
                <w:szCs w:val="24"/>
              </w:rPr>
            </w:pPr>
            <w:r>
              <w:rPr>
                <w:rFonts w:ascii="Times New Roman" w:eastAsia="宋体" w:hAnsi="Times New Roman" w:cs="Times New Roman"/>
                <w:sz w:val="24"/>
                <w:szCs w:val="24"/>
              </w:rPr>
              <w:t>4</w:t>
            </w:r>
            <w:r>
              <w:rPr>
                <w:rFonts w:ascii="Times New Roman" w:eastAsia="宋体" w:hAnsi="Times New Roman" w:cs="Times New Roman"/>
                <w:sz w:val="24"/>
                <w:szCs w:val="24"/>
              </w:rPr>
              <w:t>、</w:t>
            </w:r>
            <w:r>
              <w:rPr>
                <w:rFonts w:ascii="Times New Roman" w:eastAsia="宋体" w:hAnsi="Times New Roman" w:cs="Times New Roman" w:hint="eastAsia"/>
                <w:sz w:val="24"/>
                <w:szCs w:val="24"/>
              </w:rPr>
              <w:t>其他根据相关法律法规及中国证监会的有关规定不得列入基金费用的项目。</w:t>
            </w:r>
          </w:p>
        </w:tc>
        <w:tc>
          <w:tcPr>
            <w:tcW w:w="3402" w:type="dxa"/>
          </w:tcPr>
          <w:p w:rsidR="005D55C4" w:rsidRDefault="0038642D">
            <w:pPr>
              <w:rPr>
                <w:rFonts w:ascii="Times New Roman" w:eastAsia="宋体" w:hAnsi="Times New Roman" w:cs="Times New Roman"/>
                <w:sz w:val="24"/>
                <w:szCs w:val="24"/>
              </w:rPr>
            </w:pPr>
            <w:r>
              <w:rPr>
                <w:rFonts w:ascii="Times New Roman" w:eastAsia="宋体" w:hAnsi="Times New Roman" w:cs="Times New Roman"/>
                <w:sz w:val="24"/>
                <w:szCs w:val="24"/>
              </w:rPr>
              <w:t>三、不列入基金费用的项目</w:t>
            </w:r>
          </w:p>
          <w:p w:rsidR="005D55C4" w:rsidRDefault="0038642D">
            <w:pPr>
              <w:rPr>
                <w:rFonts w:ascii="Times New Roman" w:eastAsia="宋体" w:hAnsi="Times New Roman" w:cs="Times New Roman"/>
                <w:sz w:val="24"/>
                <w:szCs w:val="24"/>
              </w:rPr>
            </w:pPr>
            <w:r>
              <w:rPr>
                <w:rFonts w:ascii="Times New Roman" w:eastAsia="宋体" w:hAnsi="Times New Roman" w:cs="Times New Roman"/>
                <w:sz w:val="24"/>
                <w:szCs w:val="24"/>
              </w:rPr>
              <w:t>下列费用不列入基金费用：</w:t>
            </w:r>
          </w:p>
          <w:p w:rsidR="005D55C4" w:rsidRDefault="0038642D">
            <w:pPr>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sz w:val="24"/>
                <w:szCs w:val="24"/>
              </w:rPr>
              <w:t>、基金管理人和基金托管人因未履行或未完全履行义务导致的费用支出或基金财产的损失；</w:t>
            </w:r>
          </w:p>
          <w:p w:rsidR="005D55C4" w:rsidRDefault="0038642D">
            <w:pPr>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宋体" w:hAnsi="Times New Roman" w:cs="Times New Roman"/>
                <w:sz w:val="24"/>
                <w:szCs w:val="24"/>
              </w:rPr>
              <w:t>、基金管理人和基金托管人处理与基金运作无关的事项发生的费用；</w:t>
            </w:r>
          </w:p>
          <w:p w:rsidR="005D55C4" w:rsidRDefault="0038642D">
            <w:pPr>
              <w:rPr>
                <w:rFonts w:ascii="Times New Roman" w:eastAsia="宋体" w:hAnsi="Times New Roman" w:cs="Times New Roman"/>
                <w:sz w:val="24"/>
                <w:szCs w:val="24"/>
              </w:rPr>
            </w:pPr>
            <w:r>
              <w:rPr>
                <w:rFonts w:ascii="Times New Roman" w:eastAsia="宋体" w:hAnsi="Times New Roman" w:cs="Times New Roman"/>
                <w:sz w:val="24"/>
                <w:szCs w:val="24"/>
              </w:rPr>
              <w:t>3</w:t>
            </w:r>
            <w:r>
              <w:rPr>
                <w:rFonts w:ascii="Times New Roman" w:eastAsia="宋体" w:hAnsi="Times New Roman" w:cs="Times New Roman"/>
                <w:sz w:val="24"/>
                <w:szCs w:val="24"/>
              </w:rPr>
              <w:t>、《基金合同》生效前的相关费用；</w:t>
            </w:r>
          </w:p>
          <w:p w:rsidR="005D55C4" w:rsidRDefault="0038642D">
            <w:pPr>
              <w:rPr>
                <w:rFonts w:ascii="Times New Roman" w:eastAsia="宋体" w:hAnsi="Times New Roman" w:cs="Times New Roman"/>
                <w:b/>
                <w:bCs/>
                <w:sz w:val="24"/>
                <w:szCs w:val="24"/>
                <w:u w:val="single"/>
              </w:rPr>
            </w:pPr>
            <w:r>
              <w:rPr>
                <w:rFonts w:ascii="Times New Roman" w:eastAsia="宋体" w:hAnsi="Times New Roman" w:cs="Times New Roman"/>
                <w:b/>
                <w:bCs/>
                <w:sz w:val="24"/>
                <w:szCs w:val="24"/>
                <w:u w:val="single"/>
              </w:rPr>
              <w:t>4</w:t>
            </w:r>
            <w:r>
              <w:rPr>
                <w:rFonts w:ascii="Times New Roman" w:eastAsia="宋体" w:hAnsi="Times New Roman" w:cs="Times New Roman"/>
                <w:b/>
                <w:bCs/>
                <w:sz w:val="24"/>
                <w:szCs w:val="24"/>
                <w:u w:val="single"/>
              </w:rPr>
              <w:t>、标的指数许可使用费。标的指数许可使用费由基金管理人承担，不得从基金财产中列支；</w:t>
            </w:r>
          </w:p>
          <w:p w:rsidR="005D55C4" w:rsidRDefault="0038642D">
            <w:pPr>
              <w:rPr>
                <w:rFonts w:ascii="Times New Roman" w:eastAsia="宋体" w:hAnsi="Times New Roman" w:cs="Times New Roman"/>
                <w:sz w:val="24"/>
                <w:szCs w:val="24"/>
              </w:rPr>
            </w:pPr>
            <w:r>
              <w:rPr>
                <w:rFonts w:ascii="Times New Roman" w:eastAsia="宋体" w:hAnsi="Times New Roman" w:cs="Times New Roman"/>
                <w:sz w:val="24"/>
                <w:szCs w:val="24"/>
              </w:rPr>
              <w:t>5</w:t>
            </w:r>
            <w:r>
              <w:rPr>
                <w:rFonts w:ascii="Times New Roman" w:eastAsia="宋体" w:hAnsi="Times New Roman" w:cs="Times New Roman"/>
                <w:sz w:val="24"/>
                <w:szCs w:val="24"/>
              </w:rPr>
              <w:t>、其他根据相关法律法规及中国证监会的有关规定不得列入基金费用的项目。</w:t>
            </w:r>
          </w:p>
        </w:tc>
      </w:tr>
    </w:tbl>
    <w:p w:rsidR="005D55C4" w:rsidRDefault="0038642D">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基金合同（摘要）、托管协议（如涉及）、招募说明书、基金产品资料概要（如涉及）等相应修订。</w:t>
      </w:r>
    </w:p>
    <w:p w:rsidR="005D55C4" w:rsidRDefault="005D55C4">
      <w:pPr>
        <w:spacing w:line="360" w:lineRule="auto"/>
        <w:ind w:firstLineChars="200" w:firstLine="480"/>
        <w:rPr>
          <w:rFonts w:ascii="Times New Roman" w:eastAsia="宋体" w:hAnsi="Times New Roman" w:cs="Times New Roman"/>
          <w:sz w:val="24"/>
          <w:szCs w:val="24"/>
        </w:rPr>
      </w:pPr>
    </w:p>
    <w:p w:rsidR="005D55C4" w:rsidRDefault="005D55C4">
      <w:pPr>
        <w:spacing w:line="360" w:lineRule="auto"/>
        <w:ind w:firstLineChars="200" w:firstLine="480"/>
        <w:rPr>
          <w:rFonts w:ascii="Times New Roman" w:eastAsia="宋体" w:hAnsi="Times New Roman" w:cs="Times New Roman"/>
          <w:sz w:val="24"/>
          <w:szCs w:val="24"/>
        </w:rPr>
      </w:pPr>
    </w:p>
    <w:p w:rsidR="005D55C4" w:rsidRDefault="005D55C4">
      <w:pPr>
        <w:spacing w:line="360" w:lineRule="auto"/>
        <w:ind w:firstLineChars="200" w:firstLine="480"/>
        <w:rPr>
          <w:rFonts w:ascii="Times New Roman" w:eastAsia="宋体" w:hAnsi="Times New Roman" w:cs="Times New Roman"/>
          <w:sz w:val="24"/>
          <w:szCs w:val="24"/>
        </w:rPr>
      </w:pPr>
    </w:p>
    <w:sectPr w:rsidR="005D55C4" w:rsidSect="00F54997">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642D" w:rsidRDefault="0038642D">
      <w:r>
        <w:separator/>
      </w:r>
    </w:p>
  </w:endnote>
  <w:endnote w:type="continuationSeparator" w:id="0">
    <w:p w:rsidR="0038642D" w:rsidRDefault="0038642D">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等线 Light">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08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
    </w:sdtPr>
    <w:sdtContent>
      <w:sdt>
        <w:sdtPr>
          <w:id w:val="1728636285"/>
        </w:sdtPr>
        <w:sdtContent>
          <w:p w:rsidR="005D55C4" w:rsidRDefault="0038642D">
            <w:pPr>
              <w:pStyle w:val="a5"/>
              <w:jc w:val="center"/>
            </w:pPr>
            <w:r>
              <w:rPr>
                <w:rFonts w:ascii="宋体" w:eastAsia="宋体" w:hAnsi="宋体"/>
                <w:lang w:val="zh-CN"/>
              </w:rPr>
              <w:t xml:space="preserve"> </w:t>
            </w:r>
            <w:r w:rsidR="00F54997">
              <w:rPr>
                <w:rFonts w:ascii="宋体" w:eastAsia="宋体" w:hAnsi="宋体"/>
                <w:b/>
                <w:bCs/>
                <w:sz w:val="24"/>
                <w:szCs w:val="24"/>
              </w:rPr>
              <w:fldChar w:fldCharType="begin"/>
            </w:r>
            <w:r>
              <w:rPr>
                <w:rFonts w:ascii="宋体" w:eastAsia="宋体" w:hAnsi="宋体"/>
                <w:b/>
                <w:bCs/>
              </w:rPr>
              <w:instrText>PAGE</w:instrText>
            </w:r>
            <w:r w:rsidR="00F54997">
              <w:rPr>
                <w:rFonts w:ascii="宋体" w:eastAsia="宋体" w:hAnsi="宋体"/>
                <w:b/>
                <w:bCs/>
                <w:sz w:val="24"/>
                <w:szCs w:val="24"/>
              </w:rPr>
              <w:fldChar w:fldCharType="separate"/>
            </w:r>
            <w:r w:rsidR="00531625">
              <w:rPr>
                <w:rFonts w:ascii="宋体" w:eastAsia="宋体" w:hAnsi="宋体"/>
                <w:b/>
                <w:bCs/>
                <w:noProof/>
              </w:rPr>
              <w:t>1</w:t>
            </w:r>
            <w:r w:rsidR="00F54997">
              <w:rPr>
                <w:rFonts w:ascii="宋体" w:eastAsia="宋体" w:hAnsi="宋体"/>
                <w:b/>
                <w:bCs/>
                <w:sz w:val="24"/>
                <w:szCs w:val="24"/>
              </w:rPr>
              <w:fldChar w:fldCharType="end"/>
            </w:r>
            <w:r>
              <w:rPr>
                <w:rFonts w:ascii="宋体" w:eastAsia="宋体" w:hAnsi="宋体"/>
                <w:lang w:val="zh-CN"/>
              </w:rPr>
              <w:t xml:space="preserve"> / </w:t>
            </w:r>
            <w:r w:rsidR="00F54997">
              <w:rPr>
                <w:rFonts w:ascii="宋体" w:eastAsia="宋体" w:hAnsi="宋体"/>
                <w:b/>
                <w:bCs/>
                <w:sz w:val="24"/>
                <w:szCs w:val="24"/>
              </w:rPr>
              <w:fldChar w:fldCharType="begin"/>
            </w:r>
            <w:r>
              <w:rPr>
                <w:rFonts w:ascii="宋体" w:eastAsia="宋体" w:hAnsi="宋体"/>
                <w:b/>
                <w:bCs/>
              </w:rPr>
              <w:instrText>NUMPAGES</w:instrText>
            </w:r>
            <w:r w:rsidR="00F54997">
              <w:rPr>
                <w:rFonts w:ascii="宋体" w:eastAsia="宋体" w:hAnsi="宋体"/>
                <w:b/>
                <w:bCs/>
                <w:sz w:val="24"/>
                <w:szCs w:val="24"/>
              </w:rPr>
              <w:fldChar w:fldCharType="separate"/>
            </w:r>
            <w:r w:rsidR="00531625">
              <w:rPr>
                <w:rFonts w:ascii="宋体" w:eastAsia="宋体" w:hAnsi="宋体"/>
                <w:b/>
                <w:bCs/>
                <w:noProof/>
              </w:rPr>
              <w:t>3</w:t>
            </w:r>
            <w:r w:rsidR="00F54997">
              <w:rPr>
                <w:rFonts w:ascii="宋体" w:eastAsia="宋体" w:hAnsi="宋体"/>
                <w:b/>
                <w:bCs/>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642D" w:rsidRDefault="0038642D">
      <w:r>
        <w:separator/>
      </w:r>
    </w:p>
  </w:footnote>
  <w:footnote w:type="continuationSeparator" w:id="0">
    <w:p w:rsidR="0038642D" w:rsidRDefault="0038642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5ADF"/>
    <w:rsid w:val="95386A6A"/>
    <w:rsid w:val="BFBDBC2F"/>
    <w:rsid w:val="D77D9441"/>
    <w:rsid w:val="EF4EC657"/>
    <w:rsid w:val="FA4D4FF5"/>
    <w:rsid w:val="FBDF19BD"/>
    <w:rsid w:val="FEDDDD28"/>
    <w:rsid w:val="FF8D73C8"/>
    <w:rsid w:val="00032B47"/>
    <w:rsid w:val="000B4366"/>
    <w:rsid w:val="000D73A6"/>
    <w:rsid w:val="0014096A"/>
    <w:rsid w:val="00227E8D"/>
    <w:rsid w:val="00280117"/>
    <w:rsid w:val="002A034F"/>
    <w:rsid w:val="00364903"/>
    <w:rsid w:val="0038642D"/>
    <w:rsid w:val="003F0A12"/>
    <w:rsid w:val="00426F42"/>
    <w:rsid w:val="004648A1"/>
    <w:rsid w:val="004D31A9"/>
    <w:rsid w:val="004D47C0"/>
    <w:rsid w:val="00531625"/>
    <w:rsid w:val="00557941"/>
    <w:rsid w:val="00567512"/>
    <w:rsid w:val="005D55C4"/>
    <w:rsid w:val="005E2647"/>
    <w:rsid w:val="005E7F48"/>
    <w:rsid w:val="00633A9C"/>
    <w:rsid w:val="00766FD6"/>
    <w:rsid w:val="00774437"/>
    <w:rsid w:val="008A3051"/>
    <w:rsid w:val="009C17A1"/>
    <w:rsid w:val="009E572F"/>
    <w:rsid w:val="00A413E9"/>
    <w:rsid w:val="00A43F13"/>
    <w:rsid w:val="00AE61CC"/>
    <w:rsid w:val="00B27EAD"/>
    <w:rsid w:val="00B567BD"/>
    <w:rsid w:val="00B7539C"/>
    <w:rsid w:val="00C22A9B"/>
    <w:rsid w:val="00C416EC"/>
    <w:rsid w:val="00C70A0A"/>
    <w:rsid w:val="00CB6E97"/>
    <w:rsid w:val="00CC5654"/>
    <w:rsid w:val="00D92C91"/>
    <w:rsid w:val="00F15ADF"/>
    <w:rsid w:val="00F54997"/>
    <w:rsid w:val="0A302A8F"/>
    <w:rsid w:val="243B1070"/>
    <w:rsid w:val="25DE2C17"/>
    <w:rsid w:val="36530521"/>
    <w:rsid w:val="36FF1B7D"/>
    <w:rsid w:val="39B56834"/>
    <w:rsid w:val="3EAA7E43"/>
    <w:rsid w:val="458F5FB0"/>
    <w:rsid w:val="52CE604A"/>
    <w:rsid w:val="5A315177"/>
    <w:rsid w:val="69E32EC5"/>
    <w:rsid w:val="75F61AB3"/>
    <w:rsid w:val="7B6F3C1E"/>
    <w:rsid w:val="7BEF0FC9"/>
    <w:rsid w:val="7CB83284"/>
    <w:rsid w:val="7FE9B0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uiPriority="3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997"/>
    <w:pPr>
      <w:widowControl w:val="0"/>
      <w:jc w:val="both"/>
    </w:pPr>
    <w:rPr>
      <w:kern w:val="2"/>
      <w:sz w:val="21"/>
      <w:szCs w:val="22"/>
    </w:rPr>
  </w:style>
  <w:style w:type="paragraph" w:styleId="1">
    <w:name w:val="heading 1"/>
    <w:basedOn w:val="a"/>
    <w:next w:val="a"/>
    <w:link w:val="1Char"/>
    <w:uiPriority w:val="9"/>
    <w:qFormat/>
    <w:rsid w:val="00F54997"/>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Char"/>
    <w:uiPriority w:val="9"/>
    <w:semiHidden/>
    <w:unhideWhenUsed/>
    <w:qFormat/>
    <w:rsid w:val="00F54997"/>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Char"/>
    <w:uiPriority w:val="9"/>
    <w:semiHidden/>
    <w:unhideWhenUsed/>
    <w:qFormat/>
    <w:rsid w:val="00F54997"/>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Char"/>
    <w:uiPriority w:val="9"/>
    <w:semiHidden/>
    <w:unhideWhenUsed/>
    <w:qFormat/>
    <w:rsid w:val="00F54997"/>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Char"/>
    <w:uiPriority w:val="9"/>
    <w:semiHidden/>
    <w:unhideWhenUsed/>
    <w:qFormat/>
    <w:rsid w:val="00F54997"/>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Char"/>
    <w:uiPriority w:val="9"/>
    <w:semiHidden/>
    <w:unhideWhenUsed/>
    <w:qFormat/>
    <w:rsid w:val="00F54997"/>
    <w:pPr>
      <w:keepNext/>
      <w:keepLines/>
      <w:spacing w:before="40"/>
      <w:outlineLvl w:val="5"/>
    </w:pPr>
    <w:rPr>
      <w:rFonts w:cstheme="majorBidi"/>
      <w:b/>
      <w:bCs/>
      <w:color w:val="0F4761" w:themeColor="accent1" w:themeShade="BF"/>
    </w:rPr>
  </w:style>
  <w:style w:type="paragraph" w:styleId="7">
    <w:name w:val="heading 7"/>
    <w:basedOn w:val="a"/>
    <w:next w:val="a"/>
    <w:link w:val="7Char"/>
    <w:uiPriority w:val="9"/>
    <w:semiHidden/>
    <w:unhideWhenUsed/>
    <w:qFormat/>
    <w:rsid w:val="00F54997"/>
    <w:pPr>
      <w:keepNext/>
      <w:keepLines/>
      <w:spacing w:before="40"/>
      <w:outlineLvl w:val="6"/>
    </w:pPr>
    <w:rPr>
      <w:rFonts w:cstheme="majorBidi"/>
      <w:b/>
      <w:bCs/>
      <w:color w:val="595959" w:themeColor="text1" w:themeTint="A6"/>
    </w:rPr>
  </w:style>
  <w:style w:type="paragraph" w:styleId="8">
    <w:name w:val="heading 8"/>
    <w:basedOn w:val="a"/>
    <w:next w:val="a"/>
    <w:link w:val="8Char"/>
    <w:uiPriority w:val="9"/>
    <w:semiHidden/>
    <w:unhideWhenUsed/>
    <w:qFormat/>
    <w:rsid w:val="00F54997"/>
    <w:pPr>
      <w:keepNext/>
      <w:keepLines/>
      <w:outlineLvl w:val="7"/>
    </w:pPr>
    <w:rPr>
      <w:rFonts w:cstheme="majorBidi"/>
      <w:color w:val="595959" w:themeColor="text1" w:themeTint="A6"/>
    </w:rPr>
  </w:style>
  <w:style w:type="paragraph" w:styleId="9">
    <w:name w:val="heading 9"/>
    <w:basedOn w:val="a"/>
    <w:next w:val="a"/>
    <w:link w:val="9Char"/>
    <w:uiPriority w:val="9"/>
    <w:semiHidden/>
    <w:unhideWhenUsed/>
    <w:qFormat/>
    <w:rsid w:val="00F54997"/>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rsid w:val="00F54997"/>
    <w:pPr>
      <w:jc w:val="left"/>
    </w:pPr>
  </w:style>
  <w:style w:type="paragraph" w:styleId="a4">
    <w:name w:val="Balloon Text"/>
    <w:basedOn w:val="a"/>
    <w:link w:val="Char"/>
    <w:uiPriority w:val="99"/>
    <w:semiHidden/>
    <w:unhideWhenUsed/>
    <w:qFormat/>
    <w:rsid w:val="00F54997"/>
    <w:rPr>
      <w:sz w:val="18"/>
      <w:szCs w:val="18"/>
    </w:rPr>
  </w:style>
  <w:style w:type="paragraph" w:styleId="a5">
    <w:name w:val="footer"/>
    <w:basedOn w:val="a"/>
    <w:link w:val="Char0"/>
    <w:uiPriority w:val="99"/>
    <w:unhideWhenUsed/>
    <w:qFormat/>
    <w:rsid w:val="00F54997"/>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F54997"/>
    <w:pPr>
      <w:tabs>
        <w:tab w:val="center" w:pos="4153"/>
        <w:tab w:val="right" w:pos="8306"/>
      </w:tabs>
      <w:snapToGrid w:val="0"/>
      <w:jc w:val="center"/>
    </w:pPr>
    <w:rPr>
      <w:sz w:val="18"/>
      <w:szCs w:val="18"/>
    </w:rPr>
  </w:style>
  <w:style w:type="paragraph" w:styleId="a7">
    <w:name w:val="Subtitle"/>
    <w:basedOn w:val="a"/>
    <w:next w:val="a"/>
    <w:link w:val="Char2"/>
    <w:uiPriority w:val="11"/>
    <w:qFormat/>
    <w:rsid w:val="00F54997"/>
    <w:pPr>
      <w:spacing w:after="160"/>
      <w:jc w:val="center"/>
    </w:pPr>
    <w:rPr>
      <w:rFonts w:asciiTheme="majorHAnsi" w:eastAsiaTheme="majorEastAsia" w:hAnsiTheme="majorHAnsi" w:cstheme="majorBidi"/>
      <w:color w:val="595959" w:themeColor="text1" w:themeTint="A6"/>
      <w:spacing w:val="15"/>
      <w:sz w:val="28"/>
      <w:szCs w:val="28"/>
    </w:rPr>
  </w:style>
  <w:style w:type="paragraph" w:styleId="a8">
    <w:name w:val="Title"/>
    <w:basedOn w:val="a"/>
    <w:next w:val="a"/>
    <w:link w:val="Char3"/>
    <w:uiPriority w:val="10"/>
    <w:qFormat/>
    <w:rsid w:val="00F54997"/>
    <w:pPr>
      <w:spacing w:after="80"/>
      <w:contextualSpacing/>
      <w:jc w:val="center"/>
    </w:pPr>
    <w:rPr>
      <w:rFonts w:asciiTheme="majorHAnsi" w:eastAsiaTheme="majorEastAsia" w:hAnsiTheme="majorHAnsi" w:cstheme="majorBidi"/>
      <w:spacing w:val="-10"/>
      <w:kern w:val="28"/>
      <w:sz w:val="56"/>
      <w:szCs w:val="56"/>
    </w:rPr>
  </w:style>
  <w:style w:type="table" w:styleId="a9">
    <w:name w:val="Table Grid"/>
    <w:basedOn w:val="a1"/>
    <w:uiPriority w:val="39"/>
    <w:qFormat/>
    <w:rsid w:val="00F549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qFormat/>
    <w:rsid w:val="00F54997"/>
    <w:rPr>
      <w:color w:val="467886" w:themeColor="hyperlink"/>
      <w:u w:val="single"/>
    </w:rPr>
  </w:style>
  <w:style w:type="character" w:styleId="ab">
    <w:name w:val="annotation reference"/>
    <w:basedOn w:val="a0"/>
    <w:uiPriority w:val="99"/>
    <w:semiHidden/>
    <w:unhideWhenUsed/>
    <w:qFormat/>
    <w:rsid w:val="00F54997"/>
    <w:rPr>
      <w:sz w:val="21"/>
      <w:szCs w:val="21"/>
    </w:rPr>
  </w:style>
  <w:style w:type="character" w:customStyle="1" w:styleId="1Char">
    <w:name w:val="标题 1 Char"/>
    <w:basedOn w:val="a0"/>
    <w:link w:val="1"/>
    <w:uiPriority w:val="9"/>
    <w:qFormat/>
    <w:rsid w:val="00F54997"/>
    <w:rPr>
      <w:rFonts w:asciiTheme="majorHAnsi" w:eastAsiaTheme="majorEastAsia" w:hAnsiTheme="majorHAnsi" w:cstheme="majorBidi"/>
      <w:color w:val="0F4761" w:themeColor="accent1" w:themeShade="BF"/>
      <w:sz w:val="48"/>
      <w:szCs w:val="48"/>
    </w:rPr>
  </w:style>
  <w:style w:type="character" w:customStyle="1" w:styleId="2Char">
    <w:name w:val="标题 2 Char"/>
    <w:basedOn w:val="a0"/>
    <w:link w:val="2"/>
    <w:uiPriority w:val="9"/>
    <w:semiHidden/>
    <w:qFormat/>
    <w:rsid w:val="00F54997"/>
    <w:rPr>
      <w:rFonts w:asciiTheme="majorHAnsi" w:eastAsiaTheme="majorEastAsia" w:hAnsiTheme="majorHAnsi" w:cstheme="majorBidi"/>
      <w:color w:val="0F4761" w:themeColor="accent1" w:themeShade="BF"/>
      <w:sz w:val="40"/>
      <w:szCs w:val="40"/>
    </w:rPr>
  </w:style>
  <w:style w:type="character" w:customStyle="1" w:styleId="3Char">
    <w:name w:val="标题 3 Char"/>
    <w:basedOn w:val="a0"/>
    <w:link w:val="3"/>
    <w:uiPriority w:val="9"/>
    <w:semiHidden/>
    <w:qFormat/>
    <w:rsid w:val="00F54997"/>
    <w:rPr>
      <w:rFonts w:asciiTheme="majorHAnsi" w:eastAsiaTheme="majorEastAsia" w:hAnsiTheme="majorHAnsi" w:cstheme="majorBidi"/>
      <w:color w:val="0F4761" w:themeColor="accent1" w:themeShade="BF"/>
      <w:sz w:val="32"/>
      <w:szCs w:val="32"/>
    </w:rPr>
  </w:style>
  <w:style w:type="character" w:customStyle="1" w:styleId="4Char">
    <w:name w:val="标题 4 Char"/>
    <w:basedOn w:val="a0"/>
    <w:link w:val="4"/>
    <w:uiPriority w:val="9"/>
    <w:semiHidden/>
    <w:qFormat/>
    <w:rsid w:val="00F54997"/>
    <w:rPr>
      <w:rFonts w:cstheme="majorBidi"/>
      <w:color w:val="0F4761" w:themeColor="accent1" w:themeShade="BF"/>
      <w:sz w:val="28"/>
      <w:szCs w:val="28"/>
    </w:rPr>
  </w:style>
  <w:style w:type="character" w:customStyle="1" w:styleId="5Char">
    <w:name w:val="标题 5 Char"/>
    <w:basedOn w:val="a0"/>
    <w:link w:val="5"/>
    <w:uiPriority w:val="9"/>
    <w:semiHidden/>
    <w:qFormat/>
    <w:rsid w:val="00F54997"/>
    <w:rPr>
      <w:rFonts w:cstheme="majorBidi"/>
      <w:color w:val="0F4761" w:themeColor="accent1" w:themeShade="BF"/>
      <w:sz w:val="24"/>
      <w:szCs w:val="24"/>
    </w:rPr>
  </w:style>
  <w:style w:type="character" w:customStyle="1" w:styleId="6Char">
    <w:name w:val="标题 6 Char"/>
    <w:basedOn w:val="a0"/>
    <w:link w:val="6"/>
    <w:uiPriority w:val="9"/>
    <w:semiHidden/>
    <w:qFormat/>
    <w:rsid w:val="00F54997"/>
    <w:rPr>
      <w:rFonts w:cstheme="majorBidi"/>
      <w:b/>
      <w:bCs/>
      <w:color w:val="0F4761" w:themeColor="accent1" w:themeShade="BF"/>
    </w:rPr>
  </w:style>
  <w:style w:type="character" w:customStyle="1" w:styleId="7Char">
    <w:name w:val="标题 7 Char"/>
    <w:basedOn w:val="a0"/>
    <w:link w:val="7"/>
    <w:uiPriority w:val="9"/>
    <w:semiHidden/>
    <w:qFormat/>
    <w:rsid w:val="00F54997"/>
    <w:rPr>
      <w:rFonts w:cstheme="majorBidi"/>
      <w:b/>
      <w:bCs/>
      <w:color w:val="595959" w:themeColor="text1" w:themeTint="A6"/>
    </w:rPr>
  </w:style>
  <w:style w:type="character" w:customStyle="1" w:styleId="8Char">
    <w:name w:val="标题 8 Char"/>
    <w:basedOn w:val="a0"/>
    <w:link w:val="8"/>
    <w:uiPriority w:val="9"/>
    <w:semiHidden/>
    <w:qFormat/>
    <w:rsid w:val="00F54997"/>
    <w:rPr>
      <w:rFonts w:cstheme="majorBidi"/>
      <w:color w:val="595959" w:themeColor="text1" w:themeTint="A6"/>
    </w:rPr>
  </w:style>
  <w:style w:type="character" w:customStyle="1" w:styleId="9Char">
    <w:name w:val="标题 9 Char"/>
    <w:basedOn w:val="a0"/>
    <w:link w:val="9"/>
    <w:uiPriority w:val="9"/>
    <w:semiHidden/>
    <w:qFormat/>
    <w:rsid w:val="00F54997"/>
    <w:rPr>
      <w:rFonts w:eastAsiaTheme="majorEastAsia" w:cstheme="majorBidi"/>
      <w:color w:val="595959" w:themeColor="text1" w:themeTint="A6"/>
    </w:rPr>
  </w:style>
  <w:style w:type="character" w:customStyle="1" w:styleId="Char3">
    <w:name w:val="标题 Char"/>
    <w:basedOn w:val="a0"/>
    <w:link w:val="a8"/>
    <w:uiPriority w:val="10"/>
    <w:qFormat/>
    <w:rsid w:val="00F54997"/>
    <w:rPr>
      <w:rFonts w:asciiTheme="majorHAnsi" w:eastAsiaTheme="majorEastAsia" w:hAnsiTheme="majorHAnsi" w:cstheme="majorBidi"/>
      <w:spacing w:val="-10"/>
      <w:kern w:val="28"/>
      <w:sz w:val="56"/>
      <w:szCs w:val="56"/>
    </w:rPr>
  </w:style>
  <w:style w:type="character" w:customStyle="1" w:styleId="Char2">
    <w:name w:val="副标题 Char"/>
    <w:basedOn w:val="a0"/>
    <w:link w:val="a7"/>
    <w:uiPriority w:val="11"/>
    <w:qFormat/>
    <w:rsid w:val="00F54997"/>
    <w:rPr>
      <w:rFonts w:asciiTheme="majorHAnsi" w:eastAsiaTheme="majorEastAsia" w:hAnsiTheme="majorHAnsi" w:cstheme="majorBidi"/>
      <w:color w:val="595959" w:themeColor="text1" w:themeTint="A6"/>
      <w:spacing w:val="15"/>
      <w:sz w:val="28"/>
      <w:szCs w:val="28"/>
    </w:rPr>
  </w:style>
  <w:style w:type="paragraph" w:styleId="ac">
    <w:name w:val="Quote"/>
    <w:basedOn w:val="a"/>
    <w:next w:val="a"/>
    <w:link w:val="Char4"/>
    <w:uiPriority w:val="29"/>
    <w:qFormat/>
    <w:rsid w:val="00F54997"/>
    <w:pPr>
      <w:spacing w:before="160" w:after="160"/>
      <w:jc w:val="center"/>
    </w:pPr>
    <w:rPr>
      <w:i/>
      <w:iCs/>
      <w:color w:val="404040" w:themeColor="text1" w:themeTint="BF"/>
    </w:rPr>
  </w:style>
  <w:style w:type="character" w:customStyle="1" w:styleId="Char4">
    <w:name w:val="引用 Char"/>
    <w:basedOn w:val="a0"/>
    <w:link w:val="ac"/>
    <w:uiPriority w:val="29"/>
    <w:qFormat/>
    <w:rsid w:val="00F54997"/>
    <w:rPr>
      <w:i/>
      <w:iCs/>
      <w:color w:val="404040" w:themeColor="text1" w:themeTint="BF"/>
    </w:rPr>
  </w:style>
  <w:style w:type="paragraph" w:styleId="ad">
    <w:name w:val="List Paragraph"/>
    <w:basedOn w:val="a"/>
    <w:uiPriority w:val="34"/>
    <w:qFormat/>
    <w:rsid w:val="00F54997"/>
    <w:pPr>
      <w:ind w:left="720"/>
      <w:contextualSpacing/>
    </w:pPr>
  </w:style>
  <w:style w:type="character" w:customStyle="1" w:styleId="10">
    <w:name w:val="明显强调1"/>
    <w:basedOn w:val="a0"/>
    <w:uiPriority w:val="21"/>
    <w:qFormat/>
    <w:rsid w:val="00F54997"/>
    <w:rPr>
      <w:i/>
      <w:iCs/>
      <w:color w:val="0F4761" w:themeColor="accent1" w:themeShade="BF"/>
    </w:rPr>
  </w:style>
  <w:style w:type="paragraph" w:styleId="ae">
    <w:name w:val="Intense Quote"/>
    <w:basedOn w:val="a"/>
    <w:next w:val="a"/>
    <w:link w:val="Char5"/>
    <w:uiPriority w:val="30"/>
    <w:qFormat/>
    <w:rsid w:val="00F549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5">
    <w:name w:val="明显引用 Char"/>
    <w:basedOn w:val="a0"/>
    <w:link w:val="ae"/>
    <w:uiPriority w:val="30"/>
    <w:qFormat/>
    <w:rsid w:val="00F54997"/>
    <w:rPr>
      <w:i/>
      <w:iCs/>
      <w:color w:val="0F4761" w:themeColor="accent1" w:themeShade="BF"/>
    </w:rPr>
  </w:style>
  <w:style w:type="character" w:customStyle="1" w:styleId="11">
    <w:name w:val="明显参考1"/>
    <w:basedOn w:val="a0"/>
    <w:uiPriority w:val="32"/>
    <w:qFormat/>
    <w:rsid w:val="00F54997"/>
    <w:rPr>
      <w:b/>
      <w:bCs/>
      <w:smallCaps/>
      <w:color w:val="0F4761" w:themeColor="accent1" w:themeShade="BF"/>
      <w:spacing w:val="5"/>
    </w:rPr>
  </w:style>
  <w:style w:type="character" w:customStyle="1" w:styleId="Char1">
    <w:name w:val="页眉 Char"/>
    <w:basedOn w:val="a0"/>
    <w:link w:val="a6"/>
    <w:uiPriority w:val="99"/>
    <w:qFormat/>
    <w:rsid w:val="00F54997"/>
    <w:rPr>
      <w:sz w:val="18"/>
      <w:szCs w:val="18"/>
    </w:rPr>
  </w:style>
  <w:style w:type="character" w:customStyle="1" w:styleId="Char0">
    <w:name w:val="页脚 Char"/>
    <w:basedOn w:val="a0"/>
    <w:link w:val="a5"/>
    <w:uiPriority w:val="99"/>
    <w:qFormat/>
    <w:rsid w:val="00F54997"/>
    <w:rPr>
      <w:sz w:val="18"/>
      <w:szCs w:val="18"/>
    </w:rPr>
  </w:style>
  <w:style w:type="character" w:customStyle="1" w:styleId="UnresolvedMention">
    <w:name w:val="Unresolved Mention"/>
    <w:basedOn w:val="a0"/>
    <w:uiPriority w:val="99"/>
    <w:semiHidden/>
    <w:unhideWhenUsed/>
    <w:qFormat/>
    <w:rsid w:val="00F54997"/>
    <w:rPr>
      <w:color w:val="605E5C"/>
      <w:shd w:val="clear" w:color="auto" w:fill="E1DFDD"/>
    </w:rPr>
  </w:style>
  <w:style w:type="character" w:customStyle="1" w:styleId="Char">
    <w:name w:val="批注框文本 Char"/>
    <w:basedOn w:val="a0"/>
    <w:link w:val="a4"/>
    <w:uiPriority w:val="99"/>
    <w:semiHidden/>
    <w:qFormat/>
    <w:rsid w:val="00F54997"/>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359</Words>
  <Characters>2051</Characters>
  <Application>Microsoft Office Word</Application>
  <DocSecurity>4</DocSecurity>
  <Lines>17</Lines>
  <Paragraphs>4</Paragraphs>
  <ScaleCrop>false</ScaleCrop>
  <Company/>
  <LinksUpToDate>false</LinksUpToDate>
  <CharactersWithSpaces>2406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肖南</dc:creator>
  <cp:lastModifiedBy>ZHONGM</cp:lastModifiedBy>
  <cp:revision>2</cp:revision>
  <cp:lastPrinted>2025-03-17T09:00:00Z</cp:lastPrinted>
  <dcterms:created xsi:type="dcterms:W3CDTF">2025-03-19T16:02:00Z</dcterms:created>
  <dcterms:modified xsi:type="dcterms:W3CDTF">2025-03-19T16:02:00Z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2052-12.8.2.17838</vt:lpwstr>
  </property>
  <property fmtid="{D5CDD505-2E9C-101B-9397-08002B2CF9AE}" pid="3" name="ICV">
    <vt:lpwstr>5DE21356319E20172EF3D367D5A45677</vt:lpwstr>
  </property>
</Properties>
</file>