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EC" w:rsidRDefault="00185250">
      <w:pPr>
        <w:spacing w:line="360" w:lineRule="auto"/>
        <w:jc w:val="center"/>
        <w:rPr>
          <w:rFonts w:ascii="Calibri" w:eastAsia="宋体" w:hAnsi="Calibri" w:cs="Times New Roman"/>
          <w:b/>
          <w:sz w:val="24"/>
          <w:szCs w:val="24"/>
          <w:shd w:val="clear" w:color="auto" w:fill="FFFFFF"/>
        </w:rPr>
      </w:pPr>
      <w:bookmarkStart w:id="0" w:name="_GoBack"/>
      <w:bookmarkEnd w:id="0"/>
      <w:r>
        <w:rPr>
          <w:rFonts w:ascii="Calibri" w:eastAsia="宋体" w:hAnsi="Calibri" w:cs="Times New Roman" w:hint="eastAsia"/>
          <w:b/>
          <w:sz w:val="24"/>
          <w:szCs w:val="24"/>
          <w:shd w:val="clear" w:color="auto" w:fill="FFFFFF"/>
        </w:rPr>
        <w:t>关于</w:t>
      </w:r>
      <w:bookmarkStart w:id="1" w:name="_Hlk190799510"/>
      <w:r>
        <w:rPr>
          <w:rFonts w:ascii="Calibri" w:eastAsia="宋体" w:hAnsi="Calibri" w:cs="Times New Roman" w:hint="eastAsia"/>
          <w:b/>
          <w:sz w:val="24"/>
          <w:szCs w:val="24"/>
          <w:shd w:val="clear" w:color="auto" w:fill="FFFFFF"/>
        </w:rPr>
        <w:t>兴证全球基金管理有限公司旗下部分指数基金</w:t>
      </w:r>
      <w:bookmarkEnd w:id="1"/>
      <w:r>
        <w:rPr>
          <w:rFonts w:ascii="Calibri" w:eastAsia="宋体" w:hAnsi="Calibri" w:cs="Times New Roman" w:hint="eastAsia"/>
          <w:b/>
          <w:sz w:val="24"/>
          <w:szCs w:val="24"/>
          <w:shd w:val="clear" w:color="auto" w:fill="FFFFFF"/>
        </w:rPr>
        <w:t>指数使用费调整为基金管理人承担并修订基金合同的公告</w:t>
      </w:r>
    </w:p>
    <w:p w:rsidR="00DB10EC" w:rsidRDefault="00DB10EC">
      <w:pPr>
        <w:snapToGrid w:val="0"/>
        <w:spacing w:line="360" w:lineRule="auto"/>
        <w:ind w:firstLineChars="200" w:firstLine="420"/>
        <w:rPr>
          <w:rFonts w:ascii="宋体" w:eastAsia="宋体" w:hAnsi="宋体" w:cs="Times New Roman"/>
        </w:rPr>
      </w:pP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降低投资者的理财成本，经与基金托管人协商一致，自2025年3月21日起，兴证全球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613"/>
        <w:gridCol w:w="3119"/>
        <w:gridCol w:w="1276"/>
      </w:tblGrid>
      <w:tr w:rsidR="00DB10EC">
        <w:trPr>
          <w:trHeight w:val="300"/>
          <w:jc w:val="center"/>
        </w:trPr>
        <w:tc>
          <w:tcPr>
            <w:tcW w:w="644"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4613"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3119"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DB10EC">
        <w:trPr>
          <w:trHeight w:val="300"/>
          <w:jc w:val="center"/>
        </w:trPr>
        <w:tc>
          <w:tcPr>
            <w:tcW w:w="644"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4613" w:type="dxa"/>
            <w:shd w:val="clear" w:color="auto" w:fill="auto"/>
            <w:noWrap/>
            <w:vAlign w:val="center"/>
          </w:tcPr>
          <w:p w:rsidR="00DB10EC" w:rsidRDefault="00185250">
            <w:pPr>
              <w:widowControl/>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兴全沪深</w:t>
            </w:r>
            <w:r>
              <w:rPr>
                <w:rFonts w:ascii="宋体" w:eastAsia="宋体" w:hAnsi="宋体" w:cs="Times New Roman"/>
                <w:color w:val="000000"/>
                <w:kern w:val="0"/>
                <w:szCs w:val="21"/>
              </w:rPr>
              <w:t>300指数增强型证券投资基金（LOF）</w:t>
            </w:r>
          </w:p>
        </w:tc>
        <w:tc>
          <w:tcPr>
            <w:tcW w:w="3119" w:type="dxa"/>
            <w:shd w:val="clear" w:color="auto" w:fill="auto"/>
            <w:noWrap/>
            <w:vAlign w:val="center"/>
          </w:tcPr>
          <w:p w:rsidR="00DB10EC" w:rsidRDefault="00185250">
            <w:pPr>
              <w:widowControl/>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兴</w:t>
            </w:r>
            <w:r>
              <w:rPr>
                <w:rFonts w:ascii="宋体" w:eastAsia="宋体" w:hAnsi="宋体" w:cs="Times New Roman"/>
                <w:color w:val="000000"/>
                <w:kern w:val="0"/>
                <w:szCs w:val="21"/>
              </w:rPr>
              <w:t>全沪深300指数增强</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LOF）</w:t>
            </w:r>
          </w:p>
        </w:tc>
        <w:tc>
          <w:tcPr>
            <w:tcW w:w="1276" w:type="dxa"/>
            <w:shd w:val="clear" w:color="auto" w:fill="auto"/>
            <w:noWrap/>
            <w:vAlign w:val="center"/>
          </w:tcPr>
          <w:p w:rsidR="00DB10EC" w:rsidRDefault="00185250">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163407</w:t>
            </w:r>
          </w:p>
        </w:tc>
      </w:tr>
      <w:tr w:rsidR="00DB10EC">
        <w:trPr>
          <w:trHeight w:val="300"/>
          <w:jc w:val="center"/>
        </w:trPr>
        <w:tc>
          <w:tcPr>
            <w:tcW w:w="644" w:type="dxa"/>
            <w:shd w:val="clear" w:color="auto" w:fill="auto"/>
            <w:noWrap/>
            <w:vAlign w:val="center"/>
          </w:tcPr>
          <w:p w:rsidR="00DB10EC" w:rsidRDefault="00185250">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4613" w:type="dxa"/>
            <w:shd w:val="clear" w:color="auto" w:fill="auto"/>
            <w:vAlign w:val="center"/>
          </w:tcPr>
          <w:p w:rsidR="00DB10EC" w:rsidRDefault="00185250">
            <w:pPr>
              <w:widowControl/>
              <w:jc w:val="left"/>
              <w:rPr>
                <w:rFonts w:ascii="宋体" w:eastAsia="宋体" w:hAnsi="宋体" w:cs="Times New Roman"/>
                <w:kern w:val="0"/>
                <w:szCs w:val="21"/>
              </w:rPr>
            </w:pPr>
            <w:r>
              <w:rPr>
                <w:rFonts w:ascii="宋体" w:eastAsia="宋体" w:hAnsi="宋体" w:cs="Times New Roman" w:hint="eastAsia"/>
                <w:kern w:val="0"/>
                <w:szCs w:val="21"/>
              </w:rPr>
              <w:t>兴全中证</w:t>
            </w:r>
            <w:r>
              <w:rPr>
                <w:rFonts w:ascii="宋体" w:eastAsia="宋体" w:hAnsi="宋体" w:cs="Times New Roman"/>
                <w:kern w:val="0"/>
                <w:szCs w:val="21"/>
              </w:rPr>
              <w:t>800六个月持有期指数增强型证券投资基金</w:t>
            </w:r>
          </w:p>
        </w:tc>
        <w:tc>
          <w:tcPr>
            <w:tcW w:w="3119" w:type="dxa"/>
            <w:shd w:val="clear" w:color="auto" w:fill="auto"/>
            <w:noWrap/>
            <w:vAlign w:val="center"/>
          </w:tcPr>
          <w:p w:rsidR="00DB10EC" w:rsidRDefault="00185250">
            <w:pPr>
              <w:widowControl/>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兴全中证</w:t>
            </w:r>
            <w:r>
              <w:rPr>
                <w:rFonts w:ascii="宋体" w:eastAsia="宋体" w:hAnsi="宋体" w:cs="Times New Roman"/>
                <w:color w:val="000000"/>
                <w:kern w:val="0"/>
                <w:szCs w:val="21"/>
              </w:rPr>
              <w:t>800六个月持有指</w:t>
            </w:r>
            <w:r>
              <w:rPr>
                <w:rFonts w:ascii="宋体" w:eastAsia="宋体" w:hAnsi="宋体" w:cs="Times New Roman" w:hint="eastAsia"/>
                <w:color w:val="000000"/>
                <w:kern w:val="0"/>
                <w:szCs w:val="21"/>
              </w:rPr>
              <w:t>数增强</w:t>
            </w:r>
          </w:p>
        </w:tc>
        <w:tc>
          <w:tcPr>
            <w:tcW w:w="1276" w:type="dxa"/>
            <w:shd w:val="clear" w:color="auto" w:fill="auto"/>
            <w:noWrap/>
            <w:vAlign w:val="center"/>
          </w:tcPr>
          <w:p w:rsidR="00DB10EC" w:rsidRDefault="00185250">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010673</w:t>
            </w:r>
          </w:p>
        </w:tc>
      </w:tr>
    </w:tbl>
    <w:p w:rsidR="00DB10EC" w:rsidRDefault="00DB10EC">
      <w:pPr>
        <w:snapToGrid w:val="0"/>
        <w:spacing w:line="360" w:lineRule="auto"/>
        <w:ind w:firstLineChars="200" w:firstLine="420"/>
        <w:rPr>
          <w:rFonts w:ascii="宋体" w:eastAsia="宋体" w:hAnsi="宋体" w:cs="Times New Roman"/>
          <w:szCs w:val="21"/>
        </w:rPr>
      </w:pP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二、其他事项</w:t>
      </w: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2025年3月21日起生效，修订后的法律文件将依照《信息披露办法》的有关规定在基金管理人网站（</w:t>
      </w:r>
      <w:r>
        <w:rPr>
          <w:rFonts w:ascii="宋体" w:eastAsia="宋体" w:hAnsi="宋体" w:cs="Times New Roman"/>
          <w:szCs w:val="21"/>
        </w:rPr>
        <w:t>www.xqfunds.com</w:t>
      </w:r>
      <w:r>
        <w:rPr>
          <w:rFonts w:ascii="宋体" w:eastAsia="宋体" w:hAnsi="宋体" w:cs="Times New Roman" w:hint="eastAsia"/>
          <w:szCs w:val="21"/>
        </w:rPr>
        <w:t>）和中国证监会基金电子披露网站（http://eid.csrc.gov.cn/fund）发布，投资者可登录查阅。</w:t>
      </w: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如有疑问，投资者可访问本公司网站(</w:t>
      </w:r>
      <w:r>
        <w:rPr>
          <w:rFonts w:ascii="宋体" w:eastAsia="宋体" w:hAnsi="宋体" w:cs="Times New Roman"/>
          <w:szCs w:val="21"/>
        </w:rPr>
        <w:t>www.xqfunds.com</w:t>
      </w:r>
      <w:r>
        <w:rPr>
          <w:rFonts w:ascii="宋体" w:eastAsia="宋体" w:hAnsi="宋体" w:cs="Times New Roman" w:hint="eastAsia"/>
          <w:szCs w:val="21"/>
        </w:rPr>
        <w:t>)或拨打客户服务电话（</w:t>
      </w:r>
      <w:r>
        <w:rPr>
          <w:rFonts w:ascii="宋体" w:eastAsia="宋体" w:hAnsi="宋体" w:cs="Times New Roman"/>
          <w:szCs w:val="21"/>
        </w:rPr>
        <w:t>400-678-0099；021-38824536</w:t>
      </w:r>
      <w:r>
        <w:rPr>
          <w:rFonts w:ascii="宋体" w:eastAsia="宋体" w:hAnsi="宋体" w:cs="Times New Roman" w:hint="eastAsia"/>
          <w:szCs w:val="21"/>
        </w:rPr>
        <w:t>）咨询相关事宜。</w:t>
      </w: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DB10EC" w:rsidRDefault="00185250">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特此公告</w:t>
      </w:r>
    </w:p>
    <w:p w:rsidR="00DB10EC" w:rsidRDefault="00DB10EC">
      <w:pPr>
        <w:snapToGrid w:val="0"/>
        <w:spacing w:line="360" w:lineRule="auto"/>
        <w:ind w:firstLineChars="200" w:firstLine="420"/>
        <w:rPr>
          <w:rFonts w:ascii="宋体" w:eastAsia="宋体" w:hAnsi="宋体" w:cs="Times New Roman"/>
          <w:szCs w:val="21"/>
        </w:rPr>
      </w:pPr>
    </w:p>
    <w:p w:rsidR="00DB10EC" w:rsidRDefault="00DB10EC">
      <w:pPr>
        <w:snapToGrid w:val="0"/>
        <w:spacing w:line="360" w:lineRule="auto"/>
        <w:ind w:firstLineChars="200" w:firstLine="420"/>
        <w:rPr>
          <w:rFonts w:ascii="宋体" w:eastAsia="宋体" w:hAnsi="宋体" w:cs="Times New Roman"/>
          <w:szCs w:val="21"/>
        </w:rPr>
      </w:pPr>
    </w:p>
    <w:p w:rsidR="00DB10EC" w:rsidRDefault="00185250">
      <w:pPr>
        <w:snapToGrid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兴证全球基金管理有限公司</w:t>
      </w:r>
    </w:p>
    <w:p w:rsidR="00DB10EC" w:rsidRDefault="00185250">
      <w:pPr>
        <w:jc w:val="right"/>
        <w:rPr>
          <w:rFonts w:ascii="宋体" w:eastAsia="宋体" w:hAnsi="宋体" w:cs="Times New Roman"/>
          <w:szCs w:val="21"/>
        </w:rPr>
      </w:pPr>
      <w:r>
        <w:rPr>
          <w:rFonts w:ascii="宋体" w:eastAsia="宋体" w:hAnsi="宋体" w:cs="Times New Roman" w:hint="eastAsia"/>
          <w:szCs w:val="21"/>
        </w:rPr>
        <w:t>2025年3月20日</w:t>
      </w:r>
      <w:r>
        <w:rPr>
          <w:rFonts w:ascii="宋体" w:eastAsia="宋体" w:hAnsi="宋体" w:cs="Times New Roman" w:hint="eastAsia"/>
          <w:szCs w:val="21"/>
        </w:rPr>
        <w:br w:type="page"/>
      </w:r>
    </w:p>
    <w:p w:rsidR="00DB10EC" w:rsidRPr="00A22498" w:rsidRDefault="00185250" w:rsidP="00A22498">
      <w:pPr>
        <w:spacing w:line="360" w:lineRule="auto"/>
        <w:rPr>
          <w:rFonts w:ascii="宋体" w:eastAsia="宋体" w:hAnsi="宋体" w:cs="黑体"/>
          <w:sz w:val="22"/>
          <w:szCs w:val="32"/>
        </w:rPr>
      </w:pPr>
      <w:bookmarkStart w:id="2" w:name="_Hlk193127377"/>
      <w:r>
        <w:rPr>
          <w:rFonts w:ascii="宋体" w:eastAsia="宋体" w:hAnsi="宋体" w:cs="黑体"/>
          <w:sz w:val="22"/>
          <w:szCs w:val="32"/>
        </w:rPr>
        <w:lastRenderedPageBreak/>
        <w:t>1.</w:t>
      </w:r>
      <w:r>
        <w:rPr>
          <w:rFonts w:ascii="宋体" w:eastAsia="宋体" w:hAnsi="宋体" w:cs="黑体" w:hint="eastAsia"/>
          <w:sz w:val="22"/>
          <w:szCs w:val="32"/>
        </w:rPr>
        <w:t>《</w:t>
      </w:r>
      <w:r w:rsidRPr="00A22498">
        <w:rPr>
          <w:rFonts w:ascii="宋体" w:eastAsia="宋体" w:hAnsi="宋体" w:cs="黑体" w:hint="eastAsia"/>
          <w:sz w:val="22"/>
          <w:szCs w:val="32"/>
        </w:rPr>
        <w:t>兴全中证</w:t>
      </w:r>
      <w:r w:rsidRPr="00A22498">
        <w:rPr>
          <w:rFonts w:ascii="宋体" w:eastAsia="宋体" w:hAnsi="宋体" w:cs="黑体"/>
          <w:sz w:val="22"/>
          <w:szCs w:val="32"/>
        </w:rPr>
        <w:t>800六个月持有期指数增强型证券投资基金</w:t>
      </w:r>
      <w:r w:rsidRPr="00A22498">
        <w:rPr>
          <w:rFonts w:ascii="宋体" w:eastAsia="宋体" w:hAnsi="宋体" w:cs="黑体" w:hint="eastAsia"/>
          <w:sz w:val="22"/>
          <w:szCs w:val="32"/>
        </w:rPr>
        <w:t>基金合同》修订</w:t>
      </w:r>
      <w:r>
        <w:rPr>
          <w:rFonts w:ascii="宋体" w:eastAsia="宋体" w:hAnsi="宋体" w:cs="黑体" w:hint="eastAsia"/>
          <w:sz w:val="22"/>
          <w:szCs w:val="32"/>
        </w:rPr>
        <w:t>前</w:t>
      </w:r>
      <w:r w:rsidRPr="00A22498">
        <w:rPr>
          <w:rFonts w:ascii="宋体" w:eastAsia="宋体" w:hAnsi="宋体" w:cs="黑体" w:hint="eastAsia"/>
          <w:sz w:val="22"/>
          <w:szCs w:val="32"/>
        </w:rPr>
        <w:t>后对照表</w:t>
      </w:r>
    </w:p>
    <w:tbl>
      <w:tblPr>
        <w:tblStyle w:val="a7"/>
        <w:tblW w:w="9921" w:type="dxa"/>
        <w:jc w:val="center"/>
        <w:tblLayout w:type="fixed"/>
        <w:tblCellMar>
          <w:left w:w="57" w:type="dxa"/>
          <w:right w:w="57" w:type="dxa"/>
        </w:tblCellMar>
        <w:tblLook w:val="04A0"/>
      </w:tblPr>
      <w:tblGrid>
        <w:gridCol w:w="1984"/>
        <w:gridCol w:w="4535"/>
        <w:gridCol w:w="3402"/>
      </w:tblGrid>
      <w:tr w:rsidR="00DB10EC">
        <w:trPr>
          <w:jc w:val="center"/>
        </w:trPr>
        <w:tc>
          <w:tcPr>
            <w:tcW w:w="1984" w:type="dxa"/>
          </w:tcPr>
          <w:p w:rsidR="00DB10EC" w:rsidRDefault="00185250">
            <w:pPr>
              <w:rPr>
                <w:rFonts w:ascii="宋体" w:eastAsia="宋体" w:hAnsi="宋体"/>
              </w:rPr>
            </w:pPr>
            <w:r>
              <w:rPr>
                <w:rFonts w:ascii="宋体" w:eastAsia="宋体" w:hAnsi="宋体" w:hint="eastAsia"/>
              </w:rPr>
              <w:t>《兴全中证</w:t>
            </w:r>
            <w:r>
              <w:rPr>
                <w:rFonts w:ascii="宋体" w:eastAsia="宋体" w:hAnsi="宋体"/>
              </w:rPr>
              <w:t>800六个月持有期指数增强型证券投资基金</w:t>
            </w:r>
            <w:r>
              <w:rPr>
                <w:rFonts w:ascii="宋体" w:eastAsia="宋体" w:hAnsi="宋体" w:hint="eastAsia"/>
              </w:rPr>
              <w:t>基金合同》</w:t>
            </w:r>
          </w:p>
        </w:tc>
        <w:tc>
          <w:tcPr>
            <w:tcW w:w="4535" w:type="dxa"/>
          </w:tcPr>
          <w:p w:rsidR="00DB10EC" w:rsidRDefault="00185250">
            <w:pPr>
              <w:rPr>
                <w:rFonts w:ascii="宋体" w:eastAsia="宋体" w:hAnsi="宋体"/>
              </w:rPr>
            </w:pPr>
            <w:r>
              <w:rPr>
                <w:rFonts w:ascii="宋体" w:eastAsia="宋体" w:hAnsi="宋体" w:hint="eastAsia"/>
              </w:rPr>
              <w:t>修订前</w:t>
            </w:r>
          </w:p>
        </w:tc>
        <w:tc>
          <w:tcPr>
            <w:tcW w:w="3402" w:type="dxa"/>
          </w:tcPr>
          <w:p w:rsidR="00DB10EC" w:rsidRDefault="00185250">
            <w:pPr>
              <w:rPr>
                <w:rFonts w:ascii="宋体" w:eastAsia="宋体" w:hAnsi="宋体"/>
              </w:rPr>
            </w:pPr>
            <w:r>
              <w:rPr>
                <w:rFonts w:ascii="宋体" w:eastAsia="宋体" w:hAnsi="宋体" w:hint="eastAsia"/>
              </w:rPr>
              <w:t>修订后</w:t>
            </w:r>
          </w:p>
        </w:tc>
      </w:tr>
      <w:tr w:rsidR="00DB10EC">
        <w:trPr>
          <w:jc w:val="center"/>
        </w:trPr>
        <w:tc>
          <w:tcPr>
            <w:tcW w:w="1984" w:type="dxa"/>
            <w:vMerge w:val="restart"/>
          </w:tcPr>
          <w:p w:rsidR="00DB10EC" w:rsidRDefault="00185250">
            <w:pPr>
              <w:rPr>
                <w:rFonts w:ascii="宋体" w:eastAsia="宋体" w:hAnsi="宋体"/>
              </w:rPr>
            </w:pPr>
            <w:r>
              <w:rPr>
                <w:rFonts w:ascii="宋体" w:eastAsia="宋体" w:hAnsi="宋体" w:hint="eastAsia"/>
              </w:rPr>
              <w:t>基金费用与税收 章节</w:t>
            </w:r>
          </w:p>
        </w:tc>
        <w:tc>
          <w:tcPr>
            <w:tcW w:w="4535" w:type="dxa"/>
          </w:tcPr>
          <w:p w:rsidR="00DB10EC" w:rsidRDefault="00185250">
            <w:pPr>
              <w:rPr>
                <w:rFonts w:ascii="宋体" w:eastAsia="宋体" w:hAnsi="宋体"/>
              </w:rPr>
            </w:pPr>
            <w:r>
              <w:rPr>
                <w:rFonts w:ascii="宋体" w:eastAsia="宋体" w:hAnsi="宋体" w:hint="eastAsia"/>
              </w:rPr>
              <w:t>一、基金费用的种类</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b/>
                <w:bCs/>
                <w:strike/>
              </w:rPr>
            </w:pPr>
            <w:r>
              <w:rPr>
                <w:rFonts w:ascii="宋体" w:eastAsia="宋体" w:hAnsi="宋体"/>
                <w:b/>
                <w:bCs/>
                <w:strike/>
              </w:rPr>
              <w:t>4、基金合同生效后的标的指数许可使用费；</w:t>
            </w:r>
          </w:p>
          <w:p w:rsidR="00DB10EC" w:rsidRDefault="00185250">
            <w:pPr>
              <w:rPr>
                <w:rFonts w:ascii="宋体" w:eastAsia="宋体" w:hAnsi="宋体"/>
              </w:rPr>
            </w:pPr>
            <w:r>
              <w:rPr>
                <w:rFonts w:ascii="宋体" w:eastAsia="宋体" w:hAnsi="宋体" w:hint="eastAsia"/>
              </w:rPr>
              <w:t>……</w:t>
            </w:r>
          </w:p>
        </w:tc>
        <w:tc>
          <w:tcPr>
            <w:tcW w:w="3402" w:type="dxa"/>
          </w:tcPr>
          <w:p w:rsidR="00DB10EC" w:rsidRDefault="00185250">
            <w:pPr>
              <w:rPr>
                <w:rFonts w:ascii="宋体" w:eastAsia="宋体" w:hAnsi="宋体"/>
              </w:rPr>
            </w:pPr>
            <w:r>
              <w:rPr>
                <w:rFonts w:ascii="宋体" w:eastAsia="宋体" w:hAnsi="宋体" w:hint="eastAsia"/>
              </w:rPr>
              <w:t>一、基金费用的种类</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rPr>
            </w:pPr>
            <w:r>
              <w:rPr>
                <w:rFonts w:ascii="宋体" w:eastAsia="宋体" w:hAnsi="宋体" w:hint="eastAsia"/>
              </w:rPr>
              <w:t>（相应修改后续序号）</w:t>
            </w:r>
          </w:p>
        </w:tc>
      </w:tr>
      <w:tr w:rsidR="00DB10EC">
        <w:trPr>
          <w:jc w:val="center"/>
        </w:trPr>
        <w:tc>
          <w:tcPr>
            <w:tcW w:w="1984" w:type="dxa"/>
            <w:vMerge/>
          </w:tcPr>
          <w:p w:rsidR="00DB10EC" w:rsidRDefault="00DB10EC">
            <w:pPr>
              <w:rPr>
                <w:rFonts w:ascii="宋体" w:eastAsia="宋体" w:hAnsi="宋体"/>
              </w:rPr>
            </w:pPr>
          </w:p>
        </w:tc>
        <w:tc>
          <w:tcPr>
            <w:tcW w:w="4535" w:type="dxa"/>
          </w:tcPr>
          <w:p w:rsidR="00DB10EC" w:rsidRDefault="00185250">
            <w:pPr>
              <w:rPr>
                <w:rFonts w:ascii="宋体" w:eastAsia="宋体" w:hAnsi="宋体"/>
              </w:rPr>
            </w:pPr>
            <w:r>
              <w:rPr>
                <w:rFonts w:ascii="宋体" w:eastAsia="宋体" w:hAnsi="宋体" w:hint="eastAsia"/>
              </w:rPr>
              <w:t>二、基金费用计提方法、计提标准和支付方式</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b/>
                <w:bCs/>
                <w:strike/>
              </w:rPr>
            </w:pPr>
            <w:r>
              <w:rPr>
                <w:rFonts w:ascii="宋体" w:eastAsia="宋体" w:hAnsi="宋体"/>
                <w:b/>
                <w:bCs/>
                <w:strike/>
              </w:rPr>
              <w:t>4、标的指数许可使用费</w:t>
            </w:r>
          </w:p>
          <w:p w:rsidR="00DB10EC" w:rsidRDefault="00185250">
            <w:pPr>
              <w:rPr>
                <w:rFonts w:ascii="宋体" w:eastAsia="宋体" w:hAnsi="宋体"/>
                <w:b/>
                <w:bCs/>
                <w:strike/>
              </w:rPr>
            </w:pPr>
            <w:r>
              <w:rPr>
                <w:rFonts w:ascii="宋体" w:eastAsia="宋体" w:hAnsi="宋体" w:hint="eastAsia"/>
                <w:b/>
                <w:bCs/>
                <w:strike/>
              </w:rPr>
              <w:t>本基金按照基金管理人与标的指数许可方所签订的指数使用许可协议中所规定的指数许可使用费计提方法支付指数许可使用费。其中，基金合同生效前的许可使用固定费不列入基金费用。指数许可使用费的费率、收取下限、具体计算方法及支付方式请参见招募说明书。</w:t>
            </w:r>
          </w:p>
          <w:p w:rsidR="00DB10EC" w:rsidRDefault="00185250">
            <w:pPr>
              <w:rPr>
                <w:rFonts w:ascii="宋体" w:eastAsia="宋体" w:hAnsi="宋体"/>
                <w:b/>
                <w:bCs/>
                <w:strike/>
              </w:rPr>
            </w:pPr>
            <w:r>
              <w:rPr>
                <w:rFonts w:ascii="宋体" w:eastAsia="宋体" w:hAnsi="宋体" w:hint="eastAsia"/>
                <w:b/>
                <w:bCs/>
                <w:strike/>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DB10EC" w:rsidRDefault="00185250">
            <w:pPr>
              <w:rPr>
                <w:rFonts w:ascii="宋体" w:eastAsia="宋体" w:hAnsi="宋体"/>
              </w:rPr>
            </w:pPr>
            <w:r>
              <w:rPr>
                <w:rFonts w:ascii="宋体" w:eastAsia="宋体" w:hAnsi="宋体" w:hint="eastAsia"/>
              </w:rPr>
              <w:t>上述“一、基金费用的种类”中第</w:t>
            </w:r>
            <w:r>
              <w:rPr>
                <w:rFonts w:ascii="宋体" w:eastAsia="宋体" w:hAnsi="宋体"/>
                <w:b/>
                <w:bCs/>
                <w:strike/>
              </w:rPr>
              <w:t>5</w:t>
            </w:r>
            <w:r>
              <w:rPr>
                <w:rFonts w:ascii="宋体" w:eastAsia="宋体" w:hAnsi="宋体" w:hint="eastAsia"/>
                <w:b/>
                <w:bCs/>
                <w:strike/>
              </w:rPr>
              <w:t>－1</w:t>
            </w:r>
            <w:r>
              <w:rPr>
                <w:rFonts w:ascii="宋体" w:eastAsia="宋体" w:hAnsi="宋体"/>
                <w:b/>
                <w:bCs/>
                <w:strike/>
              </w:rPr>
              <w:t>3</w:t>
            </w:r>
            <w:r>
              <w:rPr>
                <w:rFonts w:ascii="宋体" w:eastAsia="宋体" w:hAnsi="宋体" w:hint="eastAsia"/>
              </w:rPr>
              <w:t>项费用，根据有关法规及相应协议规定，按费用实际支出金额列入当期费用，由基金托管人从基金财产中支付。</w:t>
            </w:r>
          </w:p>
        </w:tc>
        <w:tc>
          <w:tcPr>
            <w:tcW w:w="3402" w:type="dxa"/>
          </w:tcPr>
          <w:p w:rsidR="00DB10EC" w:rsidRDefault="00185250">
            <w:pPr>
              <w:rPr>
                <w:rFonts w:ascii="宋体" w:eastAsia="宋体" w:hAnsi="宋体"/>
              </w:rPr>
            </w:pPr>
            <w:r>
              <w:rPr>
                <w:rFonts w:ascii="宋体" w:eastAsia="宋体" w:hAnsi="宋体" w:hint="eastAsia"/>
              </w:rPr>
              <w:t>二、基金费用计提方法、计提标准和支付方式</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rPr>
            </w:pPr>
            <w:r>
              <w:rPr>
                <w:rFonts w:ascii="宋体" w:eastAsia="宋体" w:hAnsi="宋体" w:hint="eastAsia"/>
              </w:rPr>
              <w:t>上述“一、基金费用的种类”中第</w:t>
            </w:r>
            <w:r>
              <w:rPr>
                <w:rFonts w:ascii="宋体" w:eastAsia="宋体" w:hAnsi="宋体"/>
                <w:b/>
                <w:bCs/>
                <w:u w:val="single"/>
              </w:rPr>
              <w:t>4</w:t>
            </w:r>
            <w:r>
              <w:rPr>
                <w:rFonts w:ascii="宋体" w:eastAsia="宋体" w:hAnsi="宋体" w:hint="eastAsia"/>
                <w:b/>
                <w:bCs/>
                <w:u w:val="single"/>
              </w:rPr>
              <w:t>－1</w:t>
            </w:r>
            <w:r>
              <w:rPr>
                <w:rFonts w:ascii="宋体" w:eastAsia="宋体" w:hAnsi="宋体"/>
                <w:b/>
                <w:bCs/>
                <w:u w:val="single"/>
              </w:rPr>
              <w:t>2</w:t>
            </w:r>
            <w:r>
              <w:rPr>
                <w:rFonts w:ascii="宋体" w:eastAsia="宋体" w:hAnsi="宋体" w:hint="eastAsia"/>
              </w:rPr>
              <w:t>项费用，根据有关法规及相应协议规定，按费用实际支出金额列入当期费用，由基金托管人从基金财产中支付。</w:t>
            </w:r>
          </w:p>
        </w:tc>
      </w:tr>
      <w:tr w:rsidR="00DB10EC">
        <w:trPr>
          <w:jc w:val="center"/>
        </w:trPr>
        <w:tc>
          <w:tcPr>
            <w:tcW w:w="1984" w:type="dxa"/>
            <w:vMerge/>
          </w:tcPr>
          <w:p w:rsidR="00DB10EC" w:rsidRDefault="00DB10EC">
            <w:pPr>
              <w:rPr>
                <w:rFonts w:ascii="宋体" w:eastAsia="宋体" w:hAnsi="宋体"/>
              </w:rPr>
            </w:pPr>
          </w:p>
        </w:tc>
        <w:tc>
          <w:tcPr>
            <w:tcW w:w="4535" w:type="dxa"/>
          </w:tcPr>
          <w:p w:rsidR="00DB10EC" w:rsidRDefault="00185250">
            <w:pPr>
              <w:rPr>
                <w:rFonts w:ascii="宋体" w:eastAsia="宋体" w:hAnsi="宋体"/>
              </w:rPr>
            </w:pPr>
            <w:r>
              <w:rPr>
                <w:rFonts w:ascii="宋体" w:eastAsia="宋体" w:hAnsi="宋体" w:hint="eastAsia"/>
              </w:rPr>
              <w:t>三、不列入基金费用的项目</w:t>
            </w:r>
          </w:p>
          <w:p w:rsidR="00DB10EC" w:rsidRDefault="00185250">
            <w:pPr>
              <w:rPr>
                <w:rFonts w:ascii="宋体" w:eastAsia="宋体" w:hAnsi="宋体"/>
              </w:rPr>
            </w:pPr>
            <w:r>
              <w:rPr>
                <w:rFonts w:ascii="宋体" w:eastAsia="宋体" w:hAnsi="宋体" w:hint="eastAsia"/>
              </w:rPr>
              <w:t>下列费用不列入基金费用：</w:t>
            </w:r>
          </w:p>
          <w:p w:rsidR="00DB10EC" w:rsidRDefault="00185250">
            <w:pPr>
              <w:rPr>
                <w:rFonts w:ascii="宋体" w:eastAsia="宋体" w:hAnsi="宋体"/>
              </w:rPr>
            </w:pPr>
            <w:r>
              <w:rPr>
                <w:rFonts w:ascii="宋体" w:eastAsia="宋体" w:hAnsi="宋体" w:hint="eastAsia"/>
              </w:rPr>
              <w:t>1、基金管理人和基金托管人因未履行或未完全履行义务导致的费用支出或基金财产的损失；</w:t>
            </w:r>
          </w:p>
          <w:p w:rsidR="00DB10EC" w:rsidRDefault="00185250">
            <w:pPr>
              <w:rPr>
                <w:rFonts w:ascii="宋体" w:eastAsia="宋体" w:hAnsi="宋体"/>
              </w:rPr>
            </w:pPr>
            <w:r>
              <w:rPr>
                <w:rFonts w:ascii="宋体" w:eastAsia="宋体" w:hAnsi="宋体" w:hint="eastAsia"/>
              </w:rPr>
              <w:t>2、基金管理人和基金托管人处理与基金运作无关的事项发生的费用；</w:t>
            </w:r>
          </w:p>
          <w:p w:rsidR="00DB10EC" w:rsidRDefault="00185250">
            <w:pPr>
              <w:rPr>
                <w:rFonts w:ascii="宋体" w:eastAsia="宋体" w:hAnsi="宋体"/>
              </w:rPr>
            </w:pPr>
            <w:r>
              <w:rPr>
                <w:rFonts w:ascii="宋体" w:eastAsia="宋体" w:hAnsi="宋体" w:hint="eastAsia"/>
              </w:rPr>
              <w:t>3、《基金合同》生效前的相关费用；</w:t>
            </w:r>
          </w:p>
          <w:p w:rsidR="00DB10EC" w:rsidRDefault="00185250">
            <w:pPr>
              <w:rPr>
                <w:rFonts w:ascii="宋体" w:eastAsia="宋体" w:hAnsi="宋体"/>
              </w:rPr>
            </w:pPr>
            <w:r>
              <w:rPr>
                <w:rFonts w:ascii="宋体" w:eastAsia="宋体" w:hAnsi="宋体" w:hint="eastAsia"/>
              </w:rPr>
              <w:t>4、其他根据相关法律法规及中国证监会的有关规定不得列入基金费用的项目。</w:t>
            </w:r>
          </w:p>
        </w:tc>
        <w:tc>
          <w:tcPr>
            <w:tcW w:w="3402" w:type="dxa"/>
          </w:tcPr>
          <w:p w:rsidR="00DB10EC" w:rsidRDefault="00185250">
            <w:pPr>
              <w:rPr>
                <w:rFonts w:ascii="宋体" w:eastAsia="宋体" w:hAnsi="宋体"/>
              </w:rPr>
            </w:pPr>
            <w:r>
              <w:rPr>
                <w:rFonts w:ascii="宋体" w:eastAsia="宋体" w:hAnsi="宋体" w:hint="eastAsia"/>
              </w:rPr>
              <w:t>三、不列入基金费用的项目</w:t>
            </w:r>
          </w:p>
          <w:p w:rsidR="00DB10EC" w:rsidRDefault="00185250">
            <w:pPr>
              <w:rPr>
                <w:rFonts w:ascii="宋体" w:eastAsia="宋体" w:hAnsi="宋体"/>
              </w:rPr>
            </w:pPr>
            <w:r>
              <w:rPr>
                <w:rFonts w:ascii="宋体" w:eastAsia="宋体" w:hAnsi="宋体" w:hint="eastAsia"/>
              </w:rPr>
              <w:t>下列费用不列入基金费用：</w:t>
            </w:r>
          </w:p>
          <w:p w:rsidR="00DB10EC" w:rsidRDefault="00185250">
            <w:pPr>
              <w:rPr>
                <w:rFonts w:ascii="宋体" w:eastAsia="宋体" w:hAnsi="宋体"/>
              </w:rPr>
            </w:pPr>
            <w:r>
              <w:rPr>
                <w:rFonts w:ascii="宋体" w:eastAsia="宋体" w:hAnsi="宋体" w:hint="eastAsia"/>
              </w:rPr>
              <w:t>1、基金管理人和基金托管人因未履行或未完全履行义务导致的费用支出或基金财产的损失；</w:t>
            </w:r>
          </w:p>
          <w:p w:rsidR="00DB10EC" w:rsidRDefault="00185250">
            <w:pPr>
              <w:rPr>
                <w:rFonts w:ascii="宋体" w:eastAsia="宋体" w:hAnsi="宋体"/>
              </w:rPr>
            </w:pPr>
            <w:r>
              <w:rPr>
                <w:rFonts w:ascii="宋体" w:eastAsia="宋体" w:hAnsi="宋体" w:hint="eastAsia"/>
              </w:rPr>
              <w:t>2、基金管理人和基金托管人处理与基金运作无关的事项发生的费用；</w:t>
            </w:r>
          </w:p>
          <w:p w:rsidR="00DB10EC" w:rsidRDefault="00185250">
            <w:pPr>
              <w:rPr>
                <w:rFonts w:ascii="宋体" w:eastAsia="宋体" w:hAnsi="宋体"/>
              </w:rPr>
            </w:pPr>
            <w:r>
              <w:rPr>
                <w:rFonts w:ascii="宋体" w:eastAsia="宋体" w:hAnsi="宋体" w:hint="eastAsia"/>
              </w:rPr>
              <w:t>3、《基金合同》生效前的相关费用；</w:t>
            </w:r>
          </w:p>
          <w:p w:rsidR="00DB10EC" w:rsidRDefault="00185250">
            <w:pPr>
              <w:rPr>
                <w:rFonts w:ascii="宋体" w:eastAsia="宋体" w:hAnsi="宋体"/>
                <w:b/>
                <w:bCs/>
                <w:u w:val="single"/>
              </w:rPr>
            </w:pPr>
            <w:r>
              <w:rPr>
                <w:rFonts w:ascii="宋体" w:eastAsia="宋体" w:hAnsi="宋体" w:hint="eastAsia"/>
                <w:b/>
                <w:bCs/>
                <w:u w:val="single"/>
              </w:rPr>
              <w:t>4、标的指数许可使用费。标的指数许可使用费由基金管理人承担，不得从基金财产中列支；</w:t>
            </w:r>
          </w:p>
          <w:p w:rsidR="00DB10EC" w:rsidRDefault="00185250">
            <w:pPr>
              <w:rPr>
                <w:rFonts w:ascii="宋体" w:eastAsia="宋体" w:hAnsi="宋体"/>
              </w:rPr>
            </w:pPr>
            <w:r>
              <w:rPr>
                <w:rFonts w:ascii="宋体" w:eastAsia="宋体" w:hAnsi="宋体" w:hint="eastAsia"/>
              </w:rPr>
              <w:t>5、其他根据相关法律法规及中国证监会的有关规定不得列入基金费用的项目。</w:t>
            </w:r>
          </w:p>
        </w:tc>
      </w:tr>
    </w:tbl>
    <w:p w:rsidR="00DB10EC" w:rsidRDefault="00185250">
      <w:pPr>
        <w:spacing w:line="360" w:lineRule="auto"/>
        <w:ind w:firstLineChars="200" w:firstLine="420"/>
        <w:rPr>
          <w:rFonts w:ascii="宋体" w:eastAsia="宋体" w:hAnsi="宋体"/>
        </w:rPr>
      </w:pPr>
      <w:r>
        <w:rPr>
          <w:rFonts w:ascii="宋体" w:eastAsia="宋体" w:hAnsi="宋体" w:hint="eastAsia"/>
        </w:rPr>
        <w:t>基金合同摘要、托管协议（如涉及）、招募说明书、基金产品资料概要（如涉及）等相应修订。</w:t>
      </w:r>
      <w:bookmarkEnd w:id="2"/>
    </w:p>
    <w:p w:rsidR="00DB10EC" w:rsidRDefault="00DB10EC">
      <w:pPr>
        <w:spacing w:line="360" w:lineRule="auto"/>
        <w:ind w:firstLineChars="200" w:firstLine="420"/>
        <w:rPr>
          <w:rFonts w:ascii="宋体" w:eastAsia="宋体" w:hAnsi="宋体"/>
        </w:rPr>
      </w:pPr>
    </w:p>
    <w:p w:rsidR="00DB10EC" w:rsidRPr="00A22498" w:rsidRDefault="00185250" w:rsidP="00A22498">
      <w:pPr>
        <w:spacing w:line="360" w:lineRule="auto"/>
        <w:rPr>
          <w:rFonts w:ascii="宋体" w:eastAsia="宋体" w:hAnsi="宋体" w:cs="黑体"/>
          <w:sz w:val="22"/>
          <w:szCs w:val="32"/>
        </w:rPr>
      </w:pPr>
      <w:r w:rsidRPr="00A22498">
        <w:rPr>
          <w:rFonts w:ascii="宋体" w:eastAsia="宋体" w:hAnsi="宋体" w:cs="黑体"/>
          <w:sz w:val="22"/>
          <w:szCs w:val="32"/>
        </w:rPr>
        <w:t>2.</w:t>
      </w:r>
      <w:r w:rsidRPr="00A22498">
        <w:rPr>
          <w:rFonts w:ascii="宋体" w:eastAsia="宋体" w:hAnsi="宋体" w:cs="黑体" w:hint="eastAsia"/>
          <w:sz w:val="22"/>
          <w:szCs w:val="32"/>
        </w:rPr>
        <w:t>《兴全沪深</w:t>
      </w:r>
      <w:r w:rsidRPr="00A22498">
        <w:rPr>
          <w:rFonts w:ascii="宋体" w:eastAsia="宋体" w:hAnsi="宋体" w:cs="黑体"/>
          <w:sz w:val="22"/>
          <w:szCs w:val="32"/>
        </w:rPr>
        <w:t>300指数增强型证券投资基金（LOF）</w:t>
      </w:r>
      <w:r w:rsidRPr="00A22498">
        <w:rPr>
          <w:rFonts w:ascii="宋体" w:eastAsia="宋体" w:hAnsi="宋体" w:cs="黑体" w:hint="eastAsia"/>
          <w:sz w:val="22"/>
          <w:szCs w:val="32"/>
        </w:rPr>
        <w:t>基金合同》</w:t>
      </w:r>
      <w:r>
        <w:rPr>
          <w:rFonts w:ascii="宋体" w:eastAsia="宋体" w:hAnsi="宋体" w:cs="黑体" w:hint="eastAsia"/>
          <w:sz w:val="22"/>
          <w:szCs w:val="32"/>
        </w:rPr>
        <w:t>修订前后对照表</w:t>
      </w:r>
    </w:p>
    <w:tbl>
      <w:tblPr>
        <w:tblStyle w:val="a7"/>
        <w:tblW w:w="9921" w:type="dxa"/>
        <w:jc w:val="center"/>
        <w:tblLayout w:type="fixed"/>
        <w:tblCellMar>
          <w:left w:w="57" w:type="dxa"/>
          <w:right w:w="57" w:type="dxa"/>
        </w:tblCellMar>
        <w:tblLook w:val="04A0"/>
      </w:tblPr>
      <w:tblGrid>
        <w:gridCol w:w="1984"/>
        <w:gridCol w:w="4535"/>
        <w:gridCol w:w="3402"/>
      </w:tblGrid>
      <w:tr w:rsidR="00DB10EC">
        <w:trPr>
          <w:jc w:val="center"/>
        </w:trPr>
        <w:tc>
          <w:tcPr>
            <w:tcW w:w="1984" w:type="dxa"/>
          </w:tcPr>
          <w:p w:rsidR="00DB10EC" w:rsidRDefault="00185250">
            <w:pPr>
              <w:rPr>
                <w:rFonts w:ascii="宋体" w:eastAsia="宋体" w:hAnsi="宋体"/>
              </w:rPr>
            </w:pPr>
            <w:r>
              <w:rPr>
                <w:rFonts w:ascii="宋体" w:eastAsia="宋体" w:hAnsi="宋体" w:hint="eastAsia"/>
              </w:rPr>
              <w:t>《兴全沪深</w:t>
            </w:r>
            <w:r>
              <w:rPr>
                <w:rFonts w:ascii="宋体" w:eastAsia="宋体" w:hAnsi="宋体"/>
              </w:rPr>
              <w:t>300指数增强型证券投资基金（LOF）</w:t>
            </w:r>
            <w:r>
              <w:rPr>
                <w:rFonts w:ascii="宋体" w:eastAsia="宋体" w:hAnsi="宋体" w:hint="eastAsia"/>
              </w:rPr>
              <w:t>基金合同》</w:t>
            </w:r>
          </w:p>
        </w:tc>
        <w:tc>
          <w:tcPr>
            <w:tcW w:w="4535" w:type="dxa"/>
          </w:tcPr>
          <w:p w:rsidR="00DB10EC" w:rsidRDefault="00185250">
            <w:pPr>
              <w:rPr>
                <w:rFonts w:ascii="宋体" w:eastAsia="宋体" w:hAnsi="宋体"/>
              </w:rPr>
            </w:pPr>
            <w:r>
              <w:rPr>
                <w:rFonts w:ascii="宋体" w:eastAsia="宋体" w:hAnsi="宋体" w:hint="eastAsia"/>
              </w:rPr>
              <w:t>修订前</w:t>
            </w:r>
          </w:p>
        </w:tc>
        <w:tc>
          <w:tcPr>
            <w:tcW w:w="3402" w:type="dxa"/>
          </w:tcPr>
          <w:p w:rsidR="00DB10EC" w:rsidRDefault="00185250">
            <w:pPr>
              <w:rPr>
                <w:rFonts w:ascii="宋体" w:eastAsia="宋体" w:hAnsi="宋体"/>
              </w:rPr>
            </w:pPr>
            <w:r>
              <w:rPr>
                <w:rFonts w:ascii="宋体" w:eastAsia="宋体" w:hAnsi="宋体" w:hint="eastAsia"/>
              </w:rPr>
              <w:t>修订后</w:t>
            </w:r>
          </w:p>
        </w:tc>
      </w:tr>
      <w:tr w:rsidR="00DB10EC">
        <w:trPr>
          <w:jc w:val="center"/>
        </w:trPr>
        <w:tc>
          <w:tcPr>
            <w:tcW w:w="1984" w:type="dxa"/>
            <w:vMerge w:val="restart"/>
          </w:tcPr>
          <w:p w:rsidR="00DB10EC" w:rsidRDefault="00185250">
            <w:pPr>
              <w:rPr>
                <w:rFonts w:ascii="宋体" w:eastAsia="宋体" w:hAnsi="宋体"/>
              </w:rPr>
            </w:pPr>
            <w:r>
              <w:rPr>
                <w:rFonts w:ascii="宋体" w:eastAsia="宋体" w:hAnsi="宋体" w:hint="eastAsia"/>
              </w:rPr>
              <w:t>基金的费用与税收 章节</w:t>
            </w:r>
          </w:p>
        </w:tc>
        <w:tc>
          <w:tcPr>
            <w:tcW w:w="4535" w:type="dxa"/>
          </w:tcPr>
          <w:p w:rsidR="00DB10EC" w:rsidRDefault="00185250">
            <w:pPr>
              <w:rPr>
                <w:rFonts w:ascii="宋体" w:eastAsia="宋体" w:hAnsi="宋体"/>
              </w:rPr>
            </w:pPr>
            <w:r>
              <w:rPr>
                <w:rFonts w:ascii="宋体" w:eastAsia="宋体" w:hAnsi="宋体" w:hint="eastAsia"/>
              </w:rPr>
              <w:t>一、基金费用的种类</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b/>
                <w:bCs/>
                <w:strike/>
              </w:rPr>
            </w:pPr>
            <w:r>
              <w:rPr>
                <w:rFonts w:ascii="宋体" w:eastAsia="宋体" w:hAnsi="宋体"/>
                <w:b/>
                <w:bCs/>
                <w:strike/>
              </w:rPr>
              <w:t>9、与基金使用相关指数有关的费用；</w:t>
            </w:r>
          </w:p>
          <w:p w:rsidR="00DB10EC" w:rsidRDefault="00185250">
            <w:pPr>
              <w:rPr>
                <w:rFonts w:ascii="宋体" w:eastAsia="宋体" w:hAnsi="宋体"/>
              </w:rPr>
            </w:pPr>
            <w:r>
              <w:rPr>
                <w:rFonts w:ascii="宋体" w:eastAsia="宋体" w:hAnsi="宋体" w:hint="eastAsia"/>
              </w:rPr>
              <w:t>……</w:t>
            </w:r>
          </w:p>
        </w:tc>
        <w:tc>
          <w:tcPr>
            <w:tcW w:w="3402" w:type="dxa"/>
          </w:tcPr>
          <w:p w:rsidR="00DB10EC" w:rsidRDefault="00185250">
            <w:pPr>
              <w:rPr>
                <w:rFonts w:ascii="宋体" w:eastAsia="宋体" w:hAnsi="宋体"/>
              </w:rPr>
            </w:pPr>
            <w:r>
              <w:rPr>
                <w:rFonts w:ascii="宋体" w:eastAsia="宋体" w:hAnsi="宋体" w:hint="eastAsia"/>
              </w:rPr>
              <w:t>一、基金费用的种类</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rPr>
            </w:pPr>
            <w:r>
              <w:rPr>
                <w:rFonts w:ascii="宋体" w:eastAsia="宋体" w:hAnsi="宋体" w:hint="eastAsia"/>
              </w:rPr>
              <w:t>（相应修改后续序号）</w:t>
            </w:r>
          </w:p>
        </w:tc>
      </w:tr>
      <w:tr w:rsidR="00DB10EC">
        <w:trPr>
          <w:jc w:val="center"/>
        </w:trPr>
        <w:tc>
          <w:tcPr>
            <w:tcW w:w="1984" w:type="dxa"/>
            <w:vMerge/>
          </w:tcPr>
          <w:p w:rsidR="00DB10EC" w:rsidRDefault="00DB10EC">
            <w:pPr>
              <w:rPr>
                <w:rFonts w:ascii="宋体" w:eastAsia="宋体" w:hAnsi="宋体"/>
              </w:rPr>
            </w:pPr>
          </w:p>
        </w:tc>
        <w:tc>
          <w:tcPr>
            <w:tcW w:w="4535" w:type="dxa"/>
          </w:tcPr>
          <w:p w:rsidR="00DB10EC" w:rsidRDefault="00185250">
            <w:pPr>
              <w:rPr>
                <w:rFonts w:ascii="宋体" w:eastAsia="宋体" w:hAnsi="宋体"/>
              </w:rPr>
            </w:pPr>
            <w:r>
              <w:rPr>
                <w:rFonts w:ascii="宋体" w:eastAsia="宋体" w:hAnsi="宋体" w:hint="eastAsia"/>
              </w:rPr>
              <w:t>（三）基金费用计提方法、计提标准和支付方式</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b/>
                <w:bCs/>
                <w:strike/>
              </w:rPr>
            </w:pPr>
            <w:r>
              <w:rPr>
                <w:rFonts w:ascii="宋体" w:eastAsia="宋体" w:hAnsi="宋体"/>
                <w:b/>
                <w:bCs/>
                <w:strike/>
              </w:rPr>
              <w:t>4、基金指数使用费用</w:t>
            </w:r>
          </w:p>
          <w:p w:rsidR="00DB10EC" w:rsidRDefault="00185250">
            <w:pPr>
              <w:rPr>
                <w:rFonts w:ascii="宋体" w:eastAsia="宋体" w:hAnsi="宋体"/>
                <w:b/>
                <w:bCs/>
                <w:strike/>
              </w:rPr>
            </w:pPr>
            <w:r>
              <w:rPr>
                <w:rFonts w:ascii="宋体" w:eastAsia="宋体" w:hAnsi="宋体" w:hint="eastAsia"/>
                <w:b/>
                <w:bCs/>
                <w:strike/>
              </w:rPr>
              <w:t>基金管理人可与指数许可方签订书面协议，约定指数使用的费用及支付方式。指数使用费用包括指数许可使用固定费和指数许可使用基点费。其中，指数许可使用固定费是为获取使用指数开发基金而支付的一次性费用，不列入基金费用；每季度指数许可使用基点费的下限为</w:t>
            </w:r>
            <w:r>
              <w:rPr>
                <w:rFonts w:ascii="宋体" w:eastAsia="宋体" w:hAnsi="宋体"/>
                <w:b/>
                <w:bCs/>
                <w:strike/>
              </w:rPr>
              <w:t>5万元，在通常情况下，许可使用基点费按前一日的基金资产净值的0.016%年费率计提，从基金财产中列支，每日计算，逐日累计，按季支付，计算方法如下：</w:t>
            </w:r>
          </w:p>
          <w:p w:rsidR="00DB10EC" w:rsidRDefault="00185250">
            <w:pPr>
              <w:rPr>
                <w:rFonts w:ascii="宋体" w:eastAsia="宋体" w:hAnsi="宋体"/>
                <w:b/>
                <w:bCs/>
                <w:strike/>
              </w:rPr>
            </w:pPr>
            <w:r>
              <w:rPr>
                <w:rFonts w:ascii="宋体" w:eastAsia="宋体" w:hAnsi="宋体"/>
                <w:b/>
                <w:bCs/>
                <w:strike/>
              </w:rPr>
              <w:t>H=E×0.016％/当年天数 （H 为每日应付的指数许可使用基点费，E 为前一日的基金资产净值）</w:t>
            </w:r>
          </w:p>
          <w:p w:rsidR="00DB10EC" w:rsidRDefault="00185250">
            <w:pPr>
              <w:rPr>
                <w:rFonts w:ascii="宋体" w:eastAsia="宋体" w:hAnsi="宋体"/>
              </w:rPr>
            </w:pPr>
            <w:r>
              <w:rPr>
                <w:rFonts w:ascii="宋体" w:eastAsia="宋体" w:hAnsi="宋体"/>
                <w:b/>
                <w:bCs/>
                <w:strike/>
              </w:rPr>
              <w:t>5、</w:t>
            </w:r>
            <w:r>
              <w:rPr>
                <w:rFonts w:ascii="宋体" w:eastAsia="宋体" w:hAnsi="宋体"/>
                <w:bCs/>
              </w:rPr>
              <w:t>上述（一）中4到</w:t>
            </w:r>
            <w:r>
              <w:rPr>
                <w:rFonts w:ascii="宋体" w:eastAsia="宋体" w:hAnsi="宋体"/>
                <w:b/>
                <w:bCs/>
                <w:strike/>
              </w:rPr>
              <w:t>10</w:t>
            </w:r>
            <w:r>
              <w:rPr>
                <w:rFonts w:ascii="宋体" w:eastAsia="宋体" w:hAnsi="宋体"/>
                <w:bCs/>
              </w:rPr>
              <w:t>项费用由基金托管人根据其他有关法律法规及相应协议的规定，按费用支出金额支付，列入或摊入当期基金费用。</w:t>
            </w:r>
          </w:p>
        </w:tc>
        <w:tc>
          <w:tcPr>
            <w:tcW w:w="3402" w:type="dxa"/>
          </w:tcPr>
          <w:p w:rsidR="00DB10EC" w:rsidRDefault="00185250">
            <w:pPr>
              <w:rPr>
                <w:rFonts w:ascii="宋体" w:eastAsia="宋体" w:hAnsi="宋体"/>
              </w:rPr>
            </w:pPr>
            <w:r>
              <w:rPr>
                <w:rFonts w:ascii="宋体" w:eastAsia="宋体" w:hAnsi="宋体" w:hint="eastAsia"/>
              </w:rPr>
              <w:t>（三）基金费用计提方法、计提标准和支付方式</w:t>
            </w:r>
          </w:p>
          <w:p w:rsidR="00DB10EC" w:rsidRDefault="00185250">
            <w:pPr>
              <w:rPr>
                <w:rFonts w:ascii="宋体" w:eastAsia="宋体" w:hAnsi="宋体"/>
              </w:rPr>
            </w:pPr>
            <w:r>
              <w:rPr>
                <w:rFonts w:ascii="宋体" w:eastAsia="宋体" w:hAnsi="宋体" w:hint="eastAsia"/>
              </w:rPr>
              <w:t>……</w:t>
            </w:r>
          </w:p>
          <w:p w:rsidR="00DB10EC" w:rsidRDefault="00185250">
            <w:pPr>
              <w:rPr>
                <w:rFonts w:ascii="宋体" w:eastAsia="宋体" w:hAnsi="宋体"/>
              </w:rPr>
            </w:pPr>
            <w:r>
              <w:rPr>
                <w:rFonts w:ascii="宋体" w:eastAsia="宋体" w:hAnsi="宋体"/>
                <w:b/>
                <w:u w:val="single"/>
              </w:rPr>
              <w:t>4</w:t>
            </w:r>
            <w:r>
              <w:rPr>
                <w:rFonts w:ascii="宋体" w:eastAsia="宋体" w:hAnsi="宋体"/>
              </w:rPr>
              <w:t>、上述（一）中4到</w:t>
            </w:r>
            <w:r>
              <w:rPr>
                <w:rFonts w:ascii="宋体" w:eastAsia="宋体" w:hAnsi="宋体"/>
                <w:b/>
                <w:u w:val="single"/>
              </w:rPr>
              <w:t>9</w:t>
            </w:r>
            <w:r>
              <w:rPr>
                <w:rFonts w:ascii="宋体" w:eastAsia="宋体" w:hAnsi="宋体"/>
              </w:rPr>
              <w:t>项费用由基金托管人根据其他有关法律法规及相应协议的规定，按费用支出金额支付，列入或摊入当期基金费用。</w:t>
            </w:r>
          </w:p>
        </w:tc>
      </w:tr>
      <w:tr w:rsidR="00DB10EC">
        <w:trPr>
          <w:jc w:val="center"/>
        </w:trPr>
        <w:tc>
          <w:tcPr>
            <w:tcW w:w="1984" w:type="dxa"/>
            <w:vMerge/>
          </w:tcPr>
          <w:p w:rsidR="00DB10EC" w:rsidRDefault="00DB10EC">
            <w:pPr>
              <w:rPr>
                <w:rFonts w:ascii="宋体" w:eastAsia="宋体" w:hAnsi="宋体"/>
              </w:rPr>
            </w:pPr>
          </w:p>
        </w:tc>
        <w:tc>
          <w:tcPr>
            <w:tcW w:w="4535" w:type="dxa"/>
          </w:tcPr>
          <w:p w:rsidR="00DB10EC" w:rsidRDefault="00185250">
            <w:pPr>
              <w:rPr>
                <w:rFonts w:ascii="宋体" w:eastAsia="宋体" w:hAnsi="宋体"/>
              </w:rPr>
            </w:pPr>
            <w:r>
              <w:rPr>
                <w:rFonts w:ascii="宋体" w:eastAsia="宋体" w:hAnsi="宋体" w:hint="eastAsia"/>
              </w:rPr>
              <w:t>（四）不列入基金费用的项目</w:t>
            </w:r>
          </w:p>
          <w:p w:rsidR="00DB10EC" w:rsidRDefault="00185250">
            <w:pPr>
              <w:rPr>
                <w:rFonts w:ascii="宋体" w:eastAsia="宋体" w:hAnsi="宋体"/>
              </w:rPr>
            </w:pPr>
            <w:r>
              <w:rPr>
                <w:rFonts w:ascii="宋体" w:eastAsia="宋体" w:hAnsi="宋体" w:hint="eastAsia"/>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DB10EC" w:rsidRDefault="00DB10EC">
            <w:pPr>
              <w:rPr>
                <w:rFonts w:ascii="宋体" w:eastAsia="宋体" w:hAnsi="宋体"/>
              </w:rPr>
            </w:pPr>
          </w:p>
        </w:tc>
        <w:tc>
          <w:tcPr>
            <w:tcW w:w="3402" w:type="dxa"/>
          </w:tcPr>
          <w:p w:rsidR="00DB10EC" w:rsidRDefault="00185250">
            <w:pPr>
              <w:rPr>
                <w:rFonts w:ascii="宋体" w:eastAsia="宋体" w:hAnsi="宋体"/>
              </w:rPr>
            </w:pPr>
            <w:r>
              <w:rPr>
                <w:rFonts w:ascii="宋体" w:eastAsia="宋体" w:hAnsi="宋体" w:hint="eastAsia"/>
              </w:rPr>
              <w:t>（四）不列入基金费用的项目</w:t>
            </w:r>
          </w:p>
          <w:p w:rsidR="00DB10EC" w:rsidRDefault="00185250">
            <w:pPr>
              <w:rPr>
                <w:rFonts w:ascii="宋体" w:eastAsia="宋体" w:hAnsi="宋体"/>
              </w:rPr>
            </w:pPr>
            <w:r>
              <w:rPr>
                <w:rFonts w:ascii="宋体" w:eastAsia="宋体" w:hAnsi="宋体" w:hint="eastAsia"/>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DB10EC" w:rsidRDefault="00185250">
            <w:pPr>
              <w:rPr>
                <w:rFonts w:ascii="宋体" w:eastAsia="宋体" w:hAnsi="宋体"/>
                <w:b/>
              </w:rPr>
            </w:pPr>
            <w:r>
              <w:rPr>
                <w:rFonts w:ascii="宋体" w:eastAsia="宋体" w:hAnsi="宋体" w:hint="eastAsia"/>
                <w:b/>
              </w:rPr>
              <w:t>标的指数许可使用费由基金管理人承担，不得从基金财产中列支。</w:t>
            </w:r>
          </w:p>
        </w:tc>
      </w:tr>
    </w:tbl>
    <w:p w:rsidR="00DB10EC" w:rsidRDefault="00185250">
      <w:pPr>
        <w:spacing w:line="360" w:lineRule="auto"/>
        <w:ind w:firstLineChars="200" w:firstLine="420"/>
        <w:rPr>
          <w:rFonts w:ascii="宋体" w:eastAsia="宋体" w:hAnsi="宋体"/>
        </w:rPr>
      </w:pPr>
      <w:r>
        <w:rPr>
          <w:rFonts w:ascii="宋体" w:eastAsia="宋体" w:hAnsi="宋体" w:hint="eastAsia"/>
        </w:rPr>
        <w:t>基金合同摘要、托管协议（如涉及）、招募说明书、基金产品资料概要（如涉及）等相应修订。</w:t>
      </w:r>
    </w:p>
    <w:p w:rsidR="00DB10EC" w:rsidRDefault="00DB10EC">
      <w:pPr>
        <w:spacing w:line="360" w:lineRule="auto"/>
        <w:ind w:firstLineChars="200" w:firstLine="420"/>
        <w:rPr>
          <w:rFonts w:ascii="宋体" w:eastAsia="宋体" w:hAnsi="宋体"/>
        </w:rPr>
      </w:pPr>
    </w:p>
    <w:sectPr w:rsidR="00DB10EC" w:rsidSect="00835B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250" w:rsidRDefault="00185250">
      <w:r>
        <w:separator/>
      </w:r>
    </w:p>
  </w:endnote>
  <w:endnote w:type="continuationSeparator" w:id="0">
    <w:p w:rsidR="00185250" w:rsidRDefault="00185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DB10EC" w:rsidRDefault="00185250">
            <w:pPr>
              <w:pStyle w:val="a3"/>
              <w:jc w:val="center"/>
            </w:pPr>
            <w:r>
              <w:rPr>
                <w:rFonts w:ascii="宋体" w:eastAsia="宋体" w:hAnsi="宋体"/>
                <w:lang w:val="zh-CN"/>
              </w:rPr>
              <w:t xml:space="preserve"> </w:t>
            </w:r>
            <w:r w:rsidR="00835B32">
              <w:rPr>
                <w:rFonts w:ascii="宋体" w:eastAsia="宋体" w:hAnsi="宋体"/>
                <w:b/>
                <w:bCs/>
                <w:sz w:val="24"/>
                <w:szCs w:val="24"/>
              </w:rPr>
              <w:fldChar w:fldCharType="begin"/>
            </w:r>
            <w:r>
              <w:rPr>
                <w:rFonts w:ascii="宋体" w:eastAsia="宋体" w:hAnsi="宋体"/>
                <w:b/>
                <w:bCs/>
              </w:rPr>
              <w:instrText>PAGE</w:instrText>
            </w:r>
            <w:r w:rsidR="00835B32">
              <w:rPr>
                <w:rFonts w:ascii="宋体" w:eastAsia="宋体" w:hAnsi="宋体"/>
                <w:b/>
                <w:bCs/>
                <w:sz w:val="24"/>
                <w:szCs w:val="24"/>
              </w:rPr>
              <w:fldChar w:fldCharType="separate"/>
            </w:r>
            <w:r w:rsidR="00074683">
              <w:rPr>
                <w:rFonts w:ascii="宋体" w:eastAsia="宋体" w:hAnsi="宋体"/>
                <w:b/>
                <w:bCs/>
                <w:noProof/>
              </w:rPr>
              <w:t>1</w:t>
            </w:r>
            <w:r w:rsidR="00835B32">
              <w:rPr>
                <w:rFonts w:ascii="宋体" w:eastAsia="宋体" w:hAnsi="宋体"/>
                <w:b/>
                <w:bCs/>
                <w:sz w:val="24"/>
                <w:szCs w:val="24"/>
              </w:rPr>
              <w:fldChar w:fldCharType="end"/>
            </w:r>
            <w:r>
              <w:rPr>
                <w:rFonts w:ascii="宋体" w:eastAsia="宋体" w:hAnsi="宋体"/>
                <w:lang w:val="zh-CN"/>
              </w:rPr>
              <w:t xml:space="preserve"> / </w:t>
            </w:r>
            <w:r w:rsidR="00835B32">
              <w:rPr>
                <w:rFonts w:ascii="宋体" w:eastAsia="宋体" w:hAnsi="宋体"/>
                <w:b/>
                <w:bCs/>
                <w:sz w:val="24"/>
                <w:szCs w:val="24"/>
              </w:rPr>
              <w:fldChar w:fldCharType="begin"/>
            </w:r>
            <w:r>
              <w:rPr>
                <w:rFonts w:ascii="宋体" w:eastAsia="宋体" w:hAnsi="宋体"/>
                <w:b/>
                <w:bCs/>
              </w:rPr>
              <w:instrText>NUMPAGES</w:instrText>
            </w:r>
            <w:r w:rsidR="00835B32">
              <w:rPr>
                <w:rFonts w:ascii="宋体" w:eastAsia="宋体" w:hAnsi="宋体"/>
                <w:b/>
                <w:bCs/>
                <w:sz w:val="24"/>
                <w:szCs w:val="24"/>
              </w:rPr>
              <w:fldChar w:fldCharType="separate"/>
            </w:r>
            <w:r w:rsidR="00074683">
              <w:rPr>
                <w:rFonts w:ascii="宋体" w:eastAsia="宋体" w:hAnsi="宋体"/>
                <w:b/>
                <w:bCs/>
                <w:noProof/>
              </w:rPr>
              <w:t>3</w:t>
            </w:r>
            <w:r w:rsidR="00835B32">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250" w:rsidRDefault="00185250">
      <w:r>
        <w:separator/>
      </w:r>
    </w:p>
  </w:footnote>
  <w:footnote w:type="continuationSeparator" w:id="0">
    <w:p w:rsidR="00185250" w:rsidRDefault="00185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10EC"/>
    <w:rsid w:val="00074683"/>
    <w:rsid w:val="00185250"/>
    <w:rsid w:val="00835B32"/>
    <w:rsid w:val="00A22498"/>
    <w:rsid w:val="00DB1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32"/>
    <w:pPr>
      <w:widowControl w:val="0"/>
      <w:jc w:val="both"/>
    </w:pPr>
    <w:rPr>
      <w:kern w:val="2"/>
      <w:sz w:val="21"/>
      <w:szCs w:val="22"/>
    </w:rPr>
  </w:style>
  <w:style w:type="paragraph" w:styleId="1">
    <w:name w:val="heading 1"/>
    <w:basedOn w:val="a"/>
    <w:next w:val="a"/>
    <w:link w:val="1Char"/>
    <w:uiPriority w:val="9"/>
    <w:qFormat/>
    <w:rsid w:val="00835B3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835B3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835B3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835B3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835B3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835B32"/>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835B32"/>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35B32"/>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835B3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5B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35B32"/>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835B32"/>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835B32"/>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835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835B32"/>
    <w:rPr>
      <w:color w:val="467886" w:themeColor="hyperlink"/>
      <w:u w:val="single"/>
    </w:rPr>
  </w:style>
  <w:style w:type="character" w:customStyle="1" w:styleId="1Char">
    <w:name w:val="标题 1 Char"/>
    <w:basedOn w:val="a0"/>
    <w:link w:val="1"/>
    <w:uiPriority w:val="9"/>
    <w:qFormat/>
    <w:rsid w:val="00835B32"/>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835B32"/>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835B32"/>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835B32"/>
    <w:rPr>
      <w:rFonts w:cstheme="majorBidi"/>
      <w:color w:val="0F4761" w:themeColor="accent1" w:themeShade="BF"/>
      <w:sz w:val="28"/>
      <w:szCs w:val="28"/>
    </w:rPr>
  </w:style>
  <w:style w:type="character" w:customStyle="1" w:styleId="5Char">
    <w:name w:val="标题 5 Char"/>
    <w:basedOn w:val="a0"/>
    <w:link w:val="5"/>
    <w:uiPriority w:val="9"/>
    <w:semiHidden/>
    <w:qFormat/>
    <w:rsid w:val="00835B32"/>
    <w:rPr>
      <w:rFonts w:cstheme="majorBidi"/>
      <w:color w:val="0F4761" w:themeColor="accent1" w:themeShade="BF"/>
      <w:sz w:val="24"/>
      <w:szCs w:val="24"/>
    </w:rPr>
  </w:style>
  <w:style w:type="character" w:customStyle="1" w:styleId="6Char">
    <w:name w:val="标题 6 Char"/>
    <w:basedOn w:val="a0"/>
    <w:link w:val="6"/>
    <w:uiPriority w:val="9"/>
    <w:semiHidden/>
    <w:qFormat/>
    <w:rsid w:val="00835B32"/>
    <w:rPr>
      <w:rFonts w:cstheme="majorBidi"/>
      <w:b/>
      <w:bCs/>
      <w:color w:val="0F4761" w:themeColor="accent1" w:themeShade="BF"/>
    </w:rPr>
  </w:style>
  <w:style w:type="character" w:customStyle="1" w:styleId="7Char">
    <w:name w:val="标题 7 Char"/>
    <w:basedOn w:val="a0"/>
    <w:link w:val="7"/>
    <w:uiPriority w:val="9"/>
    <w:semiHidden/>
    <w:qFormat/>
    <w:rsid w:val="00835B32"/>
    <w:rPr>
      <w:rFonts w:cstheme="majorBidi"/>
      <w:b/>
      <w:bCs/>
      <w:color w:val="595959" w:themeColor="text1" w:themeTint="A6"/>
    </w:rPr>
  </w:style>
  <w:style w:type="character" w:customStyle="1" w:styleId="8Char">
    <w:name w:val="标题 8 Char"/>
    <w:basedOn w:val="a0"/>
    <w:link w:val="8"/>
    <w:uiPriority w:val="9"/>
    <w:semiHidden/>
    <w:qFormat/>
    <w:rsid w:val="00835B32"/>
    <w:rPr>
      <w:rFonts w:cstheme="majorBidi"/>
      <w:color w:val="595959" w:themeColor="text1" w:themeTint="A6"/>
    </w:rPr>
  </w:style>
  <w:style w:type="character" w:customStyle="1" w:styleId="9Char">
    <w:name w:val="标题 9 Char"/>
    <w:basedOn w:val="a0"/>
    <w:link w:val="9"/>
    <w:uiPriority w:val="9"/>
    <w:semiHidden/>
    <w:qFormat/>
    <w:rsid w:val="00835B32"/>
    <w:rPr>
      <w:rFonts w:eastAsiaTheme="majorEastAsia" w:cstheme="majorBidi"/>
      <w:color w:val="595959" w:themeColor="text1" w:themeTint="A6"/>
    </w:rPr>
  </w:style>
  <w:style w:type="character" w:customStyle="1" w:styleId="Char2">
    <w:name w:val="标题 Char"/>
    <w:basedOn w:val="a0"/>
    <w:link w:val="a6"/>
    <w:uiPriority w:val="10"/>
    <w:qFormat/>
    <w:rsid w:val="00835B32"/>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835B3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835B32"/>
    <w:pPr>
      <w:spacing w:before="160" w:after="160"/>
      <w:jc w:val="center"/>
    </w:pPr>
    <w:rPr>
      <w:i/>
      <w:iCs/>
      <w:color w:val="404040" w:themeColor="text1" w:themeTint="BF"/>
    </w:rPr>
  </w:style>
  <w:style w:type="character" w:customStyle="1" w:styleId="Char3">
    <w:name w:val="引用 Char"/>
    <w:basedOn w:val="a0"/>
    <w:link w:val="a9"/>
    <w:uiPriority w:val="29"/>
    <w:qFormat/>
    <w:rsid w:val="00835B32"/>
    <w:rPr>
      <w:i/>
      <w:iCs/>
      <w:color w:val="404040" w:themeColor="text1" w:themeTint="BF"/>
    </w:rPr>
  </w:style>
  <w:style w:type="paragraph" w:styleId="aa">
    <w:name w:val="List Paragraph"/>
    <w:basedOn w:val="a"/>
    <w:uiPriority w:val="34"/>
    <w:qFormat/>
    <w:rsid w:val="00835B32"/>
    <w:pPr>
      <w:ind w:left="720"/>
      <w:contextualSpacing/>
    </w:pPr>
  </w:style>
  <w:style w:type="character" w:customStyle="1" w:styleId="10">
    <w:name w:val="明显强调1"/>
    <w:basedOn w:val="a0"/>
    <w:uiPriority w:val="21"/>
    <w:qFormat/>
    <w:rsid w:val="00835B32"/>
    <w:rPr>
      <w:i/>
      <w:iCs/>
      <w:color w:val="0F4761" w:themeColor="accent1" w:themeShade="BF"/>
    </w:rPr>
  </w:style>
  <w:style w:type="paragraph" w:styleId="ab">
    <w:name w:val="Intense Quote"/>
    <w:basedOn w:val="a"/>
    <w:next w:val="a"/>
    <w:link w:val="Char4"/>
    <w:uiPriority w:val="30"/>
    <w:qFormat/>
    <w:rsid w:val="00835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835B32"/>
    <w:rPr>
      <w:i/>
      <w:iCs/>
      <w:color w:val="0F4761" w:themeColor="accent1" w:themeShade="BF"/>
    </w:rPr>
  </w:style>
  <w:style w:type="character" w:customStyle="1" w:styleId="11">
    <w:name w:val="明显参考1"/>
    <w:basedOn w:val="a0"/>
    <w:uiPriority w:val="32"/>
    <w:qFormat/>
    <w:rsid w:val="00835B32"/>
    <w:rPr>
      <w:b/>
      <w:bCs/>
      <w:smallCaps/>
      <w:color w:val="0F4761" w:themeColor="accent1" w:themeShade="BF"/>
      <w:spacing w:val="5"/>
    </w:rPr>
  </w:style>
  <w:style w:type="character" w:customStyle="1" w:styleId="Char0">
    <w:name w:val="页眉 Char"/>
    <w:basedOn w:val="a0"/>
    <w:link w:val="a4"/>
    <w:uiPriority w:val="99"/>
    <w:qFormat/>
    <w:rsid w:val="00835B32"/>
    <w:rPr>
      <w:sz w:val="18"/>
      <w:szCs w:val="18"/>
    </w:rPr>
  </w:style>
  <w:style w:type="character" w:customStyle="1" w:styleId="Char">
    <w:name w:val="页脚 Char"/>
    <w:basedOn w:val="a0"/>
    <w:link w:val="a3"/>
    <w:uiPriority w:val="99"/>
    <w:qFormat/>
    <w:rsid w:val="00835B32"/>
    <w:rPr>
      <w:sz w:val="18"/>
      <w:szCs w:val="18"/>
    </w:rPr>
  </w:style>
  <w:style w:type="character" w:customStyle="1" w:styleId="12">
    <w:name w:val="未处理的提及1"/>
    <w:basedOn w:val="a0"/>
    <w:uiPriority w:val="99"/>
    <w:semiHidden/>
    <w:unhideWhenUsed/>
    <w:qFormat/>
    <w:rsid w:val="00835B32"/>
    <w:rPr>
      <w:color w:val="605E5C"/>
      <w:shd w:val="clear" w:color="auto" w:fill="E1DFDD"/>
    </w:rPr>
  </w:style>
  <w:style w:type="paragraph" w:styleId="ac">
    <w:name w:val="Balloon Text"/>
    <w:basedOn w:val="a"/>
    <w:link w:val="Char5"/>
    <w:uiPriority w:val="99"/>
    <w:semiHidden/>
    <w:unhideWhenUsed/>
    <w:rsid w:val="00835B32"/>
    <w:rPr>
      <w:sz w:val="18"/>
      <w:szCs w:val="18"/>
    </w:rPr>
  </w:style>
  <w:style w:type="character" w:customStyle="1" w:styleId="Char5">
    <w:name w:val="批注框文本 Char"/>
    <w:basedOn w:val="a0"/>
    <w:link w:val="ac"/>
    <w:uiPriority w:val="99"/>
    <w:semiHidden/>
    <w:rsid w:val="00835B32"/>
    <w:rPr>
      <w:kern w:val="2"/>
      <w:sz w:val="18"/>
      <w:szCs w:val="18"/>
    </w:rPr>
  </w:style>
  <w:style w:type="paragraph" w:styleId="ad">
    <w:name w:val="Revision"/>
    <w:hidden/>
    <w:uiPriority w:val="99"/>
    <w:semiHidden/>
    <w:rsid w:val="00835B32"/>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4</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2025-03-17T17:00:00Z</cp:lastPrinted>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0A5FEFCB28A8190D93C9D7672C81F2E9</vt:lpwstr>
  </property>
</Properties>
</file>