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D0F">
      <w:pPr>
        <w:spacing w:line="0" w:lineRule="atLeast"/>
        <w:rPr>
          <w:rFonts w:eastAsia="等线" w:hint="eastAsia"/>
          <w:sz w:val="24"/>
        </w:rPr>
      </w:pPr>
    </w:p>
    <w:p w:rsidR="00000000" w:rsidRDefault="00A14D0F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A14D0F">
      <w:pPr>
        <w:spacing w:line="0" w:lineRule="atLeast"/>
        <w:ind w:left="1020"/>
        <w:rPr>
          <w:rFonts w:ascii="宋体" w:hAnsi="宋体"/>
          <w:b/>
          <w:bCs/>
          <w:sz w:val="24"/>
        </w:rPr>
      </w:pPr>
    </w:p>
    <w:p w:rsidR="00000000" w:rsidRDefault="00A14D0F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玄元保险代理有限公司（以下简称“玄元保险”）和华泰证券股份有限公司（以下简称“华泰证券”）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玄元保险、华泰证券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本公司旗下部分基金的销售相关</w:t>
      </w:r>
      <w:r>
        <w:rPr>
          <w:rFonts w:ascii="宋体" w:hAnsi="宋体"/>
          <w:sz w:val="24"/>
        </w:rPr>
        <w:t>业务</w:t>
      </w:r>
      <w:r>
        <w:rPr>
          <w:rFonts w:ascii="宋体" w:hAnsi="宋体" w:hint="eastAsia"/>
          <w:sz w:val="24"/>
        </w:rPr>
        <w:t>；</w:t>
      </w:r>
    </w:p>
    <w:p w:rsidR="00000000" w:rsidRDefault="00A14D0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玄元保险代理有限公司新增销售基金：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6850"/>
      </w:tblGrid>
      <w:tr w:rsidR="00000000">
        <w:trPr>
          <w:trHeight w:val="433"/>
        </w:trPr>
        <w:tc>
          <w:tcPr>
            <w:tcW w:w="1746" w:type="dxa"/>
            <w:shd w:val="clear" w:color="auto" w:fill="DCE6F2"/>
            <w:vAlign w:val="center"/>
          </w:tcPr>
          <w:p w:rsidR="00000000" w:rsidRDefault="00A14D0F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Default="00A14D0F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018956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中航机遇领航混合型发起式证券投资基金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018957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中航机遇领航混合型发起式证券投资基金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中航远见领航混合型</w:t>
            </w:r>
            <w:r>
              <w:rPr>
                <w:rFonts w:ascii="宋体" w:hAnsi="宋体"/>
                <w:sz w:val="24"/>
              </w:rPr>
              <w:t>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中航远见领航混合型发起式证券投资基金</w:t>
            </w:r>
            <w:r>
              <w:rPr>
                <w:rFonts w:ascii="宋体" w:hAnsi="宋体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中航优选领航混合型发起式证券投资基金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中航优选领航混合型发起式证券投资基金</w:t>
            </w:r>
            <w:r>
              <w:rPr>
                <w:rFonts w:ascii="宋体" w:hAnsi="宋体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004936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中航混改精选混合型证券投资基金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004937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中航混改精选混合型证券投资基金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019309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中航恒宇港股通价值优选混合型发起式证券投资基金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019310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中航恒宇港股通价值优选混合型发起式证券投资基金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022854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中航中证智选均衡配置指数型发起式证券投资基金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022855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中航中证智</w:t>
            </w:r>
            <w:r>
              <w:rPr>
                <w:rFonts w:ascii="宋体" w:hAnsi="宋体"/>
                <w:sz w:val="24"/>
              </w:rPr>
              <w:t>选均衡配置指数型发起式证券投资基金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017651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中航华证商飞高端制造产业主题指数型发起式证券投资基金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017652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中航华证商飞高端制造产业主题指数型发起式证券投资基金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014428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中航中证同业存单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ascii="宋体" w:hAnsi="宋体"/>
                <w:sz w:val="24"/>
              </w:rPr>
              <w:t>指数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天持有期证券投资基金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020907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中航瑞尚利率债债券型证券投资基金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020908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中航瑞尚利率债债券型证券投资基金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008569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中航瑞智纯债债券型证券投资基金</w:t>
            </w:r>
            <w:r>
              <w:rPr>
                <w:rFonts w:ascii="宋体" w:hAnsi="宋体" w:hint="eastAsia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008570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中航瑞智纯债债券型证券投资基金</w:t>
            </w:r>
            <w:r>
              <w:rPr>
                <w:rFonts w:ascii="宋体" w:hAnsi="宋体"/>
                <w:sz w:val="24"/>
              </w:rPr>
              <w:t>C</w:t>
            </w:r>
          </w:p>
        </w:tc>
      </w:tr>
    </w:tbl>
    <w:p w:rsidR="00000000" w:rsidRDefault="00A14D0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A14D0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A14D0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华泰证券股份有限公司新增销售基金：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6850"/>
      </w:tblGrid>
      <w:tr w:rsidR="00000000">
        <w:trPr>
          <w:trHeight w:val="380"/>
        </w:trPr>
        <w:tc>
          <w:tcPr>
            <w:tcW w:w="1746" w:type="dxa"/>
            <w:shd w:val="clear" w:color="auto" w:fill="DCE6F2"/>
            <w:vAlign w:val="center"/>
          </w:tcPr>
          <w:p w:rsidR="00000000" w:rsidRDefault="00A14D0F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Default="00A14D0F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021489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中航趋势领航混合型发起式证券投资基金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021490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中航趋势领航混合型发起式证券投资基金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014552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014553</w:t>
            </w:r>
          </w:p>
        </w:tc>
        <w:tc>
          <w:tcPr>
            <w:tcW w:w="6850" w:type="dxa"/>
            <w:vAlign w:val="center"/>
          </w:tcPr>
          <w:p w:rsidR="00000000" w:rsidRDefault="00A14D0F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A14D0F">
      <w:pPr>
        <w:spacing w:line="360" w:lineRule="auto"/>
        <w:jc w:val="both"/>
        <w:rPr>
          <w:rFonts w:ascii="宋体" w:hAnsi="宋体" w:hint="eastAsia"/>
          <w:sz w:val="24"/>
        </w:rPr>
      </w:pPr>
    </w:p>
    <w:p w:rsidR="00000000" w:rsidRDefault="00A14D0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投资者可通过以下途径了解或咨询相关情况：</w:t>
      </w:r>
    </w:p>
    <w:p w:rsidR="00000000" w:rsidRDefault="00A14D0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玄元保险代理有限公司</w:t>
      </w:r>
    </w:p>
    <w:p w:rsidR="00000000" w:rsidRDefault="00A14D0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hyperlink r:id="rId7" w:history="1">
        <w:r>
          <w:rPr>
            <w:rStyle w:val="ac"/>
            <w:rFonts w:ascii="宋体" w:hAnsi="宋体" w:hint="eastAsia"/>
            <w:sz w:val="24"/>
          </w:rPr>
          <w:t>www.licaimofang.com</w:t>
        </w:r>
      </w:hyperlink>
    </w:p>
    <w:p w:rsidR="00000000" w:rsidRDefault="00A14D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400-080-8208</w:t>
      </w:r>
    </w:p>
    <w:p w:rsidR="00000000" w:rsidRDefault="00A14D0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00000" w:rsidRDefault="00A14D0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华泰证券</w:t>
      </w:r>
      <w:r>
        <w:rPr>
          <w:rFonts w:ascii="宋体" w:hAnsi="宋体" w:hint="eastAsia"/>
          <w:sz w:val="24"/>
        </w:rPr>
        <w:t>股份有限公司</w:t>
      </w:r>
    </w:p>
    <w:p w:rsidR="00000000" w:rsidRDefault="00A14D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www.htsc.com.cn</w:t>
      </w:r>
    </w:p>
    <w:p w:rsidR="00000000" w:rsidRDefault="00A14D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95597</w:t>
      </w:r>
    </w:p>
    <w:p w:rsidR="00000000" w:rsidRDefault="00A14D0F">
      <w:pPr>
        <w:spacing w:line="360" w:lineRule="auto"/>
        <w:ind w:left="480" w:right="5120"/>
        <w:rPr>
          <w:rFonts w:ascii="宋体" w:hAnsi="宋体" w:hint="eastAsia"/>
          <w:sz w:val="24"/>
          <w:szCs w:val="24"/>
        </w:rPr>
      </w:pPr>
    </w:p>
    <w:p w:rsidR="00000000" w:rsidRDefault="00A14D0F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A14D0F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A14D0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A14D0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0000" w:rsidRDefault="00A14D0F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、风险提示</w:t>
      </w:r>
    </w:p>
    <w:p w:rsidR="00000000" w:rsidRDefault="00A14D0F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基金管理人承诺以诚实信用、勤勉尽责的原则管理和运用基金资产，但不保证基金一定盈利，也不保证最低收益。投资者投资于上述基金时应认真阅读上述基金的基金合同、招募说明书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A14D0F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本公告解释权归属本公司。</w:t>
      </w:r>
    </w:p>
    <w:p w:rsidR="00000000" w:rsidRDefault="00A14D0F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A14D0F">
      <w:pPr>
        <w:spacing w:line="283" w:lineRule="exact"/>
        <w:rPr>
          <w:rFonts w:eastAsia="Times New Roman"/>
          <w:sz w:val="24"/>
        </w:rPr>
      </w:pPr>
    </w:p>
    <w:p w:rsidR="00000000" w:rsidRDefault="00A14D0F">
      <w:pPr>
        <w:spacing w:line="0" w:lineRule="atLeast"/>
        <w:ind w:left="56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A14D0F">
      <w:pPr>
        <w:spacing w:line="287" w:lineRule="exact"/>
        <w:jc w:val="right"/>
        <w:rPr>
          <w:rFonts w:eastAsia="Times New Roman"/>
          <w:sz w:val="24"/>
        </w:rPr>
      </w:pPr>
    </w:p>
    <w:p w:rsidR="00000000" w:rsidRDefault="00A14D0F">
      <w:pPr>
        <w:spacing w:line="0" w:lineRule="atLeast"/>
        <w:ind w:left="5660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/>
          <w:sz w:val="24"/>
        </w:rPr>
        <w:t>日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14D0F">
      <w:r>
        <w:separator/>
      </w:r>
    </w:p>
  </w:endnote>
  <w:endnote w:type="continuationSeparator" w:id="0">
    <w:p w:rsidR="00000000" w:rsidRDefault="00A1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14D0F">
      <w:rPr>
        <w:noProof/>
        <w:lang w:val="zh-CN"/>
      </w:rPr>
      <w:t>1</w:t>
    </w:r>
    <w:r>
      <w:fldChar w:fldCharType="end"/>
    </w:r>
  </w:p>
  <w:p w:rsidR="00000000" w:rsidRDefault="00A14D0F">
    <w:pPr>
      <w:pStyle w:val="a4"/>
      <w:jc w:val="center"/>
    </w:pPr>
  </w:p>
  <w:p w:rsidR="00000000" w:rsidRDefault="00A14D0F">
    <w:pPr>
      <w:pStyle w:val="a4"/>
      <w:jc w:val="center"/>
    </w:pPr>
  </w:p>
  <w:p w:rsidR="00000000" w:rsidRDefault="00A14D0F">
    <w:pPr>
      <w:pStyle w:val="a4"/>
      <w:jc w:val="center"/>
      <w:rPr>
        <w:rFonts w:hint="eastAsia"/>
      </w:rPr>
    </w:pPr>
  </w:p>
  <w:p w:rsidR="00000000" w:rsidRDefault="00A14D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14D0F">
      <w:r>
        <w:separator/>
      </w:r>
    </w:p>
  </w:footnote>
  <w:footnote w:type="continuationSeparator" w:id="0">
    <w:p w:rsidR="00000000" w:rsidRDefault="00A1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4D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54D6B"/>
    <w:rsid w:val="0006196A"/>
    <w:rsid w:val="000649DD"/>
    <w:rsid w:val="00084067"/>
    <w:rsid w:val="00135B47"/>
    <w:rsid w:val="0014237D"/>
    <w:rsid w:val="0018665C"/>
    <w:rsid w:val="00194FBA"/>
    <w:rsid w:val="0019567D"/>
    <w:rsid w:val="00235B60"/>
    <w:rsid w:val="002E2717"/>
    <w:rsid w:val="00300B9A"/>
    <w:rsid w:val="00366B2B"/>
    <w:rsid w:val="003A0867"/>
    <w:rsid w:val="003A281E"/>
    <w:rsid w:val="003C1D9D"/>
    <w:rsid w:val="00423CCA"/>
    <w:rsid w:val="00444949"/>
    <w:rsid w:val="00505A95"/>
    <w:rsid w:val="0055064C"/>
    <w:rsid w:val="005B3343"/>
    <w:rsid w:val="00621377"/>
    <w:rsid w:val="007376EB"/>
    <w:rsid w:val="00791135"/>
    <w:rsid w:val="00800415"/>
    <w:rsid w:val="00826A47"/>
    <w:rsid w:val="00827C62"/>
    <w:rsid w:val="0083412E"/>
    <w:rsid w:val="009A7EEE"/>
    <w:rsid w:val="00A14D0F"/>
    <w:rsid w:val="00AC57D0"/>
    <w:rsid w:val="00AF7FED"/>
    <w:rsid w:val="00B328D2"/>
    <w:rsid w:val="00B62C08"/>
    <w:rsid w:val="00C311B1"/>
    <w:rsid w:val="00CD1F9B"/>
    <w:rsid w:val="00DE66A4"/>
    <w:rsid w:val="00E66F8D"/>
    <w:rsid w:val="00E9392F"/>
    <w:rsid w:val="00F20A8F"/>
    <w:rsid w:val="00F44D37"/>
    <w:rsid w:val="00F574E7"/>
    <w:rsid w:val="00F85BB3"/>
    <w:rsid w:val="00FF75BF"/>
    <w:rsid w:val="0238310F"/>
    <w:rsid w:val="02920A2C"/>
    <w:rsid w:val="05D061D3"/>
    <w:rsid w:val="063D57BB"/>
    <w:rsid w:val="06864DDD"/>
    <w:rsid w:val="0ACD5574"/>
    <w:rsid w:val="0B6A7307"/>
    <w:rsid w:val="0C521C5A"/>
    <w:rsid w:val="0D22364C"/>
    <w:rsid w:val="12163F91"/>
    <w:rsid w:val="131C54D3"/>
    <w:rsid w:val="13DA46CD"/>
    <w:rsid w:val="15CD13FD"/>
    <w:rsid w:val="15D6454C"/>
    <w:rsid w:val="16A33262"/>
    <w:rsid w:val="16DC1BA3"/>
    <w:rsid w:val="16E267C1"/>
    <w:rsid w:val="17AD2B0A"/>
    <w:rsid w:val="180A6C91"/>
    <w:rsid w:val="19457463"/>
    <w:rsid w:val="1A5679CA"/>
    <w:rsid w:val="1B1C6074"/>
    <w:rsid w:val="1B5C4C07"/>
    <w:rsid w:val="1D0F01B8"/>
    <w:rsid w:val="1D292894"/>
    <w:rsid w:val="1D5E387A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D494F81"/>
    <w:rsid w:val="313C0221"/>
    <w:rsid w:val="31C85575"/>
    <w:rsid w:val="32C729E0"/>
    <w:rsid w:val="3504065D"/>
    <w:rsid w:val="353C1DA0"/>
    <w:rsid w:val="355C61BF"/>
    <w:rsid w:val="35B95C53"/>
    <w:rsid w:val="37671E32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3CF6596"/>
    <w:rsid w:val="55757149"/>
    <w:rsid w:val="55EC5F6C"/>
    <w:rsid w:val="56910609"/>
    <w:rsid w:val="57247295"/>
    <w:rsid w:val="58FB45F9"/>
    <w:rsid w:val="59DA70C1"/>
    <w:rsid w:val="5A302B2D"/>
    <w:rsid w:val="5AE12883"/>
    <w:rsid w:val="5AEE3A67"/>
    <w:rsid w:val="5B1A5DE1"/>
    <w:rsid w:val="5C1C1043"/>
    <w:rsid w:val="5C205E54"/>
    <w:rsid w:val="5C7416DC"/>
    <w:rsid w:val="5DD2558A"/>
    <w:rsid w:val="60241EDF"/>
    <w:rsid w:val="613E5C59"/>
    <w:rsid w:val="619450FF"/>
    <w:rsid w:val="62B9642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514C49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6A8727D"/>
    <w:rsid w:val="77115810"/>
    <w:rsid w:val="77252A96"/>
    <w:rsid w:val="78A37149"/>
    <w:rsid w:val="79E309AD"/>
    <w:rsid w:val="79FA1F5C"/>
    <w:rsid w:val="7A2A1587"/>
    <w:rsid w:val="7ABE1AB5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annotation subjec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paragraph" w:styleId="a7">
    <w:name w:val="annotation subject"/>
    <w:basedOn w:val="a3"/>
    <w:next w:val="a3"/>
    <w:link w:val="Char2"/>
    <w:uiPriority w:val="99"/>
    <w:unhideWhenUsed/>
    <w:rPr>
      <w:b/>
      <w:bCs/>
    </w:rPr>
  </w:style>
  <w:style w:type="character" w:customStyle="1" w:styleId="Char2">
    <w:name w:val="批注主题 Char"/>
    <w:link w:val="a7"/>
    <w:uiPriority w:val="99"/>
    <w:semiHidden/>
    <w:rPr>
      <w:b/>
      <w:bCs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 w:val="0"/>
      <w:i w:val="0"/>
    </w:rPr>
  </w:style>
  <w:style w:type="character" w:styleId="aa">
    <w:name w:val="FollowedHyperlink"/>
    <w:uiPriority w:val="99"/>
    <w:unhideWhenUsed/>
    <w:rPr>
      <w:color w:val="333333"/>
      <w:sz w:val="18"/>
      <w:szCs w:val="18"/>
      <w:u w:val="none"/>
    </w:rPr>
  </w:style>
  <w:style w:type="character" w:styleId="ab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c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</w:style>
  <w:style w:type="character" w:customStyle="1" w:styleId="this3">
    <w:name w:val="this3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</w:style>
  <w:style w:type="character" w:customStyle="1" w:styleId="this">
    <w:name w:val="this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</w:style>
  <w:style w:type="character" w:customStyle="1" w:styleId="lclist2title">
    <w:name w:val="lc_list2_title"/>
  </w:style>
  <w:style w:type="character" w:customStyle="1" w:styleId="lclist1money">
    <w:name w:val="lc_list1_money"/>
  </w:style>
  <w:style w:type="character" w:customStyle="1" w:styleId="lclist1title">
    <w:name w:val="lc_list1_title"/>
  </w:style>
  <w:style w:type="character" w:customStyle="1" w:styleId="this4">
    <w:name w:val="this4"/>
    <w:rPr>
      <w:color w:val="004B99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caimofa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4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2025-03-18T16:01:00Z</dcterms:created>
  <dcterms:modified xsi:type="dcterms:W3CDTF">2025-03-18T16:01:00Z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54B0EFA60BB24C22999CD233C6362ED9_13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