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95" w:rsidRDefault="00BD5384">
      <w:pPr>
        <w:pStyle w:val="1"/>
        <w:numPr>
          <w:ilvl w:val="0"/>
          <w:numId w:val="0"/>
        </w:numPr>
        <w:snapToGrid w:val="0"/>
        <w:spacing w:line="240" w:lineRule="auto"/>
        <w:jc w:val="center"/>
        <w:rPr>
          <w:sz w:val="32"/>
          <w:szCs w:val="36"/>
        </w:rPr>
      </w:pPr>
      <w:r>
        <w:rPr>
          <w:rFonts w:hint="eastAsia"/>
          <w:sz w:val="32"/>
          <w:szCs w:val="36"/>
        </w:rPr>
        <w:t>关于博时恒生科技交易型开放式指数证券投资基金</w:t>
      </w:r>
      <w:r>
        <w:rPr>
          <w:sz w:val="32"/>
          <w:szCs w:val="36"/>
        </w:rPr>
        <w:t>(QDII)</w:t>
      </w:r>
      <w:r>
        <w:rPr>
          <w:sz w:val="32"/>
          <w:szCs w:val="36"/>
        </w:rPr>
        <w:t>新增兴业证券为申购、赎回代办券商的公告</w:t>
      </w:r>
    </w:p>
    <w:p w:rsidR="00656195" w:rsidRDefault="00656195">
      <w:pPr>
        <w:rPr>
          <w:rFonts w:ascii="楷体_GB2312" w:eastAsia="楷体_GB2312"/>
          <w:color w:val="000000"/>
          <w:sz w:val="24"/>
          <w:szCs w:val="24"/>
        </w:rPr>
      </w:pPr>
    </w:p>
    <w:p w:rsidR="00656195" w:rsidRDefault="00BD5384">
      <w:pPr>
        <w:pStyle w:val="a7"/>
        <w:spacing w:before="0" w:beforeAutospacing="0" w:after="0" w:afterAutospacing="0" w:line="360" w:lineRule="auto"/>
        <w:ind w:firstLine="420"/>
      </w:pPr>
      <w:r>
        <w:rPr>
          <w:rFonts w:hint="eastAsia"/>
        </w:rPr>
        <w:t> </w:t>
      </w:r>
      <w:r>
        <w:rPr>
          <w:rFonts w:hint="eastAsia"/>
        </w:rPr>
        <w:t>由博时基金管理有限公司（以下简称“本公司”）申请，并经深圳证券交易所确认，自</w:t>
      </w:r>
      <w:r>
        <w:rPr>
          <w:rFonts w:hint="eastAsia"/>
        </w:rPr>
        <w:t>2025</w:t>
      </w:r>
      <w:r>
        <w:rPr>
          <w:rFonts w:hint="eastAsia"/>
        </w:rPr>
        <w:t>年</w:t>
      </w:r>
      <w:r>
        <w:rPr>
          <w:rFonts w:hint="eastAsia"/>
        </w:rPr>
        <w:t>3</w:t>
      </w:r>
      <w:r>
        <w:rPr>
          <w:rFonts w:hint="eastAsia"/>
        </w:rPr>
        <w:t>月</w:t>
      </w:r>
      <w:r>
        <w:rPr>
          <w:rFonts w:hint="eastAsia"/>
        </w:rPr>
        <w:t>19</w:t>
      </w:r>
      <w:r>
        <w:rPr>
          <w:rFonts w:hint="eastAsia"/>
        </w:rPr>
        <w:t>日起，本公司将新增兴业证券股份有限公司为博时恒生科技交易型开放式指数证券投资基金</w:t>
      </w:r>
      <w:r>
        <w:rPr>
          <w:rFonts w:hint="eastAsia"/>
        </w:rPr>
        <w:t>(QDII)(</w:t>
      </w:r>
      <w:r>
        <w:rPr>
          <w:rFonts w:hint="eastAsia"/>
        </w:rPr>
        <w:t>基金简称：恒生科技指数</w:t>
      </w:r>
      <w:r>
        <w:rPr>
          <w:rFonts w:hint="eastAsia"/>
        </w:rPr>
        <w:t>ETF</w:t>
      </w:r>
      <w:r>
        <w:rPr>
          <w:rFonts w:hint="eastAsia"/>
        </w:rPr>
        <w:t>，交易代码：</w:t>
      </w:r>
      <w:r>
        <w:rPr>
          <w:rFonts w:hint="eastAsia"/>
        </w:rPr>
        <w:t>159742)</w:t>
      </w:r>
      <w:r>
        <w:rPr>
          <w:rFonts w:hint="eastAsia"/>
        </w:rPr>
        <w:t>申购、赎回业务的代办券商（以下简称“一级交易商”）。</w:t>
      </w:r>
      <w:r>
        <w:rPr>
          <w:rFonts w:hint="eastAsia"/>
        </w:rPr>
        <w:t> </w:t>
      </w:r>
    </w:p>
    <w:p w:rsidR="00656195" w:rsidRDefault="00BD5384">
      <w:pPr>
        <w:pStyle w:val="a7"/>
        <w:spacing w:before="0" w:beforeAutospacing="0" w:after="0" w:afterAutospacing="0" w:line="360" w:lineRule="auto"/>
        <w:ind w:firstLine="420"/>
      </w:pPr>
      <w:r>
        <w:rPr>
          <w:rFonts w:hint="eastAsia"/>
        </w:rPr>
        <w:t> </w:t>
      </w:r>
      <w:r>
        <w:rPr>
          <w:rFonts w:hint="eastAsia"/>
        </w:rPr>
        <w:t>一、投资者可通过以下途径咨询有关详情</w:t>
      </w:r>
      <w:r>
        <w:rPr>
          <w:rFonts w:hint="eastAsi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1"/>
        <w:gridCol w:w="2760"/>
        <w:gridCol w:w="3591"/>
      </w:tblGrid>
      <w:tr w:rsidR="00656195">
        <w:tc>
          <w:tcPr>
            <w:tcW w:w="0" w:type="auto"/>
            <w:tcBorders>
              <w:top w:val="outset" w:sz="6" w:space="0" w:color="auto"/>
              <w:left w:val="outset" w:sz="6" w:space="0" w:color="auto"/>
              <w:bottom w:val="outset" w:sz="6" w:space="0" w:color="auto"/>
              <w:right w:val="outset" w:sz="6" w:space="0" w:color="auto"/>
            </w:tcBorders>
            <w:vAlign w:val="center"/>
          </w:tcPr>
          <w:p w:rsidR="00656195" w:rsidRDefault="00BD5384">
            <w:pPr>
              <w:jc w:val="center"/>
              <w:rPr>
                <w:rFonts w:ascii="宋体" w:hAnsi="宋体"/>
                <w:sz w:val="24"/>
                <w:szCs w:val="24"/>
              </w:rPr>
            </w:pPr>
            <w:r>
              <w:rPr>
                <w:rFonts w:hint="eastAsia"/>
              </w:rPr>
              <w:t> </w:t>
            </w:r>
            <w:r>
              <w:rPr>
                <w:rFonts w:hint="eastAsia"/>
              </w:rPr>
              <w:t>机构名称</w:t>
            </w:r>
            <w:r>
              <w:rPr>
                <w:rFonts w:hint="eastAsia"/>
              </w:rPr>
              <w:t> </w:t>
            </w:r>
          </w:p>
        </w:tc>
        <w:tc>
          <w:tcPr>
            <w:tcW w:w="0" w:type="auto"/>
            <w:tcBorders>
              <w:top w:val="outset" w:sz="6" w:space="0" w:color="auto"/>
              <w:left w:val="outset" w:sz="6" w:space="0" w:color="auto"/>
              <w:bottom w:val="outset" w:sz="6" w:space="0" w:color="auto"/>
              <w:right w:val="outset" w:sz="6" w:space="0" w:color="auto"/>
            </w:tcBorders>
            <w:vAlign w:val="center"/>
          </w:tcPr>
          <w:p w:rsidR="00656195" w:rsidRDefault="00BD5384">
            <w:pPr>
              <w:jc w:val="center"/>
              <w:rPr>
                <w:rFonts w:ascii="宋体" w:hAnsi="宋体"/>
                <w:sz w:val="24"/>
                <w:szCs w:val="24"/>
              </w:rPr>
            </w:pPr>
            <w:r>
              <w:rPr>
                <w:rFonts w:hint="eastAsia"/>
              </w:rPr>
              <w:t> </w:t>
            </w:r>
            <w:r>
              <w:rPr>
                <w:rFonts w:hint="eastAsia"/>
              </w:rPr>
              <w:t>客服电话</w:t>
            </w:r>
            <w:r>
              <w:rPr>
                <w:rFonts w:hint="eastAsia"/>
              </w:rPr>
              <w:t> </w:t>
            </w:r>
          </w:p>
        </w:tc>
        <w:tc>
          <w:tcPr>
            <w:tcW w:w="0" w:type="auto"/>
            <w:tcBorders>
              <w:top w:val="outset" w:sz="6" w:space="0" w:color="auto"/>
              <w:left w:val="outset" w:sz="6" w:space="0" w:color="auto"/>
              <w:bottom w:val="outset" w:sz="6" w:space="0" w:color="auto"/>
              <w:right w:val="outset" w:sz="6" w:space="0" w:color="auto"/>
            </w:tcBorders>
            <w:vAlign w:val="center"/>
          </w:tcPr>
          <w:p w:rsidR="00656195" w:rsidRDefault="00BD5384">
            <w:pPr>
              <w:jc w:val="center"/>
              <w:rPr>
                <w:rFonts w:ascii="宋体" w:hAnsi="宋体"/>
                <w:sz w:val="24"/>
                <w:szCs w:val="24"/>
              </w:rPr>
            </w:pPr>
            <w:r>
              <w:rPr>
                <w:rFonts w:hint="eastAsia"/>
              </w:rPr>
              <w:t> </w:t>
            </w:r>
            <w:r>
              <w:rPr>
                <w:rFonts w:hint="eastAsia"/>
              </w:rPr>
              <w:t>网址</w:t>
            </w:r>
            <w:r>
              <w:rPr>
                <w:rFonts w:hint="eastAsia"/>
              </w:rPr>
              <w:t> </w:t>
            </w:r>
          </w:p>
        </w:tc>
      </w:tr>
      <w:tr w:rsidR="00656195">
        <w:tc>
          <w:tcPr>
            <w:tcW w:w="0" w:type="auto"/>
            <w:tcBorders>
              <w:top w:val="outset" w:sz="6" w:space="0" w:color="auto"/>
              <w:left w:val="outset" w:sz="6" w:space="0" w:color="auto"/>
              <w:bottom w:val="outset" w:sz="6" w:space="0" w:color="auto"/>
              <w:right w:val="outset" w:sz="6" w:space="0" w:color="auto"/>
            </w:tcBorders>
            <w:vAlign w:val="center"/>
          </w:tcPr>
          <w:p w:rsidR="00656195" w:rsidRDefault="00BD5384">
            <w:pPr>
              <w:jc w:val="center"/>
              <w:rPr>
                <w:rFonts w:ascii="宋体" w:hAnsi="宋体"/>
                <w:sz w:val="24"/>
                <w:szCs w:val="24"/>
              </w:rPr>
            </w:pPr>
            <w:r>
              <w:rPr>
                <w:rFonts w:hint="eastAsia"/>
              </w:rPr>
              <w:t> </w:t>
            </w:r>
            <w:r>
              <w:rPr>
                <w:rFonts w:hint="eastAsia"/>
              </w:rPr>
              <w:t>兴业证券股份有限公司</w:t>
            </w:r>
            <w:r>
              <w:rPr>
                <w:rFonts w:hint="eastAsia"/>
              </w:rPr>
              <w:t> </w:t>
            </w:r>
          </w:p>
        </w:tc>
        <w:tc>
          <w:tcPr>
            <w:tcW w:w="0" w:type="auto"/>
            <w:tcBorders>
              <w:top w:val="outset" w:sz="6" w:space="0" w:color="auto"/>
              <w:left w:val="outset" w:sz="6" w:space="0" w:color="auto"/>
              <w:bottom w:val="outset" w:sz="6" w:space="0" w:color="auto"/>
              <w:right w:val="outset" w:sz="6" w:space="0" w:color="auto"/>
            </w:tcBorders>
            <w:vAlign w:val="center"/>
          </w:tcPr>
          <w:p w:rsidR="00656195" w:rsidRDefault="00BD5384">
            <w:pPr>
              <w:jc w:val="center"/>
              <w:rPr>
                <w:rFonts w:ascii="宋体" w:hAnsi="宋体"/>
                <w:sz w:val="24"/>
                <w:szCs w:val="24"/>
              </w:rPr>
            </w:pPr>
            <w:r>
              <w:rPr>
                <w:rFonts w:hint="eastAsia"/>
              </w:rPr>
              <w:t> 4008888123/95562 </w:t>
            </w:r>
          </w:p>
        </w:tc>
        <w:tc>
          <w:tcPr>
            <w:tcW w:w="0" w:type="auto"/>
            <w:tcBorders>
              <w:top w:val="outset" w:sz="6" w:space="0" w:color="auto"/>
              <w:left w:val="outset" w:sz="6" w:space="0" w:color="auto"/>
              <w:bottom w:val="outset" w:sz="6" w:space="0" w:color="auto"/>
              <w:right w:val="outset" w:sz="6" w:space="0" w:color="auto"/>
            </w:tcBorders>
            <w:vAlign w:val="center"/>
          </w:tcPr>
          <w:p w:rsidR="00656195" w:rsidRDefault="00BD5384">
            <w:pPr>
              <w:jc w:val="center"/>
              <w:rPr>
                <w:rFonts w:ascii="宋体" w:hAnsi="宋体"/>
                <w:sz w:val="24"/>
                <w:szCs w:val="24"/>
              </w:rPr>
            </w:pPr>
            <w:r>
              <w:rPr>
                <w:rFonts w:hint="eastAsia"/>
              </w:rPr>
              <w:t> http://www.xyzq.com.cn/ </w:t>
            </w:r>
          </w:p>
        </w:tc>
      </w:tr>
    </w:tbl>
    <w:p w:rsidR="00656195" w:rsidRDefault="00BD5384">
      <w:pPr>
        <w:pStyle w:val="a7"/>
        <w:spacing w:before="0" w:beforeAutospacing="0" w:after="0" w:afterAutospacing="0" w:line="360" w:lineRule="auto"/>
        <w:ind w:firstLine="420"/>
      </w:pPr>
      <w:r>
        <w:rPr>
          <w:rFonts w:hint="eastAsia"/>
        </w:rPr>
        <w:t> </w:t>
      </w:r>
      <w:r>
        <w:rPr>
          <w:rFonts w:hint="eastAsia"/>
        </w:rPr>
        <w:t>或致电博时一线通：</w:t>
      </w:r>
      <w:r>
        <w:rPr>
          <w:rFonts w:hint="eastAsia"/>
        </w:rPr>
        <w:t>95105568(</w:t>
      </w:r>
      <w:r>
        <w:rPr>
          <w:rFonts w:hint="eastAsia"/>
        </w:rPr>
        <w:t>免长途话费</w:t>
      </w:r>
      <w:r>
        <w:rPr>
          <w:rFonts w:hint="eastAsia"/>
        </w:rPr>
        <w:t>) </w:t>
      </w:r>
      <w:r>
        <w:rPr>
          <w:rFonts w:hint="eastAsia"/>
        </w:rPr>
        <w:t>，登录本公司网站</w:t>
      </w:r>
      <w:r>
        <w:rPr>
          <w:rFonts w:hint="eastAsia"/>
        </w:rPr>
        <w:t>www.bosera.com</w:t>
      </w:r>
      <w:r>
        <w:rPr>
          <w:rFonts w:hint="eastAsia"/>
        </w:rPr>
        <w:t>了解有关情况。</w:t>
      </w:r>
      <w:r>
        <w:rPr>
          <w:rFonts w:hint="eastAsia"/>
        </w:rPr>
        <w:t> </w:t>
      </w:r>
    </w:p>
    <w:p w:rsidR="00656195" w:rsidRDefault="00BD5384">
      <w:pPr>
        <w:pStyle w:val="a7"/>
        <w:spacing w:before="0" w:beforeAutospacing="0" w:after="0" w:afterAutospacing="0" w:line="360" w:lineRule="auto"/>
        <w:ind w:firstLine="420"/>
      </w:pPr>
      <w:r>
        <w:rPr>
          <w:rFonts w:hint="eastAsia"/>
        </w:rPr>
        <w:t> </w:t>
      </w:r>
      <w:r>
        <w:rPr>
          <w:rFonts w:hint="eastAsia"/>
        </w:rPr>
        <w:t>二、截至</w:t>
      </w:r>
      <w:r>
        <w:rPr>
          <w:rFonts w:hint="eastAsia"/>
        </w:rPr>
        <w:t>2025</w:t>
      </w:r>
      <w:r>
        <w:rPr>
          <w:rFonts w:hint="eastAsia"/>
        </w:rPr>
        <w:t>年</w:t>
      </w:r>
      <w:r>
        <w:rPr>
          <w:rFonts w:hint="eastAsia"/>
        </w:rPr>
        <w:t>3</w:t>
      </w:r>
      <w:r>
        <w:rPr>
          <w:rFonts w:hint="eastAsia"/>
        </w:rPr>
        <w:t>月</w:t>
      </w:r>
      <w:r>
        <w:rPr>
          <w:rFonts w:hint="eastAsia"/>
        </w:rPr>
        <w:t>19</w:t>
      </w:r>
      <w:r>
        <w:rPr>
          <w:rFonts w:hint="eastAsia"/>
        </w:rPr>
        <w:t>日</w:t>
      </w:r>
      <w:r>
        <w:rPr>
          <w:rFonts w:hint="eastAsia"/>
        </w:rPr>
        <w:t>,</w:t>
      </w:r>
      <w:r>
        <w:rPr>
          <w:rFonts w:hint="eastAsia"/>
        </w:rPr>
        <w:t>恒生科技指数</w:t>
      </w:r>
      <w:r>
        <w:rPr>
          <w:rFonts w:hint="eastAsia"/>
        </w:rPr>
        <w:t>ETF</w:t>
      </w:r>
      <w:bookmarkStart w:id="0" w:name="_GoBack"/>
      <w:bookmarkEnd w:id="0"/>
      <w:r>
        <w:rPr>
          <w:rFonts w:hint="eastAsia"/>
        </w:rPr>
        <w:t>一级交易商名单如下：</w:t>
      </w:r>
      <w:r>
        <w:rPr>
          <w:rFonts w:hint="eastAsia"/>
        </w:rPr>
        <w:t> </w:t>
      </w:r>
    </w:p>
    <w:p w:rsidR="00656195" w:rsidRDefault="00BD5384">
      <w:pPr>
        <w:pStyle w:val="a7"/>
        <w:spacing w:before="0" w:beforeAutospacing="0" w:after="0" w:afterAutospacing="0" w:line="360" w:lineRule="auto"/>
        <w:ind w:firstLine="420"/>
      </w:pPr>
      <w:r>
        <w:rPr>
          <w:rFonts w:hint="eastAsia"/>
        </w:rPr>
        <w:t> </w:t>
      </w:r>
      <w:r>
        <w:rPr>
          <w:rFonts w:hint="eastAsia"/>
        </w:rPr>
        <w:t>爱建证券有限责任公司、财达证券股份有限公司、财通证券股份有限公司、长城证券股份有限公司、长江证券股份有限公司、德邦证券股份有限公司、东北证券股份有限公司、东方财富证券股份有限公司、东方证券股份有限公司、东海证券股份有限公司、东吴证券股份有限公司、东兴证券股份有限公司、东莞证券股份有限公司、方正证券股份有限公司、广发证券股份有限公司、国金证券股份有限公司、国联民生证券股份有限公司、国盛证券有限责任公司、国泰君安证券股份有限公司、国投证券股份有限公司、国新证券股份有限公司、国信证券股份有限公司、海通证券股份有</w:t>
      </w:r>
      <w:r>
        <w:rPr>
          <w:rFonts w:hint="eastAsia"/>
        </w:rPr>
        <w:t>限公司、恒泰证券股份有限公司、华安证券股份有限公司、华宝证券股份有限公司、华金证券股份有限公司、华泰证券股份有限公司、华鑫证券有限责任公司、金元证券股份有限公司、开源证券股份有限公司、联储证券股份有限公司、民生证券股份有限公司、山西证券股份有限公司、申万宏源西部证券有限公司、申万宏源证券有限公司、西部证券股份有限公司、湘财证券股份有限公司、信达证券股份有限公司、兴业证券股份有限公司、招商证券股份有限公司、浙商证券股份有限公司、中国国际金融股份有限公司、中国银河证券股份有限公司、中国中金财富证券有限公司、中航</w:t>
      </w:r>
      <w:r>
        <w:rPr>
          <w:rFonts w:hint="eastAsia"/>
        </w:rPr>
        <w:t>证券有限公司、中泰证券股份有限公司、中信建投证券股份有限公司、中信证券（山东）有限责任公司、中信证券股份有限公司、中信证券华南股份有限公司。</w:t>
      </w:r>
      <w:r>
        <w:rPr>
          <w:rFonts w:hint="eastAsia"/>
        </w:rPr>
        <w:t> </w:t>
      </w:r>
    </w:p>
    <w:p w:rsidR="00656195" w:rsidRDefault="00BD5384">
      <w:pPr>
        <w:pStyle w:val="a7"/>
        <w:spacing w:before="0" w:beforeAutospacing="0" w:after="0" w:afterAutospacing="0" w:line="360" w:lineRule="auto"/>
        <w:ind w:firstLine="420"/>
      </w:pPr>
      <w:r>
        <w:rPr>
          <w:rFonts w:hint="eastAsia"/>
        </w:rPr>
        <w:t> </w:t>
      </w:r>
      <w:r>
        <w:rPr>
          <w:rFonts w:hint="eastAsia"/>
        </w:rPr>
        <w:t>三、重要提示</w:t>
      </w:r>
      <w:r>
        <w:rPr>
          <w:rFonts w:hint="eastAsia"/>
        </w:rPr>
        <w:t> </w:t>
      </w:r>
    </w:p>
    <w:p w:rsidR="00656195" w:rsidRDefault="00BD5384">
      <w:pPr>
        <w:pStyle w:val="a7"/>
        <w:spacing w:before="0" w:beforeAutospacing="0" w:after="0" w:afterAutospacing="0" w:line="360" w:lineRule="auto"/>
        <w:ind w:firstLine="420"/>
      </w:pPr>
      <w:r>
        <w:rPr>
          <w:rFonts w:hint="eastAsia"/>
        </w:rPr>
        <w:lastRenderedPageBreak/>
        <w:t> </w:t>
      </w:r>
      <w:r>
        <w:rPr>
          <w:rFonts w:hint="eastAsia"/>
        </w:rPr>
        <w:t>基金管理人承诺以诚实信用、勤勉尽责的原则管理和运用基金资产，但不保证基金一定盈利，也不保证最低收益。投资者投资于基金时应认真阅读基金的《基金合同》和《招募说明书》。敬请投资者注意投资风险。</w:t>
      </w:r>
      <w:r>
        <w:rPr>
          <w:rFonts w:hint="eastAsia"/>
        </w:rPr>
        <w:t> </w:t>
      </w:r>
    </w:p>
    <w:p w:rsidR="00656195" w:rsidRDefault="00656195">
      <w:pPr>
        <w:pStyle w:val="a7"/>
        <w:spacing w:before="0" w:beforeAutospacing="0" w:after="0" w:afterAutospacing="0" w:line="360" w:lineRule="auto"/>
        <w:ind w:firstLine="420"/>
      </w:pPr>
    </w:p>
    <w:p w:rsidR="00656195" w:rsidRDefault="00BD5384">
      <w:pPr>
        <w:pStyle w:val="a7"/>
        <w:spacing w:before="0" w:beforeAutospacing="0" w:after="0" w:afterAutospacing="0" w:line="360" w:lineRule="auto"/>
        <w:ind w:firstLine="420"/>
      </w:pPr>
      <w:r>
        <w:rPr>
          <w:rFonts w:hint="eastAsia"/>
        </w:rPr>
        <w:t> </w:t>
      </w:r>
      <w:r>
        <w:rPr>
          <w:rFonts w:hint="eastAsia"/>
        </w:rPr>
        <w:t>特此公告。</w:t>
      </w:r>
      <w:r>
        <w:rPr>
          <w:rFonts w:hint="eastAsia"/>
        </w:rPr>
        <w:t> </w:t>
      </w:r>
    </w:p>
    <w:p w:rsidR="00656195" w:rsidRDefault="00BD5384">
      <w:pPr>
        <w:autoSpaceDE w:val="0"/>
        <w:autoSpaceDN w:val="0"/>
        <w:spacing w:line="360" w:lineRule="auto"/>
        <w:ind w:firstLine="570"/>
        <w:jc w:val="right"/>
        <w:rPr>
          <w:rFonts w:ascii="宋体" w:hAnsi="宋体"/>
          <w:color w:val="000000"/>
          <w:sz w:val="24"/>
          <w:szCs w:val="24"/>
        </w:rPr>
      </w:pPr>
      <w:r>
        <w:rPr>
          <w:rFonts w:ascii="宋体" w:hAnsi="宋体" w:hint="eastAsia"/>
          <w:color w:val="000000"/>
          <w:sz w:val="24"/>
          <w:szCs w:val="24"/>
        </w:rPr>
        <w:t>博时基金管理有限公司</w:t>
      </w:r>
    </w:p>
    <w:p w:rsidR="00656195" w:rsidRDefault="00BD5384">
      <w:pPr>
        <w:spacing w:line="360" w:lineRule="auto"/>
        <w:jc w:val="right"/>
        <w:rPr>
          <w:rFonts w:ascii="宋体" w:hAnsi="宋体"/>
          <w:color w:val="FF0000"/>
          <w:sz w:val="24"/>
          <w:szCs w:val="24"/>
        </w:rPr>
      </w:pPr>
      <w:r>
        <w:rPr>
          <w:rFonts w:ascii="宋体" w:hAnsi="宋体"/>
          <w:color w:val="000000"/>
          <w:sz w:val="24"/>
          <w:szCs w:val="24"/>
        </w:rPr>
        <w:t>2025</w:t>
      </w:r>
      <w:r>
        <w:rPr>
          <w:rFonts w:ascii="宋体" w:hAnsi="宋体"/>
          <w:color w:val="000000"/>
          <w:sz w:val="24"/>
          <w:szCs w:val="24"/>
        </w:rPr>
        <w:t>年</w:t>
      </w:r>
      <w:r>
        <w:rPr>
          <w:rFonts w:ascii="宋体" w:hAnsi="宋体"/>
          <w:color w:val="000000"/>
          <w:sz w:val="24"/>
          <w:szCs w:val="24"/>
        </w:rPr>
        <w:t>3</w:t>
      </w:r>
      <w:r>
        <w:rPr>
          <w:rFonts w:ascii="宋体" w:hAnsi="宋体"/>
          <w:color w:val="000000"/>
          <w:sz w:val="24"/>
          <w:szCs w:val="24"/>
        </w:rPr>
        <w:t>月</w:t>
      </w:r>
      <w:r>
        <w:rPr>
          <w:rFonts w:ascii="宋体" w:hAnsi="宋体"/>
          <w:color w:val="000000"/>
          <w:sz w:val="24"/>
          <w:szCs w:val="24"/>
        </w:rPr>
        <w:t>19</w:t>
      </w:r>
      <w:r>
        <w:rPr>
          <w:rFonts w:ascii="宋体" w:hAnsi="宋体"/>
          <w:color w:val="000000"/>
          <w:sz w:val="24"/>
          <w:szCs w:val="24"/>
        </w:rPr>
        <w:t>日</w:t>
      </w:r>
    </w:p>
    <w:sectPr w:rsidR="00656195" w:rsidSect="00656195">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charset w:val="86"/>
    <w:family w:val="auto"/>
    <w:pitch w:val="default"/>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B3E60"/>
    <w:multiLevelType w:val="multilevel"/>
    <w:tmpl w:val="393B3E60"/>
    <w:lvl w:ilvl="0">
      <w:start w:val="1"/>
      <w:numFmt w:val="chineseCountingThousand"/>
      <w:pStyle w:val="1"/>
      <w:suff w:val="nothing"/>
      <w:lvlText w:val="%1、"/>
      <w:lvlJc w:val="center"/>
      <w:pPr>
        <w:ind w:left="0" w:firstLine="288"/>
      </w:pPr>
    </w:lvl>
    <w:lvl w:ilvl="1">
      <w:start w:val="1"/>
      <w:numFmt w:val="chineseCountingThousand"/>
      <w:pStyle w:val="2"/>
      <w:lvlText w:val="（%2）"/>
      <w:lvlJc w:val="left"/>
      <w:pPr>
        <w:tabs>
          <w:tab w:val="left" w:pos="1260"/>
        </w:tabs>
        <w:ind w:left="180" w:firstLine="0"/>
      </w:pPr>
      <w:rPr>
        <w:sz w:val="21"/>
        <w:szCs w:val="21"/>
      </w:rPr>
    </w:lvl>
    <w:lvl w:ilvl="2">
      <w:start w:val="1"/>
      <w:numFmt w:val="decimal"/>
      <w:pStyle w:val="3"/>
      <w:lvlText w:val="%3."/>
      <w:lvlJc w:val="left"/>
      <w:pPr>
        <w:tabs>
          <w:tab w:val="left" w:pos="454"/>
        </w:tabs>
        <w:ind w:left="454" w:hanging="454"/>
      </w:pPr>
      <w:rPr>
        <w:rFonts w:ascii="Arial" w:eastAsia="宋体" w:hAnsi="Arial" w:cs="Arial" w:hint="default"/>
        <w:b w:val="0"/>
        <w:i w:val="0"/>
        <w:sz w:val="21"/>
      </w:rPr>
    </w:lvl>
    <w:lvl w:ilvl="3">
      <w:start w:val="1"/>
      <w:numFmt w:val="decimal"/>
      <w:pStyle w:val="4"/>
      <w:lvlText w:val="（%4）"/>
      <w:lvlJc w:val="left"/>
      <w:pPr>
        <w:tabs>
          <w:tab w:val="left" w:pos="720"/>
        </w:tabs>
        <w:ind w:left="0" w:firstLine="0"/>
      </w:pPr>
      <w:rPr>
        <w:rFonts w:ascii="Arial" w:eastAsia="宋体" w:hAnsi="Arial" w:cs="Arial" w:hint="default"/>
        <w:sz w:val="21"/>
      </w:rPr>
    </w:lvl>
    <w:lvl w:ilvl="4">
      <w:start w:val="1"/>
      <w:numFmt w:val="none"/>
      <w:pStyle w:val="5"/>
      <w:lvlText w:val=""/>
      <w:lvlJc w:val="left"/>
      <w:pPr>
        <w:tabs>
          <w:tab w:val="left" w:pos="360"/>
        </w:tabs>
        <w:ind w:left="0" w:firstLine="0"/>
      </w:pPr>
      <w:rPr>
        <w:sz w:val="24"/>
      </w:rPr>
    </w:lvl>
    <w:lvl w:ilvl="5">
      <w:start w:val="1"/>
      <w:numFmt w:val="upperLetter"/>
      <w:pStyle w:val="6"/>
      <w:lvlText w:val="%6."/>
      <w:lvlJc w:val="left"/>
      <w:pPr>
        <w:tabs>
          <w:tab w:val="left" w:pos="927"/>
        </w:tabs>
        <w:ind w:left="0" w:firstLine="567"/>
      </w:pPr>
      <w:rPr>
        <w:sz w:val="21"/>
        <w:szCs w:val="21"/>
      </w:rPr>
    </w:lvl>
    <w:lvl w:ilvl="6">
      <w:start w:val="1"/>
      <w:numFmt w:val="none"/>
      <w:lvlText w:val=""/>
      <w:lvlJc w:val="left"/>
      <w:pPr>
        <w:tabs>
          <w:tab w:val="left" w:pos="3827"/>
        </w:tabs>
        <w:ind w:left="3827" w:hanging="1276"/>
      </w:pPr>
    </w:lvl>
    <w:lvl w:ilvl="7">
      <w:start w:val="1"/>
      <w:numFmt w:val="none"/>
      <w:lvlText w:val=""/>
      <w:lvlJc w:val="left"/>
      <w:pPr>
        <w:tabs>
          <w:tab w:val="left" w:pos="4394"/>
        </w:tabs>
        <w:ind w:left="4394" w:hanging="1418"/>
      </w:pPr>
    </w:lvl>
    <w:lvl w:ilvl="8">
      <w:start w:val="1"/>
      <w:numFmt w:val="none"/>
      <w:lvlText w:val=""/>
      <w:lvlJc w:val="left"/>
      <w:pPr>
        <w:tabs>
          <w:tab w:val="left" w:pos="5102"/>
        </w:tabs>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5261"/>
    <w:rsid w:val="000045D1"/>
    <w:rsid w:val="00092C75"/>
    <w:rsid w:val="000B19D3"/>
    <w:rsid w:val="001349CD"/>
    <w:rsid w:val="00182AE4"/>
    <w:rsid w:val="00186B81"/>
    <w:rsid w:val="001F2254"/>
    <w:rsid w:val="0030042E"/>
    <w:rsid w:val="00334A76"/>
    <w:rsid w:val="004E2DEA"/>
    <w:rsid w:val="0054440F"/>
    <w:rsid w:val="005C6C5C"/>
    <w:rsid w:val="00656195"/>
    <w:rsid w:val="00791D57"/>
    <w:rsid w:val="007B2188"/>
    <w:rsid w:val="00816D5C"/>
    <w:rsid w:val="00855A50"/>
    <w:rsid w:val="008D0F9B"/>
    <w:rsid w:val="008E39A2"/>
    <w:rsid w:val="009D1DE7"/>
    <w:rsid w:val="00A02E52"/>
    <w:rsid w:val="00B50B2B"/>
    <w:rsid w:val="00BD5384"/>
    <w:rsid w:val="00DF750F"/>
    <w:rsid w:val="00F8460C"/>
    <w:rsid w:val="00FB06A4"/>
    <w:rsid w:val="00FB450C"/>
    <w:rsid w:val="00FC2A28"/>
    <w:rsid w:val="00FE0443"/>
    <w:rsid w:val="00FE5261"/>
    <w:rsid w:val="1ABE5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95"/>
    <w:pPr>
      <w:jc w:val="both"/>
    </w:pPr>
    <w:rPr>
      <w:rFonts w:ascii="Calibri" w:eastAsia="宋体" w:hAnsi="Calibri" w:cs="宋体"/>
      <w:sz w:val="21"/>
      <w:szCs w:val="21"/>
    </w:rPr>
  </w:style>
  <w:style w:type="paragraph" w:styleId="1">
    <w:name w:val="heading 1"/>
    <w:basedOn w:val="a"/>
    <w:next w:val="a"/>
    <w:link w:val="1Char"/>
    <w:uiPriority w:val="9"/>
    <w:qFormat/>
    <w:rsid w:val="00656195"/>
    <w:pPr>
      <w:numPr>
        <w:numId w:val="1"/>
      </w:numPr>
      <w:spacing w:before="300" w:after="300" w:line="360" w:lineRule="auto"/>
      <w:outlineLvl w:val="0"/>
    </w:pPr>
    <w:rPr>
      <w:rFonts w:ascii="宋体" w:hAnsi="宋体"/>
      <w:b/>
      <w:bCs/>
      <w:color w:val="000000"/>
      <w:kern w:val="36"/>
      <w:sz w:val="30"/>
      <w:szCs w:val="30"/>
    </w:rPr>
  </w:style>
  <w:style w:type="paragraph" w:styleId="2">
    <w:name w:val="heading 2"/>
    <w:basedOn w:val="a"/>
    <w:next w:val="a"/>
    <w:link w:val="2Char"/>
    <w:uiPriority w:val="9"/>
    <w:semiHidden/>
    <w:unhideWhenUsed/>
    <w:qFormat/>
    <w:rsid w:val="00656195"/>
    <w:pPr>
      <w:numPr>
        <w:ilvl w:val="1"/>
        <w:numId w:val="1"/>
      </w:numPr>
      <w:spacing w:after="120" w:line="360" w:lineRule="auto"/>
      <w:outlineLvl w:val="1"/>
    </w:pPr>
    <w:rPr>
      <w:rFonts w:ascii="宋体" w:hAnsi="宋体"/>
      <w:color w:val="000000"/>
      <w:sz w:val="24"/>
      <w:szCs w:val="24"/>
    </w:rPr>
  </w:style>
  <w:style w:type="paragraph" w:styleId="3">
    <w:name w:val="heading 3"/>
    <w:basedOn w:val="a"/>
    <w:next w:val="a"/>
    <w:link w:val="3Char"/>
    <w:uiPriority w:val="9"/>
    <w:semiHidden/>
    <w:unhideWhenUsed/>
    <w:qFormat/>
    <w:rsid w:val="00656195"/>
    <w:pPr>
      <w:numPr>
        <w:ilvl w:val="2"/>
        <w:numId w:val="1"/>
      </w:numPr>
      <w:spacing w:after="120" w:line="360" w:lineRule="auto"/>
      <w:outlineLvl w:val="2"/>
    </w:pPr>
    <w:rPr>
      <w:rFonts w:ascii="宋体" w:hAnsi="宋体"/>
      <w:color w:val="000000"/>
    </w:rPr>
  </w:style>
  <w:style w:type="paragraph" w:styleId="4">
    <w:name w:val="heading 4"/>
    <w:basedOn w:val="a"/>
    <w:next w:val="a"/>
    <w:link w:val="4Char"/>
    <w:uiPriority w:val="9"/>
    <w:semiHidden/>
    <w:unhideWhenUsed/>
    <w:qFormat/>
    <w:rsid w:val="00656195"/>
    <w:pPr>
      <w:numPr>
        <w:ilvl w:val="3"/>
        <w:numId w:val="1"/>
      </w:numPr>
      <w:spacing w:after="120" w:line="360" w:lineRule="auto"/>
      <w:outlineLvl w:val="3"/>
    </w:pPr>
    <w:rPr>
      <w:rFonts w:ascii="宋体" w:hAnsi="宋体"/>
      <w:color w:val="000000"/>
    </w:rPr>
  </w:style>
  <w:style w:type="paragraph" w:styleId="5">
    <w:name w:val="heading 5"/>
    <w:basedOn w:val="a"/>
    <w:next w:val="a"/>
    <w:link w:val="5Char"/>
    <w:uiPriority w:val="9"/>
    <w:semiHidden/>
    <w:unhideWhenUsed/>
    <w:qFormat/>
    <w:rsid w:val="00656195"/>
    <w:pPr>
      <w:numPr>
        <w:ilvl w:val="4"/>
        <w:numId w:val="1"/>
      </w:numPr>
      <w:spacing w:after="120" w:line="360" w:lineRule="auto"/>
      <w:outlineLvl w:val="4"/>
    </w:pPr>
    <w:rPr>
      <w:rFonts w:ascii="宋体" w:hAnsi="宋体"/>
      <w:color w:val="000000"/>
    </w:rPr>
  </w:style>
  <w:style w:type="paragraph" w:styleId="6">
    <w:name w:val="heading 6"/>
    <w:basedOn w:val="a"/>
    <w:next w:val="a"/>
    <w:link w:val="6Char"/>
    <w:uiPriority w:val="9"/>
    <w:semiHidden/>
    <w:unhideWhenUsed/>
    <w:qFormat/>
    <w:rsid w:val="00656195"/>
    <w:pPr>
      <w:numPr>
        <w:ilvl w:val="5"/>
        <w:numId w:val="1"/>
      </w:numPr>
      <w:spacing w:after="120" w:line="360" w:lineRule="auto"/>
      <w:outlineLvl w:val="5"/>
    </w:pPr>
    <w:rPr>
      <w:rFonts w:ascii="宋体" w:hAnsi="宋体"/>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56195"/>
    <w:pPr>
      <w:jc w:val="left"/>
    </w:pPr>
  </w:style>
  <w:style w:type="paragraph" w:styleId="a4">
    <w:name w:val="Balloon Text"/>
    <w:basedOn w:val="a"/>
    <w:link w:val="Char0"/>
    <w:uiPriority w:val="99"/>
    <w:semiHidden/>
    <w:unhideWhenUsed/>
    <w:rsid w:val="00656195"/>
    <w:rPr>
      <w:sz w:val="18"/>
      <w:szCs w:val="18"/>
    </w:rPr>
  </w:style>
  <w:style w:type="paragraph" w:styleId="a5">
    <w:name w:val="footer"/>
    <w:basedOn w:val="a"/>
    <w:link w:val="Char1"/>
    <w:uiPriority w:val="99"/>
    <w:unhideWhenUsed/>
    <w:rsid w:val="00656195"/>
    <w:pPr>
      <w:tabs>
        <w:tab w:val="center" w:pos="4153"/>
        <w:tab w:val="right" w:pos="8306"/>
      </w:tabs>
      <w:snapToGrid w:val="0"/>
      <w:jc w:val="left"/>
    </w:pPr>
    <w:rPr>
      <w:sz w:val="18"/>
      <w:szCs w:val="18"/>
    </w:rPr>
  </w:style>
  <w:style w:type="paragraph" w:styleId="a6">
    <w:name w:val="header"/>
    <w:basedOn w:val="a"/>
    <w:link w:val="Char2"/>
    <w:uiPriority w:val="99"/>
    <w:unhideWhenUsed/>
    <w:rsid w:val="0065619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656195"/>
    <w:pPr>
      <w:spacing w:before="100" w:beforeAutospacing="1" w:after="100" w:afterAutospacing="1"/>
      <w:jc w:val="left"/>
    </w:pPr>
    <w:rPr>
      <w:rFonts w:ascii="宋体" w:hAnsi="宋体"/>
      <w:sz w:val="24"/>
      <w:szCs w:val="24"/>
    </w:rPr>
  </w:style>
  <w:style w:type="paragraph" w:styleId="a8">
    <w:name w:val="annotation subject"/>
    <w:basedOn w:val="a3"/>
    <w:next w:val="a3"/>
    <w:link w:val="Char3"/>
    <w:uiPriority w:val="99"/>
    <w:semiHidden/>
    <w:unhideWhenUsed/>
    <w:rsid w:val="00656195"/>
    <w:rPr>
      <w:b/>
      <w:bCs/>
    </w:rPr>
  </w:style>
  <w:style w:type="character" w:styleId="a9">
    <w:name w:val="annotation reference"/>
    <w:basedOn w:val="a0"/>
    <w:uiPriority w:val="99"/>
    <w:semiHidden/>
    <w:unhideWhenUsed/>
    <w:rsid w:val="00656195"/>
    <w:rPr>
      <w:sz w:val="21"/>
      <w:szCs w:val="21"/>
    </w:rPr>
  </w:style>
  <w:style w:type="character" w:customStyle="1" w:styleId="Char2">
    <w:name w:val="页眉 Char"/>
    <w:basedOn w:val="a0"/>
    <w:link w:val="a6"/>
    <w:uiPriority w:val="99"/>
    <w:rsid w:val="00656195"/>
    <w:rPr>
      <w:sz w:val="18"/>
      <w:szCs w:val="18"/>
    </w:rPr>
  </w:style>
  <w:style w:type="character" w:customStyle="1" w:styleId="Char1">
    <w:name w:val="页脚 Char"/>
    <w:basedOn w:val="a0"/>
    <w:link w:val="a5"/>
    <w:uiPriority w:val="99"/>
    <w:rsid w:val="00656195"/>
    <w:rPr>
      <w:sz w:val="18"/>
      <w:szCs w:val="18"/>
    </w:rPr>
  </w:style>
  <w:style w:type="character" w:customStyle="1" w:styleId="Char">
    <w:name w:val="批注文字 Char"/>
    <w:basedOn w:val="a0"/>
    <w:link w:val="a3"/>
    <w:uiPriority w:val="99"/>
    <w:semiHidden/>
    <w:rsid w:val="00656195"/>
  </w:style>
  <w:style w:type="character" w:customStyle="1" w:styleId="Char3">
    <w:name w:val="批注主题 Char"/>
    <w:basedOn w:val="Char"/>
    <w:link w:val="a8"/>
    <w:uiPriority w:val="99"/>
    <w:semiHidden/>
    <w:rsid w:val="00656195"/>
    <w:rPr>
      <w:b/>
      <w:bCs/>
    </w:rPr>
  </w:style>
  <w:style w:type="character" w:customStyle="1" w:styleId="Char0">
    <w:name w:val="批注框文本 Char"/>
    <w:basedOn w:val="a0"/>
    <w:link w:val="a4"/>
    <w:uiPriority w:val="99"/>
    <w:semiHidden/>
    <w:rsid w:val="00656195"/>
    <w:rPr>
      <w:sz w:val="18"/>
      <w:szCs w:val="18"/>
    </w:rPr>
  </w:style>
  <w:style w:type="character" w:customStyle="1" w:styleId="10">
    <w:name w:val="标题 1 字符"/>
    <w:basedOn w:val="a0"/>
    <w:uiPriority w:val="9"/>
    <w:rsid w:val="00656195"/>
    <w:rPr>
      <w:rFonts w:ascii="Calibri" w:eastAsia="宋体" w:hAnsi="Calibri" w:cs="宋体"/>
      <w:b/>
      <w:bCs/>
      <w:kern w:val="44"/>
      <w:sz w:val="44"/>
      <w:szCs w:val="44"/>
    </w:rPr>
  </w:style>
  <w:style w:type="character" w:customStyle="1" w:styleId="2Char">
    <w:name w:val="标题 2 Char"/>
    <w:basedOn w:val="a0"/>
    <w:link w:val="2"/>
    <w:uiPriority w:val="9"/>
    <w:semiHidden/>
    <w:rsid w:val="00656195"/>
    <w:rPr>
      <w:rFonts w:ascii="宋体" w:eastAsia="宋体" w:hAnsi="宋体" w:cs="宋体"/>
      <w:color w:val="000000"/>
      <w:kern w:val="0"/>
      <w:sz w:val="24"/>
      <w:szCs w:val="24"/>
    </w:rPr>
  </w:style>
  <w:style w:type="character" w:customStyle="1" w:styleId="3Char">
    <w:name w:val="标题 3 Char"/>
    <w:basedOn w:val="a0"/>
    <w:link w:val="3"/>
    <w:uiPriority w:val="9"/>
    <w:semiHidden/>
    <w:rsid w:val="00656195"/>
    <w:rPr>
      <w:rFonts w:ascii="宋体" w:eastAsia="宋体" w:hAnsi="宋体" w:cs="宋体"/>
      <w:color w:val="000000"/>
      <w:kern w:val="0"/>
      <w:szCs w:val="21"/>
    </w:rPr>
  </w:style>
  <w:style w:type="character" w:customStyle="1" w:styleId="4Char">
    <w:name w:val="标题 4 Char"/>
    <w:basedOn w:val="a0"/>
    <w:link w:val="4"/>
    <w:uiPriority w:val="9"/>
    <w:semiHidden/>
    <w:rsid w:val="00656195"/>
    <w:rPr>
      <w:rFonts w:ascii="宋体" w:eastAsia="宋体" w:hAnsi="宋体" w:cs="宋体"/>
      <w:color w:val="000000"/>
      <w:kern w:val="0"/>
      <w:szCs w:val="21"/>
    </w:rPr>
  </w:style>
  <w:style w:type="character" w:customStyle="1" w:styleId="5Char">
    <w:name w:val="标题 5 Char"/>
    <w:basedOn w:val="a0"/>
    <w:link w:val="5"/>
    <w:uiPriority w:val="9"/>
    <w:semiHidden/>
    <w:rsid w:val="00656195"/>
    <w:rPr>
      <w:rFonts w:ascii="宋体" w:eastAsia="宋体" w:hAnsi="宋体" w:cs="宋体"/>
      <w:color w:val="000000"/>
      <w:kern w:val="0"/>
      <w:szCs w:val="21"/>
    </w:rPr>
  </w:style>
  <w:style w:type="character" w:customStyle="1" w:styleId="6Char">
    <w:name w:val="标题 6 Char"/>
    <w:basedOn w:val="a0"/>
    <w:link w:val="6"/>
    <w:uiPriority w:val="9"/>
    <w:semiHidden/>
    <w:rsid w:val="00656195"/>
    <w:rPr>
      <w:rFonts w:ascii="宋体" w:eastAsia="宋体" w:hAnsi="宋体" w:cs="宋体"/>
      <w:color w:val="000000"/>
      <w:kern w:val="0"/>
      <w:szCs w:val="21"/>
    </w:rPr>
  </w:style>
  <w:style w:type="character" w:customStyle="1" w:styleId="1Char">
    <w:name w:val="标题 1 Char"/>
    <w:link w:val="1"/>
    <w:uiPriority w:val="9"/>
    <w:rsid w:val="00656195"/>
    <w:rPr>
      <w:rFonts w:ascii="宋体" w:eastAsia="宋体" w:hAnsi="宋体" w:cs="宋体"/>
      <w:b/>
      <w:bCs/>
      <w:color w:val="000000"/>
      <w:kern w:val="3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4</DocSecurity>
  <Lines>7</Lines>
  <Paragraphs>2</Paragraphs>
  <ScaleCrop>false</ScaleCrop>
  <Company>CNSTOCK</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ZHONGM</cp:lastModifiedBy>
  <cp:revision>2</cp:revision>
  <dcterms:created xsi:type="dcterms:W3CDTF">2025-03-18T16:02:00Z</dcterms:created>
  <dcterms:modified xsi:type="dcterms:W3CDTF">2025-03-18T16:02:00Z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15633BE133A1493B9C16F0C8DEC5103D</vt:lpwstr>
  </property>
</Properties>
</file>