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AE" w:rsidRDefault="002D0A0B">
      <w:pPr>
        <w:spacing w:line="360" w:lineRule="auto"/>
        <w:jc w:val="center"/>
        <w:rPr>
          <w:rFonts w:ascii="宋体"/>
          <w:b/>
          <w:sz w:val="28"/>
        </w:rPr>
      </w:pPr>
      <w:r>
        <w:rPr>
          <w:rFonts w:ascii="宋体"/>
          <w:b/>
          <w:sz w:val="28"/>
        </w:rPr>
        <w:t>大成基金管理有限公司</w:t>
      </w:r>
      <w:r>
        <w:rPr>
          <w:rFonts w:ascii="宋体" w:hint="eastAsia"/>
          <w:b/>
          <w:sz w:val="28"/>
        </w:rPr>
        <w:t>旗下部分E</w:t>
      </w:r>
      <w:r>
        <w:rPr>
          <w:rFonts w:ascii="宋体"/>
          <w:b/>
          <w:sz w:val="28"/>
        </w:rPr>
        <w:t>TF基金</w:t>
      </w:r>
    </w:p>
    <w:p w:rsidR="00B833AE" w:rsidRDefault="002D0A0B">
      <w:pPr>
        <w:spacing w:line="360" w:lineRule="auto"/>
        <w:jc w:val="center"/>
        <w:rPr>
          <w:rFonts w:ascii="宋体"/>
          <w:b/>
          <w:sz w:val="28"/>
        </w:rPr>
      </w:pPr>
      <w:r>
        <w:rPr>
          <w:rFonts w:ascii="宋体"/>
          <w:b/>
          <w:sz w:val="28"/>
        </w:rPr>
        <w:t>新增</w:t>
      </w:r>
      <w:r>
        <w:rPr>
          <w:rFonts w:ascii="宋体" w:hint="eastAsia"/>
          <w:b/>
          <w:sz w:val="28"/>
        </w:rPr>
        <w:t>海通证券股份有限公司为</w:t>
      </w:r>
      <w:r>
        <w:rPr>
          <w:rFonts w:ascii="宋体"/>
          <w:b/>
          <w:sz w:val="28"/>
        </w:rPr>
        <w:t>申购赎回代办证券公司的公告</w:t>
      </w:r>
    </w:p>
    <w:p w:rsidR="00B833AE" w:rsidRDefault="002D0A0B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根据大成基金管理有限公司与</w:t>
      </w:r>
      <w:r>
        <w:rPr>
          <w:rFonts w:ascii="宋体" w:hint="eastAsia"/>
          <w:szCs w:val="21"/>
        </w:rPr>
        <w:t>海通证券股份有限公司</w:t>
      </w:r>
      <w:r>
        <w:rPr>
          <w:rFonts w:ascii="宋体"/>
          <w:szCs w:val="21"/>
        </w:rPr>
        <w:t>签署的销售服务协议及相关业务准备情况</w:t>
      </w:r>
      <w:r>
        <w:rPr>
          <w:rFonts w:ascii="宋体" w:hint="eastAsia"/>
          <w:szCs w:val="21"/>
        </w:rPr>
        <w:t>，</w:t>
      </w:r>
      <w:r>
        <w:rPr>
          <w:rFonts w:ascii="宋体"/>
          <w:szCs w:val="21"/>
        </w:rPr>
        <w:t>自202</w:t>
      </w:r>
      <w:r>
        <w:rPr>
          <w:rFonts w:ascii="宋体" w:hint="eastAsia"/>
          <w:szCs w:val="21"/>
        </w:rPr>
        <w:t>5</w:t>
      </w:r>
      <w:r>
        <w:rPr>
          <w:rFonts w:ascii="宋体"/>
          <w:szCs w:val="21"/>
        </w:rPr>
        <w:t>年</w:t>
      </w:r>
      <w:r>
        <w:rPr>
          <w:rFonts w:ascii="宋体" w:hint="eastAsia"/>
          <w:szCs w:val="21"/>
        </w:rPr>
        <w:t>3</w:t>
      </w:r>
      <w:r>
        <w:rPr>
          <w:rFonts w:ascii="宋体"/>
          <w:szCs w:val="21"/>
        </w:rPr>
        <w:t>月</w:t>
      </w:r>
      <w:r>
        <w:rPr>
          <w:rFonts w:ascii="宋体" w:hint="eastAsia"/>
          <w:szCs w:val="21"/>
        </w:rPr>
        <w:t>19</w:t>
      </w:r>
      <w:r>
        <w:rPr>
          <w:rFonts w:ascii="宋体"/>
          <w:szCs w:val="21"/>
        </w:rPr>
        <w:t>日起，新增</w:t>
      </w:r>
      <w:r>
        <w:rPr>
          <w:rFonts w:ascii="宋体" w:hint="eastAsia"/>
          <w:szCs w:val="21"/>
        </w:rPr>
        <w:t>海通证券股份有限公司</w:t>
      </w:r>
      <w:r>
        <w:rPr>
          <w:rFonts w:ascii="宋体"/>
          <w:szCs w:val="21"/>
        </w:rPr>
        <w:t>为</w:t>
      </w:r>
      <w:r>
        <w:rPr>
          <w:rFonts w:ascii="宋体" w:hint="eastAsia"/>
          <w:szCs w:val="21"/>
        </w:rPr>
        <w:t>大成纳斯达克100交易型开放式指数证券投资基金(QDII)（基金代码：159513，场内简称：纳斯达克100指数ETF）、大成恒生科技交易型开放式指数证券投资基金(QDII)（基金代码：159740，场内简称：恒生科技ETF）、大成恒生医疗保健交易型开放式指数证券投资基金(QDII)（基金代码：159303，场内简称：恒生医疗ETF基金）、大成有色金属期货交易型开放式指数证券投资基金（基金代码：159980，场内简称：有色ETF）、大成中证A50交易型开放式指数证券投资基金（基金代码：159595，场内简称：中证A50ETF基金）、大成中证工程机械主题交易型开放式指数证券投资基金（基金代码：159542，场内简称：工程机械ETF）、大成中证上海环交所碳中和交易型开放式指数证券投资基金（基金代码：159642，场内简称：碳中和100ETF）、大成中证A100交易型开放式指数证券投资基金（基金代码：159923，场内简称：中证A100</w:t>
      </w:r>
      <w:r>
        <w:rPr>
          <w:rFonts w:ascii="宋体"/>
          <w:szCs w:val="21"/>
        </w:rPr>
        <w:t>ETF</w:t>
      </w:r>
      <w:r>
        <w:rPr>
          <w:rFonts w:ascii="宋体" w:hint="eastAsia"/>
          <w:szCs w:val="21"/>
        </w:rPr>
        <w:t>基金）、大成中证A500交易型开放式指数证券投资基金（基金代码：159358，场内简称：中证A500</w:t>
      </w:r>
      <w:r>
        <w:rPr>
          <w:rFonts w:ascii="宋体"/>
          <w:szCs w:val="21"/>
        </w:rPr>
        <w:t>ETF</w:t>
      </w:r>
      <w:r>
        <w:rPr>
          <w:rFonts w:ascii="宋体" w:hint="eastAsia"/>
          <w:szCs w:val="21"/>
        </w:rPr>
        <w:t>基金）、大成深证基准做市信用债交易型开放式指数证券投资基金（基金代码：159395，场内简称：信用债ETF大成）</w:t>
      </w:r>
      <w:r>
        <w:rPr>
          <w:rFonts w:ascii="宋体"/>
          <w:szCs w:val="21"/>
        </w:rPr>
        <w:t>申购赎回代办证券公司</w:t>
      </w:r>
      <w:r>
        <w:rPr>
          <w:rFonts w:ascii="宋体" w:hint="eastAsia"/>
          <w:szCs w:val="21"/>
        </w:rPr>
        <w:t>。</w:t>
      </w:r>
    </w:p>
    <w:p w:rsidR="00B833AE" w:rsidRDefault="002D0A0B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投资者在</w:t>
      </w:r>
      <w:r>
        <w:rPr>
          <w:rFonts w:ascii="宋体" w:hint="eastAsia"/>
          <w:szCs w:val="21"/>
        </w:rPr>
        <w:t>海通证券股份有限公司</w:t>
      </w:r>
      <w:r>
        <w:rPr>
          <w:rFonts w:ascii="宋体"/>
          <w:szCs w:val="21"/>
        </w:rPr>
        <w:t>办理</w:t>
      </w:r>
      <w:r>
        <w:rPr>
          <w:rFonts w:ascii="宋体" w:hint="eastAsia"/>
          <w:szCs w:val="21"/>
        </w:rPr>
        <w:t>上述</w:t>
      </w:r>
      <w:r>
        <w:rPr>
          <w:rFonts w:ascii="宋体"/>
          <w:szCs w:val="21"/>
        </w:rPr>
        <w:t>基金的申购、赎回等业务的具体流程、规则等请遵循</w:t>
      </w:r>
      <w:r>
        <w:rPr>
          <w:rFonts w:ascii="宋体" w:hint="eastAsia"/>
          <w:szCs w:val="21"/>
        </w:rPr>
        <w:t>海通证券股份有限公司</w:t>
      </w:r>
      <w:r>
        <w:rPr>
          <w:rFonts w:ascii="宋体"/>
          <w:szCs w:val="21"/>
        </w:rPr>
        <w:t>的相关规定。</w:t>
      </w:r>
    </w:p>
    <w:p w:rsidR="00B833AE" w:rsidRDefault="00B833AE">
      <w:pPr>
        <w:spacing w:line="360" w:lineRule="auto"/>
        <w:ind w:firstLineChars="200" w:firstLine="420"/>
        <w:rPr>
          <w:rFonts w:ascii="宋体"/>
          <w:szCs w:val="21"/>
        </w:rPr>
      </w:pPr>
    </w:p>
    <w:p w:rsidR="00B833AE" w:rsidRDefault="002D0A0B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投资者可通过以下渠道咨询详情：</w:t>
      </w:r>
    </w:p>
    <w:p w:rsidR="00B833AE" w:rsidRDefault="002D0A0B">
      <w:pPr>
        <w:spacing w:line="360" w:lineRule="auto"/>
        <w:ind w:firstLineChars="200" w:firstLine="422"/>
        <w:rPr>
          <w:rFonts w:ascii="宋体"/>
          <w:b/>
          <w:szCs w:val="21"/>
        </w:rPr>
      </w:pPr>
      <w:r>
        <w:rPr>
          <w:rFonts w:ascii="宋体"/>
          <w:b/>
          <w:szCs w:val="21"/>
        </w:rPr>
        <w:t>1.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海通</w:t>
      </w:r>
      <w:r>
        <w:rPr>
          <w:rFonts w:ascii="宋体" w:hint="eastAsia"/>
          <w:b/>
          <w:szCs w:val="21"/>
        </w:rPr>
        <w:t>证券股份有限公司</w:t>
      </w:r>
    </w:p>
    <w:p w:rsidR="00B833AE" w:rsidRDefault="002D0A0B">
      <w:pPr>
        <w:pStyle w:val="aa"/>
        <w:spacing w:line="360" w:lineRule="auto"/>
        <w:ind w:left="360" w:firstLineChars="0" w:firstLine="0"/>
        <w:rPr>
          <w:rFonts w:ascii="宋体"/>
          <w:szCs w:val="21"/>
        </w:rPr>
      </w:pPr>
      <w:r>
        <w:rPr>
          <w:rFonts w:ascii="宋体"/>
          <w:szCs w:val="21"/>
        </w:rPr>
        <w:t>客户服务电话：</w:t>
      </w:r>
      <w:r>
        <w:rPr>
          <w:rFonts w:ascii="宋体" w:hint="eastAsia"/>
          <w:szCs w:val="21"/>
        </w:rPr>
        <w:t>95553</w:t>
      </w:r>
    </w:p>
    <w:p w:rsidR="00B833AE" w:rsidRDefault="002D0A0B">
      <w:pPr>
        <w:pStyle w:val="aa"/>
        <w:spacing w:line="360" w:lineRule="auto"/>
        <w:ind w:left="360" w:firstLineChars="0" w:firstLine="0"/>
        <w:rPr>
          <w:rFonts w:ascii="宋体"/>
          <w:szCs w:val="21"/>
        </w:rPr>
      </w:pPr>
      <w:r>
        <w:rPr>
          <w:rFonts w:ascii="宋体"/>
          <w:szCs w:val="21"/>
        </w:rPr>
        <w:t>网址：</w:t>
      </w:r>
      <w:r>
        <w:rPr>
          <w:rFonts w:ascii="宋体" w:hint="eastAsia"/>
          <w:szCs w:val="21"/>
        </w:rPr>
        <w:t>www.htsec.</w:t>
      </w:r>
      <w:r w:rsidR="00527265">
        <w:rPr>
          <w:rFonts w:ascii="宋体" w:hint="eastAsia"/>
          <w:szCs w:val="21"/>
        </w:rPr>
        <w:t>com</w:t>
      </w:r>
    </w:p>
    <w:p w:rsidR="00B833AE" w:rsidRDefault="002D0A0B">
      <w:pPr>
        <w:spacing w:line="360" w:lineRule="auto"/>
        <w:ind w:firstLineChars="200" w:firstLine="422"/>
        <w:rPr>
          <w:rFonts w:ascii="宋体"/>
          <w:szCs w:val="21"/>
        </w:rPr>
      </w:pPr>
      <w:r>
        <w:rPr>
          <w:rFonts w:ascii="宋体"/>
          <w:b/>
          <w:szCs w:val="21"/>
        </w:rPr>
        <w:t>2</w:t>
      </w:r>
      <w:r>
        <w:rPr>
          <w:rFonts w:ascii="宋体" w:hint="eastAsia"/>
          <w:b/>
          <w:szCs w:val="21"/>
        </w:rPr>
        <w:t>、</w:t>
      </w:r>
      <w:r>
        <w:rPr>
          <w:rFonts w:ascii="宋体"/>
          <w:b/>
          <w:szCs w:val="21"/>
        </w:rPr>
        <w:t>大成基金管理有限公司</w:t>
      </w:r>
      <w:bookmarkStart w:id="0" w:name="_GoBack"/>
      <w:bookmarkEnd w:id="0"/>
    </w:p>
    <w:p w:rsidR="00B833AE" w:rsidRDefault="002D0A0B">
      <w:pPr>
        <w:pStyle w:val="aa"/>
        <w:spacing w:line="360" w:lineRule="auto"/>
        <w:ind w:left="360" w:firstLineChars="0" w:firstLine="0"/>
        <w:rPr>
          <w:rFonts w:ascii="宋体"/>
          <w:szCs w:val="21"/>
        </w:rPr>
      </w:pPr>
      <w:r>
        <w:rPr>
          <w:rFonts w:ascii="宋体"/>
          <w:szCs w:val="21"/>
        </w:rPr>
        <w:t>客户服务电话：400-888-5558（免长途费）</w:t>
      </w:r>
    </w:p>
    <w:p w:rsidR="00B833AE" w:rsidRDefault="002D0A0B">
      <w:pPr>
        <w:pStyle w:val="aa"/>
        <w:spacing w:line="360" w:lineRule="auto"/>
        <w:ind w:left="360" w:firstLineChars="0" w:firstLine="0"/>
        <w:rPr>
          <w:rFonts w:ascii="宋体"/>
          <w:szCs w:val="21"/>
        </w:rPr>
      </w:pPr>
      <w:r>
        <w:rPr>
          <w:rFonts w:ascii="宋体"/>
          <w:szCs w:val="21"/>
        </w:rPr>
        <w:t>网址：</w:t>
      </w:r>
      <w:hyperlink r:id="rId7" w:history="1">
        <w:r>
          <w:rPr>
            <w:rFonts w:ascii="宋体"/>
            <w:szCs w:val="21"/>
          </w:rPr>
          <w:t>www.dcfund.com.cn</w:t>
        </w:r>
      </w:hyperlink>
    </w:p>
    <w:p w:rsidR="00B833AE" w:rsidRDefault="00B833AE">
      <w:pPr>
        <w:spacing w:line="360" w:lineRule="auto"/>
        <w:ind w:firstLineChars="200" w:firstLine="420"/>
        <w:rPr>
          <w:rFonts w:ascii="宋体"/>
          <w:szCs w:val="21"/>
        </w:rPr>
      </w:pPr>
    </w:p>
    <w:p w:rsidR="00B833AE" w:rsidRDefault="002D0A0B">
      <w:pPr>
        <w:spacing w:line="360" w:lineRule="auto"/>
        <w:ind w:firstLine="360"/>
        <w:rPr>
          <w:rFonts w:ascii="宋体"/>
          <w:szCs w:val="21"/>
        </w:rPr>
      </w:pPr>
      <w:r>
        <w:rPr>
          <w:rFonts w:ascii="宋体"/>
          <w:szCs w:val="21"/>
        </w:rPr>
        <w:t>风险提示：本公司承诺以诚实信用、勤勉尽责的原则管理和运用基金财产，但不保证基金一定盈利，也不保证最低收益。投资人应认真阅读拟投资基金的《基金合同》、《招募说明书》</w:t>
      </w:r>
      <w:r>
        <w:rPr>
          <w:rFonts w:ascii="宋体" w:hint="eastAsia"/>
          <w:szCs w:val="21"/>
        </w:rPr>
        <w:t>、</w:t>
      </w:r>
      <w:r>
        <w:rPr>
          <w:rFonts w:ascii="宋体" w:hint="eastAsia"/>
          <w:szCs w:val="21"/>
        </w:rPr>
        <w:lastRenderedPageBreak/>
        <w:t>《产品资料概要》</w:t>
      </w:r>
      <w:r>
        <w:rPr>
          <w:rFonts w:ascii="宋体"/>
          <w:szCs w:val="21"/>
        </w:rPr>
        <w:t>等法律文件，了解所投资基金的风险收益特征，并根据自身情况购买与本人风险承受能力相匹配的产品。</w:t>
      </w:r>
    </w:p>
    <w:p w:rsidR="00B833AE" w:rsidRDefault="002D0A0B">
      <w:pPr>
        <w:spacing w:line="360" w:lineRule="auto"/>
        <w:ind w:firstLine="360"/>
        <w:rPr>
          <w:rFonts w:ascii="宋体"/>
          <w:szCs w:val="21"/>
        </w:rPr>
      </w:pPr>
      <w:r>
        <w:rPr>
          <w:rFonts w:ascii="宋体"/>
          <w:szCs w:val="21"/>
        </w:rPr>
        <w:t>特此公告。</w:t>
      </w:r>
    </w:p>
    <w:p w:rsidR="00B833AE" w:rsidRDefault="002D0A0B">
      <w:pPr>
        <w:spacing w:line="360" w:lineRule="auto"/>
        <w:ind w:firstLine="420"/>
        <w:jc w:val="right"/>
        <w:rPr>
          <w:rFonts w:ascii="宋体"/>
          <w:szCs w:val="21"/>
        </w:rPr>
      </w:pPr>
      <w:r>
        <w:rPr>
          <w:rFonts w:ascii="宋体"/>
          <w:szCs w:val="21"/>
        </w:rPr>
        <w:t>大成基金管理有限公司</w:t>
      </w:r>
    </w:p>
    <w:p w:rsidR="00B833AE" w:rsidRDefault="002D0A0B">
      <w:pPr>
        <w:spacing w:line="360" w:lineRule="auto"/>
        <w:ind w:firstLine="420"/>
        <w:jc w:val="right"/>
        <w:rPr>
          <w:rFonts w:ascii="宋体"/>
          <w:szCs w:val="21"/>
        </w:rPr>
      </w:pPr>
      <w:r>
        <w:rPr>
          <w:rFonts w:ascii="宋体"/>
          <w:szCs w:val="21"/>
        </w:rPr>
        <w:t>二〇二</w:t>
      </w:r>
      <w:r>
        <w:rPr>
          <w:rFonts w:ascii="宋体" w:hint="eastAsia"/>
          <w:szCs w:val="21"/>
        </w:rPr>
        <w:t>五</w:t>
      </w:r>
      <w:r>
        <w:rPr>
          <w:rFonts w:ascii="宋体"/>
          <w:szCs w:val="21"/>
        </w:rPr>
        <w:t>年</w:t>
      </w:r>
      <w:r>
        <w:rPr>
          <w:rFonts w:ascii="宋体" w:hint="eastAsia"/>
          <w:szCs w:val="21"/>
        </w:rPr>
        <w:t>三</w:t>
      </w:r>
      <w:r>
        <w:rPr>
          <w:rFonts w:ascii="宋体"/>
          <w:szCs w:val="21"/>
        </w:rPr>
        <w:t>月</w:t>
      </w:r>
      <w:r>
        <w:rPr>
          <w:rFonts w:ascii="宋体" w:hint="eastAsia"/>
          <w:szCs w:val="21"/>
        </w:rPr>
        <w:t>十九</w:t>
      </w:r>
      <w:r>
        <w:rPr>
          <w:rFonts w:ascii="宋体"/>
          <w:szCs w:val="21"/>
        </w:rPr>
        <w:t>日</w:t>
      </w:r>
    </w:p>
    <w:sectPr w:rsidR="00B833AE" w:rsidSect="000A7809">
      <w:pgSz w:w="11906" w:h="16838"/>
      <w:pgMar w:top="1361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0B" w:rsidRDefault="002D0A0B" w:rsidP="00527265">
      <w:r>
        <w:separator/>
      </w:r>
    </w:p>
  </w:endnote>
  <w:endnote w:type="continuationSeparator" w:id="0">
    <w:p w:rsidR="002D0A0B" w:rsidRDefault="002D0A0B" w:rsidP="00527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Arial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0B" w:rsidRDefault="002D0A0B" w:rsidP="00527265">
      <w:r>
        <w:separator/>
      </w:r>
    </w:p>
  </w:footnote>
  <w:footnote w:type="continuationSeparator" w:id="0">
    <w:p w:rsidR="002D0A0B" w:rsidRDefault="002D0A0B" w:rsidP="00527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B833AE"/>
    <w:rsid w:val="DB75BA5F"/>
    <w:rsid w:val="000A7809"/>
    <w:rsid w:val="001228B6"/>
    <w:rsid w:val="002D0A0B"/>
    <w:rsid w:val="00527265"/>
    <w:rsid w:val="00B833AE"/>
    <w:rsid w:val="55DFA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809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0A780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0A7809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0A780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0A7809"/>
    <w:pPr>
      <w:jc w:val="left"/>
    </w:pPr>
  </w:style>
  <w:style w:type="paragraph" w:styleId="5">
    <w:name w:val="toc 5"/>
    <w:basedOn w:val="a"/>
    <w:next w:val="a"/>
    <w:qFormat/>
    <w:rsid w:val="000A7809"/>
    <w:pPr>
      <w:ind w:left="1680"/>
    </w:pPr>
  </w:style>
  <w:style w:type="paragraph" w:styleId="30">
    <w:name w:val="toc 3"/>
    <w:basedOn w:val="a"/>
    <w:next w:val="a"/>
    <w:qFormat/>
    <w:rsid w:val="000A7809"/>
    <w:pPr>
      <w:ind w:left="840"/>
    </w:pPr>
  </w:style>
  <w:style w:type="paragraph" w:styleId="a4">
    <w:name w:val="Balloon Text"/>
    <w:basedOn w:val="a"/>
    <w:qFormat/>
    <w:rsid w:val="000A7809"/>
    <w:rPr>
      <w:sz w:val="18"/>
      <w:szCs w:val="18"/>
    </w:rPr>
  </w:style>
  <w:style w:type="paragraph" w:styleId="a5">
    <w:name w:val="footer"/>
    <w:basedOn w:val="a"/>
    <w:qFormat/>
    <w:rsid w:val="000A7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A7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0A7809"/>
  </w:style>
  <w:style w:type="paragraph" w:styleId="4">
    <w:name w:val="toc 4"/>
    <w:basedOn w:val="a"/>
    <w:next w:val="a"/>
    <w:qFormat/>
    <w:rsid w:val="000A7809"/>
    <w:pPr>
      <w:ind w:left="1260"/>
    </w:pPr>
  </w:style>
  <w:style w:type="paragraph" w:styleId="20">
    <w:name w:val="toc 2"/>
    <w:basedOn w:val="a"/>
    <w:next w:val="a"/>
    <w:qFormat/>
    <w:rsid w:val="000A7809"/>
    <w:pPr>
      <w:ind w:left="420"/>
    </w:pPr>
  </w:style>
  <w:style w:type="paragraph" w:styleId="a7">
    <w:name w:val="annotation subject"/>
    <w:basedOn w:val="a3"/>
    <w:next w:val="a3"/>
    <w:qFormat/>
    <w:rsid w:val="000A7809"/>
    <w:rPr>
      <w:b/>
      <w:bCs/>
    </w:rPr>
  </w:style>
  <w:style w:type="character" w:styleId="a8">
    <w:name w:val="Hyperlink"/>
    <w:basedOn w:val="a0"/>
    <w:qFormat/>
    <w:rsid w:val="000A7809"/>
    <w:rPr>
      <w:color w:val="0563C1"/>
      <w:u w:val="single"/>
    </w:rPr>
  </w:style>
  <w:style w:type="character" w:styleId="a9">
    <w:name w:val="annotation reference"/>
    <w:basedOn w:val="a0"/>
    <w:qFormat/>
    <w:rsid w:val="000A7809"/>
    <w:rPr>
      <w:sz w:val="21"/>
      <w:szCs w:val="21"/>
    </w:rPr>
  </w:style>
  <w:style w:type="paragraph" w:styleId="aa">
    <w:name w:val="List Paragraph"/>
    <w:basedOn w:val="a"/>
    <w:qFormat/>
    <w:rsid w:val="000A7809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fund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4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徐子熠</dc:creator>
  <cp:lastModifiedBy>ZHONGM</cp:lastModifiedBy>
  <cp:revision>2</cp:revision>
  <cp:lastPrinted>2024-06-27T05:03:00Z</cp:lastPrinted>
  <dcterms:created xsi:type="dcterms:W3CDTF">2025-03-18T16:01:00Z</dcterms:created>
  <dcterms:modified xsi:type="dcterms:W3CDTF">2025-03-18T16:01:00Z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  <property fmtid="{D5CDD505-2E9C-101B-9397-08002B2CF9AE}" pid="3" name="ICV">
    <vt:lpwstr>2ACD11A97A5543CCADB8C5E672734D14_13</vt:lpwstr>
  </property>
</Properties>
</file>