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3FC" w:rsidRDefault="00076CB4">
      <w:pPr>
        <w:widowControl/>
        <w:shd w:val="clear" w:color="auto" w:fill="FFFFFF"/>
        <w:adjustRightInd w:val="0"/>
        <w:snapToGrid w:val="0"/>
        <w:spacing w:line="360" w:lineRule="auto"/>
        <w:jc w:val="center"/>
        <w:rPr>
          <w:rFonts w:ascii="黑体" w:eastAsia="黑体" w:hAnsi="黑体" w:cs="Arial"/>
          <w:b/>
          <w:color w:val="000000"/>
          <w:kern w:val="0"/>
          <w:sz w:val="30"/>
          <w:szCs w:val="30"/>
        </w:rPr>
      </w:pPr>
      <w:r>
        <w:rPr>
          <w:rFonts w:ascii="黑体" w:eastAsia="黑体" w:hAnsi="黑体" w:cs="Arial" w:hint="eastAsia"/>
          <w:b/>
          <w:color w:val="000000"/>
          <w:kern w:val="0"/>
          <w:sz w:val="30"/>
          <w:szCs w:val="30"/>
        </w:rPr>
        <w:t>关于</w:t>
      </w:r>
      <w:r w:rsidR="00725D1D" w:rsidRPr="000F6EF1">
        <w:rPr>
          <w:rFonts w:ascii="黑体" w:eastAsia="黑体" w:hAnsi="黑体" w:cs="Arial" w:hint="eastAsia"/>
          <w:b/>
          <w:color w:val="000000"/>
          <w:kern w:val="0"/>
          <w:sz w:val="30"/>
          <w:szCs w:val="30"/>
        </w:rPr>
        <w:t>旗下部分基金</w:t>
      </w:r>
      <w:r w:rsidR="00725D1D">
        <w:rPr>
          <w:rFonts w:ascii="黑体" w:eastAsia="黑体" w:hAnsi="黑体" w:cs="Arial" w:hint="eastAsia"/>
          <w:b/>
          <w:color w:val="000000"/>
          <w:kern w:val="0"/>
          <w:sz w:val="30"/>
          <w:szCs w:val="30"/>
        </w:rPr>
        <w:t>增加</w:t>
      </w:r>
      <w:bookmarkStart w:id="0" w:name="_GoBack"/>
      <w:r>
        <w:rPr>
          <w:rFonts w:ascii="黑体" w:eastAsia="黑体" w:hAnsi="黑体" w:cs="Arial" w:hint="eastAsia"/>
          <w:b/>
          <w:color w:val="000000"/>
          <w:kern w:val="0"/>
          <w:sz w:val="30"/>
          <w:szCs w:val="30"/>
        </w:rPr>
        <w:t>麦高证券有限责任公司</w:t>
      </w:r>
      <w:bookmarkEnd w:id="0"/>
      <w:r w:rsidR="00725D1D" w:rsidRPr="000F6EF1">
        <w:rPr>
          <w:rFonts w:ascii="黑体" w:eastAsia="黑体" w:hAnsi="黑体" w:cs="Arial" w:hint="eastAsia"/>
          <w:b/>
          <w:color w:val="000000"/>
          <w:kern w:val="0"/>
          <w:sz w:val="30"/>
          <w:szCs w:val="30"/>
        </w:rPr>
        <w:t>为销售机构并参加其费率优惠活动的公告</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根据前海开源基金管理有限公司（以下简称“本公司”）与</w:t>
      </w:r>
      <w:r>
        <w:rPr>
          <w:rFonts w:ascii="宋体" w:hAnsi="宋体" w:cs="Arial"/>
          <w:color w:val="000000" w:themeColor="text1"/>
          <w:kern w:val="0"/>
          <w:sz w:val="24"/>
          <w:szCs w:val="24"/>
        </w:rPr>
        <w:t>麦高证券有限责任公司</w:t>
      </w:r>
      <w:r>
        <w:rPr>
          <w:rFonts w:ascii="宋体" w:hAnsi="宋体" w:cs="Arial"/>
          <w:color w:val="000000"/>
          <w:kern w:val="0"/>
          <w:sz w:val="24"/>
          <w:szCs w:val="24"/>
        </w:rPr>
        <w:t>（以下简称“</w:t>
      </w:r>
      <w:r>
        <w:rPr>
          <w:rFonts w:ascii="宋体" w:hAnsi="宋体" w:cs="Arial"/>
          <w:color w:val="000000" w:themeColor="text1"/>
          <w:kern w:val="0"/>
          <w:sz w:val="24"/>
          <w:szCs w:val="24"/>
        </w:rPr>
        <w:t>麦高证券</w:t>
      </w:r>
      <w:r>
        <w:rPr>
          <w:rFonts w:ascii="宋体" w:hAnsi="宋体" w:cs="Arial"/>
          <w:color w:val="000000"/>
          <w:kern w:val="0"/>
          <w:sz w:val="24"/>
          <w:szCs w:val="24"/>
        </w:rPr>
        <w:t>”）签署的基金销售</w:t>
      </w:r>
      <w:r>
        <w:rPr>
          <w:rFonts w:ascii="宋体" w:hAnsi="宋体" w:cs="Arial" w:hint="eastAsia"/>
          <w:color w:val="000000"/>
          <w:kern w:val="0"/>
          <w:sz w:val="24"/>
          <w:szCs w:val="24"/>
        </w:rPr>
        <w:t>服务</w:t>
      </w:r>
      <w:r>
        <w:rPr>
          <w:rFonts w:ascii="宋体" w:hAnsi="宋体" w:cs="Arial"/>
          <w:color w:val="000000"/>
          <w:kern w:val="0"/>
          <w:sz w:val="24"/>
          <w:szCs w:val="24"/>
        </w:rPr>
        <w:t>协议，</w:t>
      </w:r>
      <w:r>
        <w:rPr>
          <w:rFonts w:ascii="宋体" w:hAnsi="宋体" w:cs="Arial" w:hint="eastAsia"/>
          <w:color w:val="000000"/>
          <w:kern w:val="0"/>
          <w:sz w:val="24"/>
          <w:szCs w:val="24"/>
        </w:rPr>
        <w:t>自</w:t>
      </w:r>
      <w:r>
        <w:rPr>
          <w:rFonts w:ascii="宋体" w:hAnsi="宋体" w:cs="Arial"/>
          <w:color w:val="000000" w:themeColor="text1"/>
          <w:kern w:val="0"/>
          <w:sz w:val="24"/>
          <w:szCs w:val="24"/>
        </w:rPr>
        <w:t>2025年3月18日</w:t>
      </w:r>
      <w:r>
        <w:rPr>
          <w:rFonts w:ascii="宋体" w:hAnsi="宋体" w:cs="Arial" w:hint="eastAsia"/>
          <w:color w:val="000000"/>
          <w:kern w:val="0"/>
          <w:sz w:val="24"/>
          <w:szCs w:val="24"/>
        </w:rPr>
        <w:t>起，</w:t>
      </w:r>
      <w:r>
        <w:rPr>
          <w:rFonts w:ascii="宋体" w:hAnsi="宋体" w:cs="Arial"/>
          <w:color w:val="000000" w:themeColor="text1"/>
          <w:kern w:val="0"/>
          <w:sz w:val="24"/>
          <w:szCs w:val="24"/>
        </w:rPr>
        <w:t>麦高证券</w:t>
      </w:r>
      <w:r>
        <w:rPr>
          <w:rFonts w:ascii="宋体" w:hAnsi="宋体" w:cs="Arial" w:hint="eastAsia"/>
          <w:color w:val="000000"/>
          <w:kern w:val="0"/>
          <w:sz w:val="24"/>
          <w:szCs w:val="24"/>
        </w:rPr>
        <w:t>将销售本公司旗下部分开放式证券投资基金。现将有关事项公告如下：</w:t>
      </w:r>
    </w:p>
    <w:p w:rsidR="005623FC" w:rsidRDefault="00076CB4" w:rsidP="00AD34BF">
      <w:pPr>
        <w:widowControl/>
        <w:shd w:val="clear" w:color="auto" w:fill="FFFFFF"/>
        <w:adjustRightInd w:val="0"/>
        <w:snapToGrid w:val="0"/>
        <w:spacing w:beforeLines="50" w:line="360" w:lineRule="auto"/>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一、适用基金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8"/>
        <w:gridCol w:w="1164"/>
        <w:gridCol w:w="6780"/>
      </w:tblGrid>
      <w:tr w:rsidR="005623FC">
        <w:trPr>
          <w:trHeight w:val="285"/>
        </w:trPr>
        <w:tc>
          <w:tcPr>
            <w:tcW w:w="339" w:type="pct"/>
            <w:shd w:val="clear" w:color="auto" w:fill="auto"/>
            <w:noWrap/>
            <w:vAlign w:val="center"/>
          </w:tcPr>
          <w:p w:rsidR="005623FC" w:rsidRDefault="00076CB4">
            <w:pPr>
              <w:widowControl/>
              <w:jc w:val="center"/>
              <w:rPr>
                <w:rFonts w:ascii="宋体" w:hAnsi="宋体" w:cs="宋体"/>
                <w:b/>
                <w:bCs/>
                <w:kern w:val="0"/>
                <w:sz w:val="24"/>
                <w:szCs w:val="24"/>
              </w:rPr>
            </w:pPr>
            <w:r>
              <w:rPr>
                <w:rFonts w:ascii="宋体" w:hAnsi="宋体" w:cs="宋体" w:hint="eastAsia"/>
                <w:b/>
                <w:bCs/>
                <w:kern w:val="0"/>
                <w:sz w:val="24"/>
                <w:szCs w:val="24"/>
              </w:rPr>
              <w:t>序号</w:t>
            </w:r>
          </w:p>
        </w:tc>
        <w:tc>
          <w:tcPr>
            <w:tcW w:w="683" w:type="pct"/>
            <w:shd w:val="clear" w:color="auto" w:fill="auto"/>
            <w:noWrap/>
            <w:vAlign w:val="center"/>
          </w:tcPr>
          <w:p w:rsidR="005623FC" w:rsidRDefault="00076CB4">
            <w:pPr>
              <w:widowControl/>
              <w:jc w:val="center"/>
              <w:rPr>
                <w:rFonts w:ascii="宋体" w:hAnsi="宋体" w:cs="宋体"/>
                <w:b/>
                <w:bCs/>
                <w:kern w:val="0"/>
                <w:sz w:val="22"/>
              </w:rPr>
            </w:pPr>
            <w:r>
              <w:rPr>
                <w:rFonts w:ascii="宋体" w:hAnsi="宋体" w:cs="宋体" w:hint="eastAsia"/>
                <w:b/>
                <w:bCs/>
                <w:kern w:val="0"/>
                <w:sz w:val="22"/>
              </w:rPr>
              <w:t>基金代码</w:t>
            </w:r>
          </w:p>
        </w:tc>
        <w:tc>
          <w:tcPr>
            <w:tcW w:w="3978" w:type="pct"/>
            <w:shd w:val="clear" w:color="auto" w:fill="auto"/>
            <w:noWrap/>
            <w:vAlign w:val="center"/>
          </w:tcPr>
          <w:p w:rsidR="005623FC" w:rsidRDefault="00076CB4">
            <w:pPr>
              <w:widowControl/>
              <w:jc w:val="center"/>
              <w:rPr>
                <w:rFonts w:ascii="宋体" w:hAnsi="宋体" w:cs="宋体"/>
                <w:b/>
                <w:bCs/>
                <w:kern w:val="0"/>
                <w:sz w:val="22"/>
              </w:rPr>
            </w:pPr>
            <w:r>
              <w:rPr>
                <w:rFonts w:ascii="宋体" w:hAnsi="宋体" w:cs="宋体" w:hint="eastAsia"/>
                <w:b/>
                <w:bCs/>
                <w:kern w:val="0"/>
                <w:sz w:val="22"/>
              </w:rPr>
              <w:t>基金名称</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w:t>
            </w:r>
          </w:p>
        </w:tc>
        <w:tc>
          <w:tcPr>
            <w:tcW w:w="683" w:type="dxa"/>
            <w:shd w:val="clear" w:color="auto" w:fill="auto"/>
            <w:vAlign w:val="center"/>
          </w:tcPr>
          <w:p w:rsidR="001D6668" w:rsidRDefault="006952D5">
            <w:pPr>
              <w:jc w:val="center"/>
            </w:pPr>
            <w:r>
              <w:rPr>
                <w:rFonts w:ascii="宋体" w:hAnsi="宋体" w:cs="宋体"/>
                <w:color w:val="000000"/>
                <w:position w:val="-1"/>
              </w:rPr>
              <w:t>011588</w:t>
            </w:r>
          </w:p>
        </w:tc>
        <w:tc>
          <w:tcPr>
            <w:tcW w:w="3978" w:type="dxa"/>
            <w:shd w:val="clear" w:color="auto" w:fill="auto"/>
            <w:vAlign w:val="center"/>
          </w:tcPr>
          <w:p w:rsidR="001D6668" w:rsidRDefault="006952D5">
            <w:pPr>
              <w:jc w:val="center"/>
            </w:pPr>
            <w:r>
              <w:rPr>
                <w:rFonts w:ascii="宋体" w:hAnsi="宋体" w:cs="宋体"/>
                <w:color w:val="000000"/>
                <w:position w:val="-1"/>
              </w:rPr>
              <w:t>前海开源成份精选混合型证券投资基金</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w:t>
            </w:r>
          </w:p>
        </w:tc>
        <w:tc>
          <w:tcPr>
            <w:tcW w:w="683" w:type="dxa"/>
            <w:shd w:val="clear" w:color="auto" w:fill="auto"/>
            <w:vAlign w:val="center"/>
          </w:tcPr>
          <w:p w:rsidR="001D6668" w:rsidRDefault="006952D5">
            <w:pPr>
              <w:jc w:val="center"/>
            </w:pPr>
            <w:r>
              <w:rPr>
                <w:rFonts w:ascii="宋体" w:hAnsi="宋体" w:cs="宋体"/>
                <w:color w:val="000000"/>
                <w:position w:val="-1"/>
              </w:rPr>
              <w:t>000969</w:t>
            </w:r>
          </w:p>
        </w:tc>
        <w:tc>
          <w:tcPr>
            <w:tcW w:w="3978" w:type="dxa"/>
            <w:shd w:val="clear" w:color="auto" w:fill="auto"/>
            <w:vAlign w:val="center"/>
          </w:tcPr>
          <w:p w:rsidR="001D6668" w:rsidRDefault="006952D5">
            <w:pPr>
              <w:jc w:val="center"/>
            </w:pPr>
            <w:r>
              <w:rPr>
                <w:rFonts w:ascii="宋体" w:hAnsi="宋体" w:cs="宋体"/>
                <w:color w:val="000000"/>
                <w:position w:val="-1"/>
              </w:rPr>
              <w:t>前海开源大安全核心精选灵活配置混合型证券投资基金</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w:t>
            </w:r>
          </w:p>
        </w:tc>
        <w:tc>
          <w:tcPr>
            <w:tcW w:w="683" w:type="dxa"/>
            <w:shd w:val="clear" w:color="auto" w:fill="auto"/>
            <w:vAlign w:val="center"/>
          </w:tcPr>
          <w:p w:rsidR="001D6668" w:rsidRDefault="006952D5">
            <w:pPr>
              <w:jc w:val="center"/>
            </w:pPr>
            <w:r>
              <w:rPr>
                <w:rFonts w:ascii="宋体" w:hAnsi="宋体" w:cs="宋体"/>
                <w:color w:val="000000"/>
                <w:position w:val="-1"/>
              </w:rPr>
              <w:t>003254</w:t>
            </w:r>
          </w:p>
        </w:tc>
        <w:tc>
          <w:tcPr>
            <w:tcW w:w="3978" w:type="dxa"/>
            <w:shd w:val="clear" w:color="auto" w:fill="auto"/>
            <w:vAlign w:val="center"/>
          </w:tcPr>
          <w:p w:rsidR="001D6668" w:rsidRDefault="006952D5">
            <w:pPr>
              <w:jc w:val="center"/>
            </w:pPr>
            <w:r>
              <w:rPr>
                <w:rFonts w:ascii="宋体" w:hAnsi="宋体" w:cs="宋体"/>
                <w:color w:val="000000"/>
                <w:position w:val="-1"/>
              </w:rPr>
              <w:t>前海开源鼎裕债券型证券投资基金A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w:t>
            </w:r>
          </w:p>
        </w:tc>
        <w:tc>
          <w:tcPr>
            <w:tcW w:w="683" w:type="dxa"/>
            <w:shd w:val="clear" w:color="auto" w:fill="auto"/>
            <w:vAlign w:val="center"/>
          </w:tcPr>
          <w:p w:rsidR="001D6668" w:rsidRDefault="006952D5">
            <w:pPr>
              <w:jc w:val="center"/>
            </w:pPr>
            <w:r>
              <w:rPr>
                <w:rFonts w:ascii="宋体" w:hAnsi="宋体" w:cs="宋体"/>
                <w:color w:val="000000"/>
                <w:position w:val="-1"/>
              </w:rPr>
              <w:t>003255</w:t>
            </w:r>
          </w:p>
        </w:tc>
        <w:tc>
          <w:tcPr>
            <w:tcW w:w="3978" w:type="dxa"/>
            <w:shd w:val="clear" w:color="auto" w:fill="auto"/>
            <w:vAlign w:val="center"/>
          </w:tcPr>
          <w:p w:rsidR="001D6668" w:rsidRDefault="006952D5">
            <w:pPr>
              <w:jc w:val="center"/>
            </w:pPr>
            <w:r>
              <w:rPr>
                <w:rFonts w:ascii="宋体" w:hAnsi="宋体" w:cs="宋体"/>
                <w:color w:val="000000"/>
                <w:position w:val="-1"/>
              </w:rPr>
              <w:t>前海开源鼎裕债券型证券投资基金C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5</w:t>
            </w:r>
          </w:p>
        </w:tc>
        <w:tc>
          <w:tcPr>
            <w:tcW w:w="683" w:type="dxa"/>
            <w:shd w:val="clear" w:color="auto" w:fill="auto"/>
            <w:vAlign w:val="center"/>
          </w:tcPr>
          <w:p w:rsidR="001D6668" w:rsidRDefault="006952D5">
            <w:pPr>
              <w:jc w:val="center"/>
            </w:pPr>
            <w:r>
              <w:rPr>
                <w:rFonts w:ascii="宋体" w:hAnsi="宋体" w:cs="宋体"/>
                <w:color w:val="000000"/>
                <w:position w:val="-1"/>
              </w:rPr>
              <w:t>004496</w:t>
            </w:r>
          </w:p>
        </w:tc>
        <w:tc>
          <w:tcPr>
            <w:tcW w:w="3978" w:type="dxa"/>
            <w:shd w:val="clear" w:color="auto" w:fill="auto"/>
            <w:vAlign w:val="center"/>
          </w:tcPr>
          <w:p w:rsidR="001D6668" w:rsidRDefault="006952D5">
            <w:pPr>
              <w:jc w:val="center"/>
            </w:pPr>
            <w:r>
              <w:rPr>
                <w:rFonts w:ascii="宋体" w:hAnsi="宋体" w:cs="宋体"/>
                <w:color w:val="000000"/>
                <w:position w:val="-1"/>
              </w:rPr>
              <w:t>前海开源多元策略灵活配置混合型证券投资基金A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6</w:t>
            </w:r>
          </w:p>
        </w:tc>
        <w:tc>
          <w:tcPr>
            <w:tcW w:w="683" w:type="dxa"/>
            <w:shd w:val="clear" w:color="auto" w:fill="auto"/>
            <w:vAlign w:val="center"/>
          </w:tcPr>
          <w:p w:rsidR="001D6668" w:rsidRDefault="006952D5">
            <w:pPr>
              <w:jc w:val="center"/>
            </w:pPr>
            <w:r>
              <w:rPr>
                <w:rFonts w:ascii="宋体" w:hAnsi="宋体" w:cs="宋体"/>
                <w:color w:val="000000"/>
                <w:position w:val="-1"/>
              </w:rPr>
              <w:t>004497</w:t>
            </w:r>
          </w:p>
        </w:tc>
        <w:tc>
          <w:tcPr>
            <w:tcW w:w="3978" w:type="dxa"/>
            <w:shd w:val="clear" w:color="auto" w:fill="auto"/>
            <w:vAlign w:val="center"/>
          </w:tcPr>
          <w:p w:rsidR="001D6668" w:rsidRDefault="006952D5">
            <w:pPr>
              <w:jc w:val="center"/>
            </w:pPr>
            <w:r>
              <w:rPr>
                <w:rFonts w:ascii="宋体" w:hAnsi="宋体" w:cs="宋体"/>
                <w:color w:val="000000"/>
                <w:position w:val="-1"/>
              </w:rPr>
              <w:t>前海开源多元策略灵活配置混合型证券投资基金C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7</w:t>
            </w:r>
          </w:p>
        </w:tc>
        <w:tc>
          <w:tcPr>
            <w:tcW w:w="683" w:type="dxa"/>
            <w:shd w:val="clear" w:color="auto" w:fill="auto"/>
            <w:vAlign w:val="center"/>
          </w:tcPr>
          <w:p w:rsidR="001D6668" w:rsidRDefault="006952D5">
            <w:pPr>
              <w:jc w:val="center"/>
            </w:pPr>
            <w:r>
              <w:rPr>
                <w:rFonts w:ascii="宋体" w:hAnsi="宋体" w:cs="宋体"/>
                <w:color w:val="000000"/>
                <w:position w:val="-1"/>
              </w:rPr>
              <w:t>001060</w:t>
            </w:r>
          </w:p>
        </w:tc>
        <w:tc>
          <w:tcPr>
            <w:tcW w:w="3978" w:type="dxa"/>
            <w:shd w:val="clear" w:color="auto" w:fill="auto"/>
            <w:vAlign w:val="center"/>
          </w:tcPr>
          <w:p w:rsidR="001D6668" w:rsidRDefault="006952D5">
            <w:pPr>
              <w:jc w:val="center"/>
            </w:pPr>
            <w:r>
              <w:rPr>
                <w:rFonts w:ascii="宋体" w:hAnsi="宋体" w:cs="宋体"/>
                <w:color w:val="000000"/>
                <w:position w:val="-1"/>
              </w:rPr>
              <w:t>前海开源高端装备制造灵活配置混合型证券投资基金A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8</w:t>
            </w:r>
          </w:p>
        </w:tc>
        <w:tc>
          <w:tcPr>
            <w:tcW w:w="683" w:type="dxa"/>
            <w:shd w:val="clear" w:color="auto" w:fill="auto"/>
            <w:vAlign w:val="center"/>
          </w:tcPr>
          <w:p w:rsidR="001D6668" w:rsidRDefault="006952D5">
            <w:pPr>
              <w:jc w:val="center"/>
            </w:pPr>
            <w:r>
              <w:rPr>
                <w:rFonts w:ascii="宋体" w:hAnsi="宋体" w:cs="宋体"/>
                <w:color w:val="000000"/>
                <w:position w:val="-1"/>
              </w:rPr>
              <w:t>016721</w:t>
            </w:r>
          </w:p>
        </w:tc>
        <w:tc>
          <w:tcPr>
            <w:tcW w:w="3978" w:type="dxa"/>
            <w:shd w:val="clear" w:color="auto" w:fill="auto"/>
            <w:vAlign w:val="center"/>
          </w:tcPr>
          <w:p w:rsidR="001D6668" w:rsidRDefault="006952D5">
            <w:pPr>
              <w:jc w:val="center"/>
            </w:pPr>
            <w:r>
              <w:rPr>
                <w:rFonts w:ascii="宋体" w:hAnsi="宋体" w:cs="宋体"/>
                <w:color w:val="000000"/>
                <w:position w:val="-1"/>
              </w:rPr>
              <w:t>前海开源高端装备制造灵活配置混合型证券投资基金C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9</w:t>
            </w:r>
          </w:p>
        </w:tc>
        <w:tc>
          <w:tcPr>
            <w:tcW w:w="683" w:type="dxa"/>
            <w:shd w:val="clear" w:color="auto" w:fill="auto"/>
            <w:vAlign w:val="center"/>
          </w:tcPr>
          <w:p w:rsidR="001D6668" w:rsidRDefault="006952D5">
            <w:pPr>
              <w:jc w:val="center"/>
            </w:pPr>
            <w:r>
              <w:rPr>
                <w:rFonts w:ascii="宋体" w:hAnsi="宋体" w:cs="宋体"/>
                <w:color w:val="000000"/>
                <w:position w:val="-1"/>
              </w:rPr>
              <w:t>005669</w:t>
            </w:r>
          </w:p>
        </w:tc>
        <w:tc>
          <w:tcPr>
            <w:tcW w:w="3978" w:type="dxa"/>
            <w:shd w:val="clear" w:color="auto" w:fill="auto"/>
            <w:vAlign w:val="center"/>
          </w:tcPr>
          <w:p w:rsidR="001D6668" w:rsidRDefault="006952D5">
            <w:pPr>
              <w:jc w:val="center"/>
            </w:pPr>
            <w:r>
              <w:rPr>
                <w:rFonts w:ascii="宋体" w:hAnsi="宋体" w:cs="宋体"/>
                <w:color w:val="000000"/>
                <w:position w:val="-1"/>
              </w:rPr>
              <w:t>前海开源公用事业行业股票型证券投资基金</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10</w:t>
            </w:r>
          </w:p>
        </w:tc>
        <w:tc>
          <w:tcPr>
            <w:tcW w:w="683" w:type="dxa"/>
            <w:shd w:val="clear" w:color="auto" w:fill="auto"/>
            <w:vAlign w:val="center"/>
          </w:tcPr>
          <w:p w:rsidR="001D6668" w:rsidRDefault="006952D5">
            <w:pPr>
              <w:jc w:val="center"/>
            </w:pPr>
            <w:r>
              <w:rPr>
                <w:rFonts w:ascii="宋体" w:hAnsi="宋体" w:cs="宋体"/>
                <w:color w:val="000000"/>
                <w:position w:val="-1"/>
              </w:rPr>
              <w:t>000916</w:t>
            </w:r>
          </w:p>
        </w:tc>
        <w:tc>
          <w:tcPr>
            <w:tcW w:w="3978" w:type="dxa"/>
            <w:shd w:val="clear" w:color="auto" w:fill="auto"/>
            <w:vAlign w:val="center"/>
          </w:tcPr>
          <w:p w:rsidR="001D6668" w:rsidRDefault="006952D5">
            <w:pPr>
              <w:jc w:val="center"/>
            </w:pPr>
            <w:r>
              <w:rPr>
                <w:rFonts w:ascii="宋体" w:hAnsi="宋体" w:cs="宋体"/>
                <w:color w:val="000000"/>
                <w:position w:val="-1"/>
              </w:rPr>
              <w:t>前海开源股息率100强等权重股票型证券投资基金A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11</w:t>
            </w:r>
          </w:p>
        </w:tc>
        <w:tc>
          <w:tcPr>
            <w:tcW w:w="683" w:type="dxa"/>
            <w:shd w:val="clear" w:color="auto" w:fill="auto"/>
            <w:vAlign w:val="center"/>
          </w:tcPr>
          <w:p w:rsidR="001D6668" w:rsidRDefault="006952D5">
            <w:pPr>
              <w:jc w:val="center"/>
            </w:pPr>
            <w:r>
              <w:rPr>
                <w:rFonts w:ascii="宋体" w:hAnsi="宋体" w:cs="宋体"/>
                <w:color w:val="000000"/>
                <w:position w:val="-1"/>
              </w:rPr>
              <w:t>021784</w:t>
            </w:r>
          </w:p>
        </w:tc>
        <w:tc>
          <w:tcPr>
            <w:tcW w:w="3978" w:type="dxa"/>
            <w:shd w:val="clear" w:color="auto" w:fill="auto"/>
            <w:vAlign w:val="center"/>
          </w:tcPr>
          <w:p w:rsidR="001D6668" w:rsidRDefault="006952D5">
            <w:pPr>
              <w:jc w:val="center"/>
            </w:pPr>
            <w:r>
              <w:rPr>
                <w:rFonts w:ascii="宋体" w:hAnsi="宋体" w:cs="宋体"/>
                <w:color w:val="000000"/>
                <w:position w:val="-1"/>
              </w:rPr>
              <w:t>前海开源股息率100强等权重股票型证券投资基金C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12</w:t>
            </w:r>
          </w:p>
        </w:tc>
        <w:tc>
          <w:tcPr>
            <w:tcW w:w="683" w:type="dxa"/>
            <w:shd w:val="clear" w:color="auto" w:fill="auto"/>
            <w:vAlign w:val="center"/>
          </w:tcPr>
          <w:p w:rsidR="001D6668" w:rsidRDefault="006952D5">
            <w:pPr>
              <w:jc w:val="center"/>
            </w:pPr>
            <w:r>
              <w:rPr>
                <w:rFonts w:ascii="宋体" w:hAnsi="宋体" w:cs="宋体"/>
                <w:color w:val="000000"/>
                <w:position w:val="-1"/>
              </w:rPr>
              <w:t>001102</w:t>
            </w:r>
          </w:p>
        </w:tc>
        <w:tc>
          <w:tcPr>
            <w:tcW w:w="3978" w:type="dxa"/>
            <w:shd w:val="clear" w:color="auto" w:fill="auto"/>
            <w:vAlign w:val="center"/>
          </w:tcPr>
          <w:p w:rsidR="001D6668" w:rsidRDefault="006952D5">
            <w:pPr>
              <w:jc w:val="center"/>
            </w:pPr>
            <w:r>
              <w:rPr>
                <w:rFonts w:ascii="宋体" w:hAnsi="宋体" w:cs="宋体"/>
                <w:color w:val="000000"/>
                <w:position w:val="-1"/>
              </w:rPr>
              <w:t>前海开源国家比较优势灵活配置混合型证券投资基金A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13</w:t>
            </w:r>
          </w:p>
        </w:tc>
        <w:tc>
          <w:tcPr>
            <w:tcW w:w="683" w:type="dxa"/>
            <w:shd w:val="clear" w:color="auto" w:fill="auto"/>
            <w:vAlign w:val="center"/>
          </w:tcPr>
          <w:p w:rsidR="001D6668" w:rsidRDefault="006952D5">
            <w:pPr>
              <w:jc w:val="center"/>
            </w:pPr>
            <w:r>
              <w:rPr>
                <w:rFonts w:ascii="宋体" w:hAnsi="宋体" w:cs="宋体"/>
                <w:color w:val="000000"/>
                <w:position w:val="-1"/>
              </w:rPr>
              <w:t>011870</w:t>
            </w:r>
          </w:p>
        </w:tc>
        <w:tc>
          <w:tcPr>
            <w:tcW w:w="3978" w:type="dxa"/>
            <w:shd w:val="clear" w:color="auto" w:fill="auto"/>
            <w:vAlign w:val="center"/>
          </w:tcPr>
          <w:p w:rsidR="001D6668" w:rsidRDefault="006952D5">
            <w:pPr>
              <w:jc w:val="center"/>
            </w:pPr>
            <w:r>
              <w:rPr>
                <w:rFonts w:ascii="宋体" w:hAnsi="宋体" w:cs="宋体"/>
                <w:color w:val="000000"/>
                <w:position w:val="-1"/>
              </w:rPr>
              <w:t>前海开源国家比较优势灵活配置混合型证券投资基金C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14</w:t>
            </w:r>
          </w:p>
        </w:tc>
        <w:tc>
          <w:tcPr>
            <w:tcW w:w="683" w:type="dxa"/>
            <w:shd w:val="clear" w:color="auto" w:fill="auto"/>
            <w:vAlign w:val="center"/>
          </w:tcPr>
          <w:p w:rsidR="001D6668" w:rsidRDefault="006952D5">
            <w:pPr>
              <w:jc w:val="center"/>
            </w:pPr>
            <w:r>
              <w:rPr>
                <w:rFonts w:ascii="宋体" w:hAnsi="宋体" w:cs="宋体"/>
                <w:color w:val="000000"/>
                <w:position w:val="-1"/>
              </w:rPr>
              <w:t>002407</w:t>
            </w:r>
          </w:p>
        </w:tc>
        <w:tc>
          <w:tcPr>
            <w:tcW w:w="3978" w:type="dxa"/>
            <w:shd w:val="clear" w:color="auto" w:fill="auto"/>
            <w:vAlign w:val="center"/>
          </w:tcPr>
          <w:p w:rsidR="001D6668" w:rsidRDefault="006952D5">
            <w:pPr>
              <w:jc w:val="center"/>
            </w:pPr>
            <w:r>
              <w:rPr>
                <w:rFonts w:ascii="宋体" w:hAnsi="宋体" w:cs="宋体"/>
                <w:color w:val="000000"/>
                <w:position w:val="-1"/>
              </w:rPr>
              <w:t>前海开源恒远灵活配置混合型证券投资基金</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15</w:t>
            </w:r>
          </w:p>
        </w:tc>
        <w:tc>
          <w:tcPr>
            <w:tcW w:w="683" w:type="dxa"/>
            <w:shd w:val="clear" w:color="auto" w:fill="auto"/>
            <w:vAlign w:val="center"/>
          </w:tcPr>
          <w:p w:rsidR="001D6668" w:rsidRDefault="006952D5">
            <w:pPr>
              <w:jc w:val="center"/>
            </w:pPr>
            <w:r>
              <w:rPr>
                <w:rFonts w:ascii="宋体" w:hAnsi="宋体" w:cs="宋体"/>
                <w:color w:val="000000"/>
                <w:position w:val="-1"/>
              </w:rPr>
              <w:t>003304</w:t>
            </w:r>
          </w:p>
        </w:tc>
        <w:tc>
          <w:tcPr>
            <w:tcW w:w="3978" w:type="dxa"/>
            <w:shd w:val="clear" w:color="auto" w:fill="auto"/>
            <w:vAlign w:val="center"/>
          </w:tcPr>
          <w:p w:rsidR="001D6668" w:rsidRDefault="006952D5">
            <w:pPr>
              <w:jc w:val="center"/>
            </w:pPr>
            <w:r>
              <w:rPr>
                <w:rFonts w:ascii="宋体" w:hAnsi="宋体" w:cs="宋体"/>
                <w:color w:val="000000"/>
                <w:position w:val="-1"/>
              </w:rPr>
              <w:t>前海开源沪港深核心资源灵活配置混合型证券投资基金A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16</w:t>
            </w:r>
          </w:p>
        </w:tc>
        <w:tc>
          <w:tcPr>
            <w:tcW w:w="683" w:type="dxa"/>
            <w:shd w:val="clear" w:color="auto" w:fill="auto"/>
            <w:vAlign w:val="center"/>
          </w:tcPr>
          <w:p w:rsidR="001D6668" w:rsidRDefault="006952D5">
            <w:pPr>
              <w:jc w:val="center"/>
            </w:pPr>
            <w:r>
              <w:rPr>
                <w:rFonts w:ascii="宋体" w:hAnsi="宋体" w:cs="宋体"/>
                <w:color w:val="000000"/>
                <w:position w:val="-1"/>
              </w:rPr>
              <w:t>003305</w:t>
            </w:r>
          </w:p>
        </w:tc>
        <w:tc>
          <w:tcPr>
            <w:tcW w:w="3978" w:type="dxa"/>
            <w:shd w:val="clear" w:color="auto" w:fill="auto"/>
            <w:vAlign w:val="center"/>
          </w:tcPr>
          <w:p w:rsidR="001D6668" w:rsidRDefault="006952D5">
            <w:pPr>
              <w:jc w:val="center"/>
            </w:pPr>
            <w:r>
              <w:rPr>
                <w:rFonts w:ascii="宋体" w:hAnsi="宋体" w:cs="宋体"/>
                <w:color w:val="000000"/>
                <w:position w:val="-1"/>
              </w:rPr>
              <w:t>前海开源沪港深核心资源灵活配置混合型证券投资基金C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17</w:t>
            </w:r>
          </w:p>
        </w:tc>
        <w:tc>
          <w:tcPr>
            <w:tcW w:w="683" w:type="dxa"/>
            <w:shd w:val="clear" w:color="auto" w:fill="auto"/>
            <w:vAlign w:val="center"/>
          </w:tcPr>
          <w:p w:rsidR="001D6668" w:rsidRDefault="006952D5">
            <w:pPr>
              <w:jc w:val="center"/>
            </w:pPr>
            <w:r>
              <w:rPr>
                <w:rFonts w:ascii="宋体" w:hAnsi="宋体" w:cs="宋体"/>
                <w:color w:val="000000"/>
                <w:position w:val="-1"/>
              </w:rPr>
              <w:t>002443</w:t>
            </w:r>
          </w:p>
        </w:tc>
        <w:tc>
          <w:tcPr>
            <w:tcW w:w="3978" w:type="dxa"/>
            <w:shd w:val="clear" w:color="auto" w:fill="auto"/>
            <w:vAlign w:val="center"/>
          </w:tcPr>
          <w:p w:rsidR="001D6668" w:rsidRDefault="006952D5">
            <w:pPr>
              <w:jc w:val="center"/>
            </w:pPr>
            <w:r>
              <w:rPr>
                <w:rFonts w:ascii="宋体" w:hAnsi="宋体" w:cs="宋体"/>
                <w:color w:val="000000"/>
                <w:position w:val="-1"/>
              </w:rPr>
              <w:t>前海开源沪港深龙头精选灵活配置混合型证券投资基金A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18</w:t>
            </w:r>
          </w:p>
        </w:tc>
        <w:tc>
          <w:tcPr>
            <w:tcW w:w="683" w:type="dxa"/>
            <w:shd w:val="clear" w:color="auto" w:fill="auto"/>
            <w:vAlign w:val="center"/>
          </w:tcPr>
          <w:p w:rsidR="001D6668" w:rsidRDefault="006952D5">
            <w:pPr>
              <w:jc w:val="center"/>
            </w:pPr>
            <w:r>
              <w:rPr>
                <w:rFonts w:ascii="宋体" w:hAnsi="宋体" w:cs="宋体"/>
                <w:color w:val="000000"/>
                <w:position w:val="-1"/>
              </w:rPr>
              <w:t>001901</w:t>
            </w:r>
          </w:p>
        </w:tc>
        <w:tc>
          <w:tcPr>
            <w:tcW w:w="3978" w:type="dxa"/>
            <w:shd w:val="clear" w:color="auto" w:fill="auto"/>
            <w:vAlign w:val="center"/>
          </w:tcPr>
          <w:p w:rsidR="001D6668" w:rsidRDefault="006952D5">
            <w:pPr>
              <w:jc w:val="center"/>
            </w:pPr>
            <w:r>
              <w:rPr>
                <w:rFonts w:ascii="宋体" w:hAnsi="宋体" w:cs="宋体"/>
                <w:color w:val="000000"/>
                <w:position w:val="-1"/>
              </w:rPr>
              <w:t>前海开源沪港深隆鑫灵活配置混合型证券投资基金A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19</w:t>
            </w:r>
          </w:p>
        </w:tc>
        <w:tc>
          <w:tcPr>
            <w:tcW w:w="683" w:type="dxa"/>
            <w:shd w:val="clear" w:color="auto" w:fill="auto"/>
            <w:vAlign w:val="center"/>
          </w:tcPr>
          <w:p w:rsidR="001D6668" w:rsidRDefault="006952D5">
            <w:pPr>
              <w:jc w:val="center"/>
            </w:pPr>
            <w:r>
              <w:rPr>
                <w:rFonts w:ascii="宋体" w:hAnsi="宋体" w:cs="宋体"/>
                <w:color w:val="000000"/>
                <w:position w:val="-1"/>
              </w:rPr>
              <w:t>001902</w:t>
            </w:r>
          </w:p>
        </w:tc>
        <w:tc>
          <w:tcPr>
            <w:tcW w:w="3978" w:type="dxa"/>
            <w:shd w:val="clear" w:color="auto" w:fill="auto"/>
            <w:vAlign w:val="center"/>
          </w:tcPr>
          <w:p w:rsidR="001D6668" w:rsidRDefault="006952D5">
            <w:pPr>
              <w:jc w:val="center"/>
            </w:pPr>
            <w:r>
              <w:rPr>
                <w:rFonts w:ascii="宋体" w:hAnsi="宋体" w:cs="宋体"/>
                <w:color w:val="000000"/>
                <w:position w:val="-1"/>
              </w:rPr>
              <w:t>前海开源沪港深隆鑫灵活配置混合型证券投资基金C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20</w:t>
            </w:r>
          </w:p>
        </w:tc>
        <w:tc>
          <w:tcPr>
            <w:tcW w:w="683" w:type="dxa"/>
            <w:shd w:val="clear" w:color="auto" w:fill="auto"/>
            <w:vAlign w:val="center"/>
          </w:tcPr>
          <w:p w:rsidR="001D6668" w:rsidRDefault="006952D5">
            <w:pPr>
              <w:jc w:val="center"/>
            </w:pPr>
            <w:r>
              <w:rPr>
                <w:rFonts w:ascii="宋体" w:hAnsi="宋体" w:cs="宋体"/>
                <w:color w:val="000000"/>
                <w:position w:val="-1"/>
              </w:rPr>
              <w:t>004314</w:t>
            </w:r>
          </w:p>
        </w:tc>
        <w:tc>
          <w:tcPr>
            <w:tcW w:w="3978" w:type="dxa"/>
            <w:shd w:val="clear" w:color="auto" w:fill="auto"/>
            <w:vAlign w:val="center"/>
          </w:tcPr>
          <w:p w:rsidR="001D6668" w:rsidRDefault="006952D5">
            <w:pPr>
              <w:jc w:val="center"/>
            </w:pPr>
            <w:r>
              <w:rPr>
                <w:rFonts w:ascii="宋体" w:hAnsi="宋体" w:cs="宋体"/>
                <w:color w:val="000000"/>
                <w:position w:val="-1"/>
              </w:rPr>
              <w:t>前海开源沪港深新硬件主题灵活配置混合型证券投资基金A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21</w:t>
            </w:r>
          </w:p>
        </w:tc>
        <w:tc>
          <w:tcPr>
            <w:tcW w:w="683" w:type="dxa"/>
            <w:shd w:val="clear" w:color="auto" w:fill="auto"/>
            <w:vAlign w:val="center"/>
          </w:tcPr>
          <w:p w:rsidR="001D6668" w:rsidRDefault="006952D5">
            <w:pPr>
              <w:jc w:val="center"/>
            </w:pPr>
            <w:r>
              <w:rPr>
                <w:rFonts w:ascii="宋体" w:hAnsi="宋体" w:cs="宋体"/>
                <w:color w:val="000000"/>
                <w:position w:val="-1"/>
              </w:rPr>
              <w:t>004315</w:t>
            </w:r>
          </w:p>
        </w:tc>
        <w:tc>
          <w:tcPr>
            <w:tcW w:w="3978" w:type="dxa"/>
            <w:shd w:val="clear" w:color="auto" w:fill="auto"/>
            <w:vAlign w:val="center"/>
          </w:tcPr>
          <w:p w:rsidR="001D6668" w:rsidRDefault="006952D5">
            <w:pPr>
              <w:jc w:val="center"/>
            </w:pPr>
            <w:r>
              <w:rPr>
                <w:rFonts w:ascii="宋体" w:hAnsi="宋体" w:cs="宋体"/>
                <w:color w:val="000000"/>
                <w:position w:val="-1"/>
              </w:rPr>
              <w:t>前海开源沪港深新硬件主题灵活配置混合型证券投资基金C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22</w:t>
            </w:r>
          </w:p>
        </w:tc>
        <w:tc>
          <w:tcPr>
            <w:tcW w:w="683" w:type="dxa"/>
            <w:shd w:val="clear" w:color="auto" w:fill="auto"/>
            <w:vAlign w:val="center"/>
          </w:tcPr>
          <w:p w:rsidR="001D6668" w:rsidRDefault="006952D5">
            <w:pPr>
              <w:jc w:val="center"/>
            </w:pPr>
            <w:r>
              <w:rPr>
                <w:rFonts w:ascii="宋体" w:hAnsi="宋体" w:cs="宋体"/>
                <w:color w:val="000000"/>
                <w:position w:val="-1"/>
              </w:rPr>
              <w:t>001972</w:t>
            </w:r>
          </w:p>
        </w:tc>
        <w:tc>
          <w:tcPr>
            <w:tcW w:w="3978" w:type="dxa"/>
            <w:shd w:val="clear" w:color="auto" w:fill="auto"/>
            <w:vAlign w:val="center"/>
          </w:tcPr>
          <w:p w:rsidR="001D6668" w:rsidRDefault="006952D5">
            <w:pPr>
              <w:jc w:val="center"/>
            </w:pPr>
            <w:r>
              <w:rPr>
                <w:rFonts w:ascii="宋体" w:hAnsi="宋体" w:cs="宋体"/>
                <w:color w:val="000000"/>
                <w:position w:val="-1"/>
              </w:rPr>
              <w:t>前海开源沪港深智慧生活优选灵活配置混合型证券投资基金</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23</w:t>
            </w:r>
          </w:p>
        </w:tc>
        <w:tc>
          <w:tcPr>
            <w:tcW w:w="683" w:type="dxa"/>
            <w:shd w:val="clear" w:color="auto" w:fill="auto"/>
            <w:vAlign w:val="center"/>
          </w:tcPr>
          <w:p w:rsidR="001D6668" w:rsidRDefault="006952D5">
            <w:pPr>
              <w:jc w:val="center"/>
            </w:pPr>
            <w:r>
              <w:rPr>
                <w:rFonts w:ascii="宋体" w:hAnsi="宋体" w:cs="宋体"/>
                <w:color w:val="000000"/>
                <w:position w:val="-1"/>
              </w:rPr>
              <w:t>001302</w:t>
            </w:r>
          </w:p>
        </w:tc>
        <w:tc>
          <w:tcPr>
            <w:tcW w:w="3978" w:type="dxa"/>
            <w:shd w:val="clear" w:color="auto" w:fill="auto"/>
            <w:vAlign w:val="center"/>
          </w:tcPr>
          <w:p w:rsidR="001D6668" w:rsidRDefault="006952D5">
            <w:pPr>
              <w:jc w:val="center"/>
            </w:pPr>
            <w:r>
              <w:rPr>
                <w:rFonts w:ascii="宋体" w:hAnsi="宋体" w:cs="宋体"/>
                <w:color w:val="000000"/>
                <w:position w:val="-1"/>
              </w:rPr>
              <w:t>前海开源金银珠宝主题精选灵活配置混合型证券投资基金A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24</w:t>
            </w:r>
          </w:p>
        </w:tc>
        <w:tc>
          <w:tcPr>
            <w:tcW w:w="683" w:type="dxa"/>
            <w:shd w:val="clear" w:color="auto" w:fill="auto"/>
            <w:vAlign w:val="center"/>
          </w:tcPr>
          <w:p w:rsidR="001D6668" w:rsidRDefault="006952D5">
            <w:pPr>
              <w:jc w:val="center"/>
            </w:pPr>
            <w:r>
              <w:rPr>
                <w:rFonts w:ascii="宋体" w:hAnsi="宋体" w:cs="宋体"/>
                <w:color w:val="000000"/>
                <w:position w:val="-1"/>
              </w:rPr>
              <w:t>002207</w:t>
            </w:r>
          </w:p>
        </w:tc>
        <w:tc>
          <w:tcPr>
            <w:tcW w:w="3978" w:type="dxa"/>
            <w:shd w:val="clear" w:color="auto" w:fill="auto"/>
            <w:vAlign w:val="center"/>
          </w:tcPr>
          <w:p w:rsidR="001D6668" w:rsidRDefault="006952D5">
            <w:pPr>
              <w:jc w:val="center"/>
            </w:pPr>
            <w:r>
              <w:rPr>
                <w:rFonts w:ascii="宋体" w:hAnsi="宋体" w:cs="宋体"/>
                <w:color w:val="000000"/>
                <w:position w:val="-1"/>
              </w:rPr>
              <w:t>前海开源金银珠宝主题精选灵活配置混合型证券投资基金C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25</w:t>
            </w:r>
          </w:p>
        </w:tc>
        <w:tc>
          <w:tcPr>
            <w:tcW w:w="683" w:type="dxa"/>
            <w:shd w:val="clear" w:color="auto" w:fill="auto"/>
            <w:vAlign w:val="center"/>
          </w:tcPr>
          <w:p w:rsidR="001D6668" w:rsidRDefault="006952D5">
            <w:pPr>
              <w:jc w:val="center"/>
            </w:pPr>
            <w:r>
              <w:rPr>
                <w:rFonts w:ascii="宋体" w:hAnsi="宋体" w:cs="宋体"/>
                <w:color w:val="000000"/>
                <w:position w:val="-1"/>
              </w:rPr>
              <w:t>004368</w:t>
            </w:r>
          </w:p>
        </w:tc>
        <w:tc>
          <w:tcPr>
            <w:tcW w:w="3978" w:type="dxa"/>
            <w:shd w:val="clear" w:color="auto" w:fill="auto"/>
            <w:vAlign w:val="center"/>
          </w:tcPr>
          <w:p w:rsidR="001D6668" w:rsidRDefault="006952D5">
            <w:pPr>
              <w:jc w:val="center"/>
            </w:pPr>
            <w:r>
              <w:rPr>
                <w:rFonts w:ascii="宋体" w:hAnsi="宋体" w:cs="宋体"/>
                <w:color w:val="000000"/>
                <w:position w:val="-1"/>
              </w:rPr>
              <w:t>前海开源聚财宝货币市场基金A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26</w:t>
            </w:r>
          </w:p>
        </w:tc>
        <w:tc>
          <w:tcPr>
            <w:tcW w:w="683" w:type="dxa"/>
            <w:shd w:val="clear" w:color="auto" w:fill="auto"/>
            <w:vAlign w:val="center"/>
          </w:tcPr>
          <w:p w:rsidR="001D6668" w:rsidRDefault="006952D5">
            <w:pPr>
              <w:jc w:val="center"/>
            </w:pPr>
            <w:r>
              <w:rPr>
                <w:rFonts w:ascii="宋体" w:hAnsi="宋体" w:cs="宋体"/>
                <w:color w:val="000000"/>
                <w:position w:val="-1"/>
              </w:rPr>
              <w:t>004369</w:t>
            </w:r>
          </w:p>
        </w:tc>
        <w:tc>
          <w:tcPr>
            <w:tcW w:w="3978" w:type="dxa"/>
            <w:shd w:val="clear" w:color="auto" w:fill="auto"/>
            <w:vAlign w:val="center"/>
          </w:tcPr>
          <w:p w:rsidR="001D6668" w:rsidRDefault="006952D5">
            <w:pPr>
              <w:jc w:val="center"/>
            </w:pPr>
            <w:r>
              <w:rPr>
                <w:rFonts w:ascii="宋体" w:hAnsi="宋体" w:cs="宋体"/>
                <w:color w:val="000000"/>
                <w:position w:val="-1"/>
              </w:rPr>
              <w:t>前海开源聚财宝货币市场基金B</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27</w:t>
            </w:r>
          </w:p>
        </w:tc>
        <w:tc>
          <w:tcPr>
            <w:tcW w:w="683" w:type="dxa"/>
            <w:shd w:val="clear" w:color="auto" w:fill="auto"/>
            <w:vAlign w:val="center"/>
          </w:tcPr>
          <w:p w:rsidR="001D6668" w:rsidRDefault="006952D5">
            <w:pPr>
              <w:jc w:val="center"/>
            </w:pPr>
            <w:r>
              <w:rPr>
                <w:rFonts w:ascii="宋体" w:hAnsi="宋体" w:cs="宋体"/>
                <w:color w:val="000000"/>
                <w:position w:val="-1"/>
              </w:rPr>
              <w:t>002495</w:t>
            </w:r>
          </w:p>
        </w:tc>
        <w:tc>
          <w:tcPr>
            <w:tcW w:w="3978" w:type="dxa"/>
            <w:shd w:val="clear" w:color="auto" w:fill="auto"/>
            <w:vAlign w:val="center"/>
          </w:tcPr>
          <w:p w:rsidR="001D6668" w:rsidRDefault="006952D5">
            <w:pPr>
              <w:jc w:val="center"/>
            </w:pPr>
            <w:r>
              <w:rPr>
                <w:rFonts w:ascii="宋体" w:hAnsi="宋体" w:cs="宋体"/>
                <w:color w:val="000000"/>
                <w:position w:val="-1"/>
              </w:rPr>
              <w:t>前海开源量化优选灵活配置混合型证券投资基金A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28</w:t>
            </w:r>
          </w:p>
        </w:tc>
        <w:tc>
          <w:tcPr>
            <w:tcW w:w="683" w:type="dxa"/>
            <w:shd w:val="clear" w:color="auto" w:fill="auto"/>
            <w:vAlign w:val="center"/>
          </w:tcPr>
          <w:p w:rsidR="001D6668" w:rsidRDefault="006952D5">
            <w:pPr>
              <w:jc w:val="center"/>
            </w:pPr>
            <w:r>
              <w:rPr>
                <w:rFonts w:ascii="宋体" w:hAnsi="宋体" w:cs="宋体"/>
                <w:color w:val="000000"/>
                <w:position w:val="-1"/>
              </w:rPr>
              <w:t>002496</w:t>
            </w:r>
          </w:p>
        </w:tc>
        <w:tc>
          <w:tcPr>
            <w:tcW w:w="3978" w:type="dxa"/>
            <w:shd w:val="clear" w:color="auto" w:fill="auto"/>
            <w:vAlign w:val="center"/>
          </w:tcPr>
          <w:p w:rsidR="001D6668" w:rsidRDefault="006952D5">
            <w:pPr>
              <w:jc w:val="center"/>
            </w:pPr>
            <w:r>
              <w:rPr>
                <w:rFonts w:ascii="宋体" w:hAnsi="宋体" w:cs="宋体"/>
                <w:color w:val="000000"/>
                <w:position w:val="-1"/>
              </w:rPr>
              <w:t>前海开源量化优选灵活配置混合型证券投资基金C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29</w:t>
            </w:r>
          </w:p>
        </w:tc>
        <w:tc>
          <w:tcPr>
            <w:tcW w:w="683" w:type="dxa"/>
            <w:shd w:val="clear" w:color="auto" w:fill="auto"/>
            <w:vAlign w:val="center"/>
          </w:tcPr>
          <w:p w:rsidR="001D6668" w:rsidRDefault="006952D5">
            <w:pPr>
              <w:jc w:val="center"/>
            </w:pPr>
            <w:r>
              <w:rPr>
                <w:rFonts w:ascii="宋体" w:hAnsi="宋体" w:cs="宋体"/>
                <w:color w:val="000000"/>
                <w:position w:val="-1"/>
              </w:rPr>
              <w:t>011429</w:t>
            </w:r>
          </w:p>
        </w:tc>
        <w:tc>
          <w:tcPr>
            <w:tcW w:w="3978" w:type="dxa"/>
            <w:shd w:val="clear" w:color="auto" w:fill="auto"/>
            <w:vAlign w:val="center"/>
          </w:tcPr>
          <w:p w:rsidR="001D6668" w:rsidRDefault="006952D5">
            <w:pPr>
              <w:jc w:val="center"/>
            </w:pPr>
            <w:r>
              <w:rPr>
                <w:rFonts w:ascii="宋体" w:hAnsi="宋体" w:cs="宋体"/>
                <w:color w:val="000000"/>
                <w:position w:val="-1"/>
              </w:rPr>
              <w:t>前海开源民裕进取混合型证券投资基金</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lastRenderedPageBreak/>
              <w:t>30</w:t>
            </w:r>
          </w:p>
        </w:tc>
        <w:tc>
          <w:tcPr>
            <w:tcW w:w="683" w:type="dxa"/>
            <w:shd w:val="clear" w:color="auto" w:fill="auto"/>
            <w:vAlign w:val="center"/>
          </w:tcPr>
          <w:p w:rsidR="001D6668" w:rsidRDefault="006952D5">
            <w:pPr>
              <w:jc w:val="center"/>
            </w:pPr>
            <w:r>
              <w:rPr>
                <w:rFonts w:ascii="宋体" w:hAnsi="宋体" w:cs="宋体"/>
                <w:color w:val="000000"/>
                <w:position w:val="-1"/>
              </w:rPr>
              <w:t>001278</w:t>
            </w:r>
          </w:p>
        </w:tc>
        <w:tc>
          <w:tcPr>
            <w:tcW w:w="3978" w:type="dxa"/>
            <w:shd w:val="clear" w:color="auto" w:fill="auto"/>
            <w:vAlign w:val="center"/>
          </w:tcPr>
          <w:p w:rsidR="001D6668" w:rsidRDefault="006952D5">
            <w:pPr>
              <w:jc w:val="center"/>
            </w:pPr>
            <w:r>
              <w:rPr>
                <w:rFonts w:ascii="宋体" w:hAnsi="宋体" w:cs="宋体"/>
                <w:color w:val="000000"/>
                <w:position w:val="-1"/>
              </w:rPr>
              <w:t>前海开源清洁能源主题精选灵活配置混合型证券投资基金A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31</w:t>
            </w:r>
          </w:p>
        </w:tc>
        <w:tc>
          <w:tcPr>
            <w:tcW w:w="683" w:type="dxa"/>
            <w:shd w:val="clear" w:color="auto" w:fill="auto"/>
            <w:vAlign w:val="center"/>
          </w:tcPr>
          <w:p w:rsidR="001D6668" w:rsidRDefault="006952D5">
            <w:pPr>
              <w:jc w:val="center"/>
            </w:pPr>
            <w:r>
              <w:rPr>
                <w:rFonts w:ascii="宋体" w:hAnsi="宋体" w:cs="宋体"/>
                <w:color w:val="000000"/>
                <w:position w:val="-1"/>
              </w:rPr>
              <w:t>002360</w:t>
            </w:r>
          </w:p>
        </w:tc>
        <w:tc>
          <w:tcPr>
            <w:tcW w:w="3978" w:type="dxa"/>
            <w:shd w:val="clear" w:color="auto" w:fill="auto"/>
            <w:vAlign w:val="center"/>
          </w:tcPr>
          <w:p w:rsidR="001D6668" w:rsidRDefault="006952D5">
            <w:pPr>
              <w:jc w:val="center"/>
            </w:pPr>
            <w:r>
              <w:rPr>
                <w:rFonts w:ascii="宋体" w:hAnsi="宋体" w:cs="宋体"/>
                <w:color w:val="000000"/>
                <w:position w:val="-1"/>
              </w:rPr>
              <w:t>前海开源清洁能源主题精选灵活配置混合型证券投资基金C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32</w:t>
            </w:r>
          </w:p>
        </w:tc>
        <w:tc>
          <w:tcPr>
            <w:tcW w:w="683" w:type="dxa"/>
            <w:shd w:val="clear" w:color="auto" w:fill="auto"/>
            <w:vAlign w:val="center"/>
          </w:tcPr>
          <w:p w:rsidR="001D6668" w:rsidRDefault="006952D5">
            <w:pPr>
              <w:jc w:val="center"/>
            </w:pPr>
            <w:r>
              <w:rPr>
                <w:rFonts w:ascii="宋体" w:hAnsi="宋体" w:cs="宋体"/>
                <w:color w:val="000000"/>
                <w:position w:val="-1"/>
              </w:rPr>
              <w:t>011722</w:t>
            </w:r>
          </w:p>
        </w:tc>
        <w:tc>
          <w:tcPr>
            <w:tcW w:w="3978" w:type="dxa"/>
            <w:shd w:val="clear" w:color="auto" w:fill="auto"/>
            <w:vAlign w:val="center"/>
          </w:tcPr>
          <w:p w:rsidR="001D6668" w:rsidRDefault="006952D5">
            <w:pPr>
              <w:jc w:val="center"/>
            </w:pPr>
            <w:r>
              <w:rPr>
                <w:rFonts w:ascii="宋体" w:hAnsi="宋体" w:cs="宋体"/>
                <w:color w:val="000000"/>
                <w:position w:val="-1"/>
              </w:rPr>
              <w:t>前海开源深圳特区精选股票型证券投资基金A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33</w:t>
            </w:r>
          </w:p>
        </w:tc>
        <w:tc>
          <w:tcPr>
            <w:tcW w:w="683" w:type="dxa"/>
            <w:shd w:val="clear" w:color="auto" w:fill="auto"/>
            <w:vAlign w:val="center"/>
          </w:tcPr>
          <w:p w:rsidR="001D6668" w:rsidRDefault="006952D5">
            <w:pPr>
              <w:jc w:val="center"/>
            </w:pPr>
            <w:r>
              <w:rPr>
                <w:rFonts w:ascii="宋体" w:hAnsi="宋体" w:cs="宋体"/>
                <w:color w:val="000000"/>
                <w:position w:val="-1"/>
              </w:rPr>
              <w:t>011723</w:t>
            </w:r>
          </w:p>
        </w:tc>
        <w:tc>
          <w:tcPr>
            <w:tcW w:w="3978" w:type="dxa"/>
            <w:shd w:val="clear" w:color="auto" w:fill="auto"/>
            <w:vAlign w:val="center"/>
          </w:tcPr>
          <w:p w:rsidR="001D6668" w:rsidRDefault="006952D5">
            <w:pPr>
              <w:jc w:val="center"/>
            </w:pPr>
            <w:r>
              <w:rPr>
                <w:rFonts w:ascii="宋体" w:hAnsi="宋体" w:cs="宋体"/>
                <w:color w:val="000000"/>
                <w:position w:val="-1"/>
              </w:rPr>
              <w:t>前海开源深圳特区精选股票型证券投资基金C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34</w:t>
            </w:r>
          </w:p>
        </w:tc>
        <w:tc>
          <w:tcPr>
            <w:tcW w:w="683" w:type="dxa"/>
            <w:shd w:val="clear" w:color="auto" w:fill="auto"/>
            <w:vAlign w:val="center"/>
          </w:tcPr>
          <w:p w:rsidR="001D6668" w:rsidRDefault="006952D5">
            <w:pPr>
              <w:jc w:val="center"/>
            </w:pPr>
            <w:r>
              <w:rPr>
                <w:rFonts w:ascii="宋体" w:hAnsi="宋体" w:cs="宋体"/>
                <w:color w:val="000000"/>
                <w:position w:val="-1"/>
              </w:rPr>
              <w:t>000423</w:t>
            </w:r>
          </w:p>
        </w:tc>
        <w:tc>
          <w:tcPr>
            <w:tcW w:w="3978" w:type="dxa"/>
            <w:shd w:val="clear" w:color="auto" w:fill="auto"/>
            <w:vAlign w:val="center"/>
          </w:tcPr>
          <w:p w:rsidR="001D6668" w:rsidRDefault="006952D5">
            <w:pPr>
              <w:jc w:val="center"/>
            </w:pPr>
            <w:r>
              <w:rPr>
                <w:rFonts w:ascii="宋体" w:hAnsi="宋体" w:cs="宋体"/>
                <w:color w:val="000000"/>
                <w:position w:val="-1"/>
              </w:rPr>
              <w:t>前海开源事件驱动灵活配置混合型发起式证券投资基金A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35</w:t>
            </w:r>
          </w:p>
        </w:tc>
        <w:tc>
          <w:tcPr>
            <w:tcW w:w="683" w:type="dxa"/>
            <w:shd w:val="clear" w:color="auto" w:fill="auto"/>
            <w:vAlign w:val="center"/>
          </w:tcPr>
          <w:p w:rsidR="001D6668" w:rsidRDefault="006952D5">
            <w:pPr>
              <w:jc w:val="center"/>
            </w:pPr>
            <w:r>
              <w:rPr>
                <w:rFonts w:ascii="宋体" w:hAnsi="宋体" w:cs="宋体"/>
                <w:color w:val="000000"/>
                <w:position w:val="-1"/>
              </w:rPr>
              <w:t>001865</w:t>
            </w:r>
          </w:p>
        </w:tc>
        <w:tc>
          <w:tcPr>
            <w:tcW w:w="3978" w:type="dxa"/>
            <w:shd w:val="clear" w:color="auto" w:fill="auto"/>
            <w:vAlign w:val="center"/>
          </w:tcPr>
          <w:p w:rsidR="001D6668" w:rsidRDefault="006952D5">
            <w:pPr>
              <w:jc w:val="center"/>
            </w:pPr>
            <w:r>
              <w:rPr>
                <w:rFonts w:ascii="宋体" w:hAnsi="宋体" w:cs="宋体"/>
                <w:color w:val="000000"/>
                <w:position w:val="-1"/>
              </w:rPr>
              <w:t>前海开源事件驱动灵活配置混合型发起式证券投资基金C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36</w:t>
            </w:r>
          </w:p>
        </w:tc>
        <w:tc>
          <w:tcPr>
            <w:tcW w:w="683" w:type="dxa"/>
            <w:shd w:val="clear" w:color="auto" w:fill="auto"/>
            <w:vAlign w:val="center"/>
          </w:tcPr>
          <w:p w:rsidR="001D6668" w:rsidRDefault="006952D5">
            <w:pPr>
              <w:jc w:val="center"/>
            </w:pPr>
            <w:r>
              <w:rPr>
                <w:rFonts w:ascii="宋体" w:hAnsi="宋体" w:cs="宋体"/>
                <w:color w:val="000000"/>
                <w:position w:val="-1"/>
              </w:rPr>
              <w:t>001870</w:t>
            </w:r>
          </w:p>
        </w:tc>
        <w:tc>
          <w:tcPr>
            <w:tcW w:w="3978" w:type="dxa"/>
            <w:shd w:val="clear" w:color="auto" w:fill="auto"/>
            <w:vAlign w:val="center"/>
          </w:tcPr>
          <w:p w:rsidR="001D6668" w:rsidRDefault="006952D5">
            <w:pPr>
              <w:jc w:val="center"/>
            </w:pPr>
            <w:r>
              <w:rPr>
                <w:rFonts w:ascii="宋体" w:hAnsi="宋体" w:cs="宋体"/>
                <w:color w:val="000000"/>
                <w:position w:val="-1"/>
              </w:rPr>
              <w:t>前海开源现金增利货币市场基金A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37</w:t>
            </w:r>
          </w:p>
        </w:tc>
        <w:tc>
          <w:tcPr>
            <w:tcW w:w="683" w:type="dxa"/>
            <w:shd w:val="clear" w:color="auto" w:fill="auto"/>
            <w:vAlign w:val="center"/>
          </w:tcPr>
          <w:p w:rsidR="001D6668" w:rsidRDefault="006952D5">
            <w:pPr>
              <w:jc w:val="center"/>
            </w:pPr>
            <w:r>
              <w:rPr>
                <w:rFonts w:ascii="宋体" w:hAnsi="宋体" w:cs="宋体"/>
                <w:color w:val="000000"/>
                <w:position w:val="-1"/>
              </w:rPr>
              <w:t>001871</w:t>
            </w:r>
          </w:p>
        </w:tc>
        <w:tc>
          <w:tcPr>
            <w:tcW w:w="3978" w:type="dxa"/>
            <w:shd w:val="clear" w:color="auto" w:fill="auto"/>
            <w:vAlign w:val="center"/>
          </w:tcPr>
          <w:p w:rsidR="001D6668" w:rsidRDefault="006952D5">
            <w:pPr>
              <w:jc w:val="center"/>
            </w:pPr>
            <w:r>
              <w:rPr>
                <w:rFonts w:ascii="宋体" w:hAnsi="宋体" w:cs="宋体"/>
                <w:color w:val="000000"/>
                <w:position w:val="-1"/>
              </w:rPr>
              <w:t>前海开源现金增利货币市场基金B</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38</w:t>
            </w:r>
          </w:p>
        </w:tc>
        <w:tc>
          <w:tcPr>
            <w:tcW w:w="683" w:type="dxa"/>
            <w:shd w:val="clear" w:color="auto" w:fill="auto"/>
            <w:vAlign w:val="center"/>
          </w:tcPr>
          <w:p w:rsidR="001D6668" w:rsidRDefault="006952D5">
            <w:pPr>
              <w:jc w:val="center"/>
            </w:pPr>
            <w:r>
              <w:rPr>
                <w:rFonts w:ascii="宋体" w:hAnsi="宋体" w:cs="宋体"/>
                <w:color w:val="000000"/>
                <w:position w:val="-1"/>
              </w:rPr>
              <w:t>004210</w:t>
            </w:r>
          </w:p>
        </w:tc>
        <w:tc>
          <w:tcPr>
            <w:tcW w:w="3978" w:type="dxa"/>
            <w:shd w:val="clear" w:color="auto" w:fill="auto"/>
            <w:vAlign w:val="center"/>
          </w:tcPr>
          <w:p w:rsidR="001D6668" w:rsidRDefault="006952D5">
            <w:pPr>
              <w:jc w:val="center"/>
            </w:pPr>
            <w:r>
              <w:rPr>
                <w:rFonts w:ascii="宋体" w:hAnsi="宋体" w:cs="宋体"/>
                <w:color w:val="000000"/>
                <w:position w:val="-1"/>
              </w:rPr>
              <w:t>前海开源现金增利货币市场基金E</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39</w:t>
            </w:r>
          </w:p>
        </w:tc>
        <w:tc>
          <w:tcPr>
            <w:tcW w:w="683" w:type="dxa"/>
            <w:shd w:val="clear" w:color="auto" w:fill="auto"/>
            <w:vAlign w:val="center"/>
          </w:tcPr>
          <w:p w:rsidR="001D6668" w:rsidRDefault="006952D5">
            <w:pPr>
              <w:jc w:val="center"/>
            </w:pPr>
            <w:r>
              <w:rPr>
                <w:rFonts w:ascii="宋体" w:hAnsi="宋体" w:cs="宋体"/>
                <w:color w:val="000000"/>
                <w:position w:val="-1"/>
              </w:rPr>
              <w:t>000689</w:t>
            </w:r>
          </w:p>
        </w:tc>
        <w:tc>
          <w:tcPr>
            <w:tcW w:w="3978" w:type="dxa"/>
            <w:shd w:val="clear" w:color="auto" w:fill="auto"/>
            <w:vAlign w:val="center"/>
          </w:tcPr>
          <w:p w:rsidR="001D6668" w:rsidRDefault="006952D5">
            <w:pPr>
              <w:jc w:val="center"/>
            </w:pPr>
            <w:r>
              <w:rPr>
                <w:rFonts w:ascii="宋体" w:hAnsi="宋体" w:cs="宋体"/>
                <w:color w:val="000000"/>
                <w:position w:val="-1"/>
              </w:rPr>
              <w:t>前海开源新经济灵活配置混合型证券投资基金A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40</w:t>
            </w:r>
          </w:p>
        </w:tc>
        <w:tc>
          <w:tcPr>
            <w:tcW w:w="683" w:type="dxa"/>
            <w:shd w:val="clear" w:color="auto" w:fill="auto"/>
            <w:vAlign w:val="center"/>
          </w:tcPr>
          <w:p w:rsidR="001D6668" w:rsidRDefault="006952D5">
            <w:pPr>
              <w:jc w:val="center"/>
            </w:pPr>
            <w:r>
              <w:rPr>
                <w:rFonts w:ascii="宋体" w:hAnsi="宋体" w:cs="宋体"/>
                <w:color w:val="000000"/>
                <w:position w:val="-1"/>
              </w:rPr>
              <w:t>013157</w:t>
            </w:r>
          </w:p>
        </w:tc>
        <w:tc>
          <w:tcPr>
            <w:tcW w:w="3978" w:type="dxa"/>
            <w:shd w:val="clear" w:color="auto" w:fill="auto"/>
            <w:vAlign w:val="center"/>
          </w:tcPr>
          <w:p w:rsidR="001D6668" w:rsidRDefault="006952D5">
            <w:pPr>
              <w:jc w:val="center"/>
            </w:pPr>
            <w:r>
              <w:rPr>
                <w:rFonts w:ascii="宋体" w:hAnsi="宋体" w:cs="宋体"/>
                <w:color w:val="000000"/>
                <w:position w:val="-1"/>
              </w:rPr>
              <w:t>前海开源新经济灵活配置混合型证券投资基金C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41</w:t>
            </w:r>
          </w:p>
        </w:tc>
        <w:tc>
          <w:tcPr>
            <w:tcW w:w="683" w:type="dxa"/>
            <w:shd w:val="clear" w:color="auto" w:fill="auto"/>
            <w:vAlign w:val="center"/>
          </w:tcPr>
          <w:p w:rsidR="001D6668" w:rsidRDefault="006952D5">
            <w:pPr>
              <w:jc w:val="center"/>
            </w:pPr>
            <w:r>
              <w:rPr>
                <w:rFonts w:ascii="宋体" w:hAnsi="宋体" w:cs="宋体"/>
                <w:color w:val="000000"/>
                <w:position w:val="-1"/>
              </w:rPr>
              <w:t>001162</w:t>
            </w:r>
          </w:p>
        </w:tc>
        <w:tc>
          <w:tcPr>
            <w:tcW w:w="3978" w:type="dxa"/>
            <w:shd w:val="clear" w:color="auto" w:fill="auto"/>
            <w:vAlign w:val="center"/>
          </w:tcPr>
          <w:p w:rsidR="001D6668" w:rsidRDefault="006952D5">
            <w:pPr>
              <w:jc w:val="center"/>
            </w:pPr>
            <w:r>
              <w:rPr>
                <w:rFonts w:ascii="宋体" w:hAnsi="宋体" w:cs="宋体"/>
                <w:color w:val="000000"/>
                <w:position w:val="-1"/>
              </w:rPr>
              <w:t>前海开源优势蓝筹股票型证券投资基金A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42</w:t>
            </w:r>
          </w:p>
        </w:tc>
        <w:tc>
          <w:tcPr>
            <w:tcW w:w="683" w:type="dxa"/>
            <w:shd w:val="clear" w:color="auto" w:fill="auto"/>
            <w:vAlign w:val="center"/>
          </w:tcPr>
          <w:p w:rsidR="001D6668" w:rsidRDefault="006952D5">
            <w:pPr>
              <w:jc w:val="center"/>
            </w:pPr>
            <w:r>
              <w:rPr>
                <w:rFonts w:ascii="宋体" w:hAnsi="宋体" w:cs="宋体"/>
                <w:color w:val="000000"/>
                <w:position w:val="-1"/>
              </w:rPr>
              <w:t>001638</w:t>
            </w:r>
          </w:p>
        </w:tc>
        <w:tc>
          <w:tcPr>
            <w:tcW w:w="3978" w:type="dxa"/>
            <w:shd w:val="clear" w:color="auto" w:fill="auto"/>
            <w:vAlign w:val="center"/>
          </w:tcPr>
          <w:p w:rsidR="001D6668" w:rsidRDefault="006952D5">
            <w:pPr>
              <w:jc w:val="center"/>
            </w:pPr>
            <w:r>
              <w:rPr>
                <w:rFonts w:ascii="宋体" w:hAnsi="宋体" w:cs="宋体"/>
                <w:color w:val="000000"/>
                <w:position w:val="-1"/>
              </w:rPr>
              <w:t>前海开源优势蓝筹股票型证券投资基金C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43</w:t>
            </w:r>
          </w:p>
        </w:tc>
        <w:tc>
          <w:tcPr>
            <w:tcW w:w="683" w:type="dxa"/>
            <w:shd w:val="clear" w:color="auto" w:fill="auto"/>
            <w:vAlign w:val="center"/>
          </w:tcPr>
          <w:p w:rsidR="001D6668" w:rsidRDefault="006952D5">
            <w:pPr>
              <w:jc w:val="center"/>
            </w:pPr>
            <w:r>
              <w:rPr>
                <w:rFonts w:ascii="宋体" w:hAnsi="宋体" w:cs="宋体"/>
                <w:color w:val="000000"/>
                <w:position w:val="-1"/>
              </w:rPr>
              <w:t>012483</w:t>
            </w:r>
          </w:p>
        </w:tc>
        <w:tc>
          <w:tcPr>
            <w:tcW w:w="3978" w:type="dxa"/>
            <w:shd w:val="clear" w:color="auto" w:fill="auto"/>
            <w:vAlign w:val="center"/>
          </w:tcPr>
          <w:p w:rsidR="001D6668" w:rsidRDefault="006952D5">
            <w:pPr>
              <w:jc w:val="center"/>
            </w:pPr>
            <w:r>
              <w:rPr>
                <w:rFonts w:ascii="宋体" w:hAnsi="宋体" w:cs="宋体"/>
                <w:color w:val="000000"/>
                <w:position w:val="-1"/>
              </w:rPr>
              <w:t>前海开源优质龙头6个月持有期混合型证券投资基金A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44</w:t>
            </w:r>
          </w:p>
        </w:tc>
        <w:tc>
          <w:tcPr>
            <w:tcW w:w="683" w:type="dxa"/>
            <w:shd w:val="clear" w:color="auto" w:fill="auto"/>
            <w:vAlign w:val="center"/>
          </w:tcPr>
          <w:p w:rsidR="001D6668" w:rsidRDefault="006952D5">
            <w:pPr>
              <w:jc w:val="center"/>
            </w:pPr>
            <w:r>
              <w:rPr>
                <w:rFonts w:ascii="宋体" w:hAnsi="宋体" w:cs="宋体"/>
                <w:color w:val="000000"/>
                <w:position w:val="-1"/>
              </w:rPr>
              <w:t>012484</w:t>
            </w:r>
          </w:p>
        </w:tc>
        <w:tc>
          <w:tcPr>
            <w:tcW w:w="3978" w:type="dxa"/>
            <w:shd w:val="clear" w:color="auto" w:fill="auto"/>
            <w:vAlign w:val="center"/>
          </w:tcPr>
          <w:p w:rsidR="001D6668" w:rsidRDefault="006952D5">
            <w:pPr>
              <w:jc w:val="center"/>
            </w:pPr>
            <w:r>
              <w:rPr>
                <w:rFonts w:ascii="宋体" w:hAnsi="宋体" w:cs="宋体"/>
                <w:color w:val="000000"/>
                <w:position w:val="-1"/>
              </w:rPr>
              <w:t>前海开源优质龙头6个月持有期混合型证券投资基金C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45</w:t>
            </w:r>
          </w:p>
        </w:tc>
        <w:tc>
          <w:tcPr>
            <w:tcW w:w="683" w:type="dxa"/>
            <w:shd w:val="clear" w:color="auto" w:fill="auto"/>
            <w:vAlign w:val="center"/>
          </w:tcPr>
          <w:p w:rsidR="001D6668" w:rsidRDefault="006952D5">
            <w:pPr>
              <w:jc w:val="center"/>
            </w:pPr>
            <w:r>
              <w:rPr>
                <w:rFonts w:ascii="宋体" w:hAnsi="宋体" w:cs="宋体"/>
                <w:color w:val="000000"/>
                <w:position w:val="-1"/>
              </w:rPr>
              <w:t>010717</w:t>
            </w:r>
          </w:p>
        </w:tc>
        <w:tc>
          <w:tcPr>
            <w:tcW w:w="3978" w:type="dxa"/>
            <w:shd w:val="clear" w:color="auto" w:fill="auto"/>
            <w:vAlign w:val="center"/>
          </w:tcPr>
          <w:p w:rsidR="001D6668" w:rsidRDefault="006952D5">
            <w:pPr>
              <w:jc w:val="center"/>
            </w:pPr>
            <w:r>
              <w:rPr>
                <w:rFonts w:ascii="宋体" w:hAnsi="宋体" w:cs="宋体"/>
                <w:color w:val="000000"/>
                <w:position w:val="-1"/>
              </w:rPr>
              <w:t>前海开源优质企业6个月持有期混合型证券投资基金A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46</w:t>
            </w:r>
          </w:p>
        </w:tc>
        <w:tc>
          <w:tcPr>
            <w:tcW w:w="683" w:type="dxa"/>
            <w:shd w:val="clear" w:color="auto" w:fill="auto"/>
            <w:vAlign w:val="center"/>
          </w:tcPr>
          <w:p w:rsidR="001D6668" w:rsidRDefault="006952D5">
            <w:pPr>
              <w:jc w:val="center"/>
            </w:pPr>
            <w:r>
              <w:rPr>
                <w:rFonts w:ascii="宋体" w:hAnsi="宋体" w:cs="宋体"/>
                <w:color w:val="000000"/>
                <w:position w:val="-1"/>
              </w:rPr>
              <w:t>010718</w:t>
            </w:r>
          </w:p>
        </w:tc>
        <w:tc>
          <w:tcPr>
            <w:tcW w:w="3978" w:type="dxa"/>
            <w:shd w:val="clear" w:color="auto" w:fill="auto"/>
            <w:vAlign w:val="center"/>
          </w:tcPr>
          <w:p w:rsidR="001D6668" w:rsidRDefault="006952D5">
            <w:pPr>
              <w:jc w:val="center"/>
            </w:pPr>
            <w:r>
              <w:rPr>
                <w:rFonts w:ascii="宋体" w:hAnsi="宋体" w:cs="宋体"/>
                <w:color w:val="000000"/>
                <w:position w:val="-1"/>
              </w:rPr>
              <w:t>前海开源优质企业6个月持有期混合型证券投资基金C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47</w:t>
            </w:r>
          </w:p>
        </w:tc>
        <w:tc>
          <w:tcPr>
            <w:tcW w:w="683" w:type="dxa"/>
            <w:shd w:val="clear" w:color="auto" w:fill="auto"/>
            <w:vAlign w:val="center"/>
          </w:tcPr>
          <w:p w:rsidR="001D6668" w:rsidRDefault="006952D5">
            <w:pPr>
              <w:jc w:val="center"/>
            </w:pPr>
            <w:r>
              <w:rPr>
                <w:rFonts w:ascii="宋体" w:hAnsi="宋体" w:cs="宋体"/>
                <w:color w:val="000000"/>
                <w:position w:val="-1"/>
              </w:rPr>
              <w:t>000788</w:t>
            </w:r>
          </w:p>
        </w:tc>
        <w:tc>
          <w:tcPr>
            <w:tcW w:w="3978" w:type="dxa"/>
            <w:shd w:val="clear" w:color="auto" w:fill="auto"/>
            <w:vAlign w:val="center"/>
          </w:tcPr>
          <w:p w:rsidR="001D6668" w:rsidRDefault="006952D5">
            <w:pPr>
              <w:jc w:val="center"/>
            </w:pPr>
            <w:r>
              <w:rPr>
                <w:rFonts w:ascii="宋体" w:hAnsi="宋体" w:cs="宋体"/>
                <w:color w:val="000000"/>
                <w:position w:val="-1"/>
              </w:rPr>
              <w:t>前海开源中国成长灵活配置混合型证券投资基金</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48</w:t>
            </w:r>
          </w:p>
        </w:tc>
        <w:tc>
          <w:tcPr>
            <w:tcW w:w="683" w:type="dxa"/>
            <w:shd w:val="clear" w:color="auto" w:fill="auto"/>
            <w:vAlign w:val="center"/>
          </w:tcPr>
          <w:p w:rsidR="001D6668" w:rsidRDefault="006952D5">
            <w:pPr>
              <w:jc w:val="center"/>
            </w:pPr>
            <w:r>
              <w:rPr>
                <w:rFonts w:ascii="宋体" w:hAnsi="宋体" w:cs="宋体"/>
                <w:color w:val="000000"/>
                <w:position w:val="-1"/>
              </w:rPr>
              <w:t>001679</w:t>
            </w:r>
          </w:p>
        </w:tc>
        <w:tc>
          <w:tcPr>
            <w:tcW w:w="3978" w:type="dxa"/>
            <w:shd w:val="clear" w:color="auto" w:fill="auto"/>
            <w:vAlign w:val="center"/>
          </w:tcPr>
          <w:p w:rsidR="001D6668" w:rsidRDefault="006952D5">
            <w:pPr>
              <w:jc w:val="center"/>
            </w:pPr>
            <w:r>
              <w:rPr>
                <w:rFonts w:ascii="宋体" w:hAnsi="宋体" w:cs="宋体"/>
                <w:color w:val="000000"/>
                <w:position w:val="-1"/>
              </w:rPr>
              <w:t>前海开源中国稀缺资产灵活配置混合型证券投资基金A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49</w:t>
            </w:r>
          </w:p>
        </w:tc>
        <w:tc>
          <w:tcPr>
            <w:tcW w:w="683" w:type="dxa"/>
            <w:shd w:val="clear" w:color="auto" w:fill="auto"/>
            <w:vAlign w:val="center"/>
          </w:tcPr>
          <w:p w:rsidR="001D6668" w:rsidRDefault="006952D5">
            <w:pPr>
              <w:jc w:val="center"/>
            </w:pPr>
            <w:r>
              <w:rPr>
                <w:rFonts w:ascii="宋体" w:hAnsi="宋体" w:cs="宋体"/>
                <w:color w:val="000000"/>
                <w:position w:val="-1"/>
              </w:rPr>
              <w:t>002079</w:t>
            </w:r>
          </w:p>
        </w:tc>
        <w:tc>
          <w:tcPr>
            <w:tcW w:w="3978" w:type="dxa"/>
            <w:shd w:val="clear" w:color="auto" w:fill="auto"/>
            <w:vAlign w:val="center"/>
          </w:tcPr>
          <w:p w:rsidR="001D6668" w:rsidRDefault="006952D5">
            <w:pPr>
              <w:jc w:val="center"/>
            </w:pPr>
            <w:r>
              <w:rPr>
                <w:rFonts w:ascii="宋体" w:hAnsi="宋体" w:cs="宋体"/>
                <w:color w:val="000000"/>
                <w:position w:val="-1"/>
              </w:rPr>
              <w:t>前海开源中国稀缺资产灵活配置混合型证券投资基金C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50</w:t>
            </w:r>
          </w:p>
        </w:tc>
        <w:tc>
          <w:tcPr>
            <w:tcW w:w="683" w:type="dxa"/>
            <w:shd w:val="clear" w:color="auto" w:fill="auto"/>
            <w:vAlign w:val="center"/>
          </w:tcPr>
          <w:p w:rsidR="001D6668" w:rsidRDefault="006952D5">
            <w:pPr>
              <w:jc w:val="center"/>
            </w:pPr>
            <w:r>
              <w:rPr>
                <w:rFonts w:ascii="宋体" w:hAnsi="宋体" w:cs="宋体"/>
                <w:color w:val="000000"/>
                <w:position w:val="-1"/>
              </w:rPr>
              <w:t>007765</w:t>
            </w:r>
          </w:p>
        </w:tc>
        <w:tc>
          <w:tcPr>
            <w:tcW w:w="3978" w:type="dxa"/>
            <w:shd w:val="clear" w:color="auto" w:fill="auto"/>
            <w:vAlign w:val="center"/>
          </w:tcPr>
          <w:p w:rsidR="001D6668" w:rsidRDefault="006952D5">
            <w:pPr>
              <w:jc w:val="center"/>
            </w:pPr>
            <w:r>
              <w:rPr>
                <w:rFonts w:ascii="宋体" w:hAnsi="宋体" w:cs="宋体"/>
                <w:color w:val="000000"/>
                <w:position w:val="-1"/>
              </w:rPr>
              <w:t>前海开源中债1-3年国开行债券指数证券投资基金A</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51</w:t>
            </w:r>
          </w:p>
        </w:tc>
        <w:tc>
          <w:tcPr>
            <w:tcW w:w="683" w:type="dxa"/>
            <w:shd w:val="clear" w:color="auto" w:fill="auto"/>
            <w:vAlign w:val="center"/>
          </w:tcPr>
          <w:p w:rsidR="001D6668" w:rsidRDefault="006952D5">
            <w:pPr>
              <w:jc w:val="center"/>
            </w:pPr>
            <w:r>
              <w:rPr>
                <w:rFonts w:ascii="宋体" w:hAnsi="宋体" w:cs="宋体"/>
                <w:color w:val="000000"/>
                <w:position w:val="-1"/>
              </w:rPr>
              <w:t>007766</w:t>
            </w:r>
          </w:p>
        </w:tc>
        <w:tc>
          <w:tcPr>
            <w:tcW w:w="3978" w:type="dxa"/>
            <w:shd w:val="clear" w:color="auto" w:fill="auto"/>
            <w:vAlign w:val="center"/>
          </w:tcPr>
          <w:p w:rsidR="001D6668" w:rsidRDefault="006952D5">
            <w:pPr>
              <w:jc w:val="center"/>
            </w:pPr>
            <w:r>
              <w:rPr>
                <w:rFonts w:ascii="宋体" w:hAnsi="宋体" w:cs="宋体"/>
                <w:color w:val="000000"/>
                <w:position w:val="-1"/>
              </w:rPr>
              <w:t>前海开源中债1-3年国开行债券指数证券投资基金C</w:t>
            </w:r>
          </w:p>
        </w:tc>
      </w:tr>
      <w:tr w:rsidR="001D6668">
        <w:trPr>
          <w:trHeight w:val="270"/>
        </w:trPr>
        <w:tc>
          <w:tcPr>
            <w:tcW w:w="339" w:type="dxa"/>
            <w:shd w:val="clear" w:color="auto" w:fill="auto"/>
            <w:vAlign w:val="center"/>
          </w:tcPr>
          <w:p w:rsidR="001D6668" w:rsidRDefault="006952D5">
            <w:pPr>
              <w:jc w:val="center"/>
            </w:pPr>
            <w:r>
              <w:rPr>
                <w:rFonts w:ascii="宋体" w:hAnsi="宋体" w:cs="宋体"/>
                <w:color w:val="000000"/>
                <w:position w:val="-1"/>
              </w:rPr>
              <w:t>52</w:t>
            </w:r>
          </w:p>
        </w:tc>
        <w:tc>
          <w:tcPr>
            <w:tcW w:w="683" w:type="dxa"/>
            <w:shd w:val="clear" w:color="auto" w:fill="auto"/>
            <w:vAlign w:val="center"/>
          </w:tcPr>
          <w:p w:rsidR="001D6668" w:rsidRDefault="006952D5">
            <w:pPr>
              <w:jc w:val="center"/>
            </w:pPr>
            <w:r>
              <w:rPr>
                <w:rFonts w:ascii="宋体" w:hAnsi="宋体" w:cs="宋体"/>
                <w:color w:val="000000"/>
                <w:position w:val="-1"/>
              </w:rPr>
              <w:t>022253</w:t>
            </w:r>
          </w:p>
        </w:tc>
        <w:tc>
          <w:tcPr>
            <w:tcW w:w="3978" w:type="dxa"/>
            <w:shd w:val="clear" w:color="auto" w:fill="auto"/>
            <w:vAlign w:val="center"/>
          </w:tcPr>
          <w:p w:rsidR="001D6668" w:rsidRDefault="006952D5">
            <w:pPr>
              <w:jc w:val="center"/>
            </w:pPr>
            <w:r>
              <w:rPr>
                <w:rFonts w:ascii="宋体" w:hAnsi="宋体" w:cs="宋体"/>
                <w:color w:val="000000"/>
                <w:position w:val="-1"/>
              </w:rPr>
              <w:t>前海开源中债1-3年国开行债券指数证券投资基金</w:t>
            </w:r>
            <w:r w:rsidR="000F5C54">
              <w:rPr>
                <w:rFonts w:ascii="宋体" w:hAnsi="宋体" w:cs="宋体" w:hint="eastAsia"/>
                <w:color w:val="000000"/>
                <w:position w:val="-1"/>
              </w:rPr>
              <w:t>D</w:t>
            </w:r>
          </w:p>
        </w:tc>
      </w:tr>
    </w:tbl>
    <w:p w:rsidR="005623FC" w:rsidRDefault="00076CB4" w:rsidP="00AD34BF">
      <w:pPr>
        <w:spacing w:beforeLines="50" w:line="360" w:lineRule="auto"/>
        <w:ind w:firstLine="420"/>
        <w:rPr>
          <w:rFonts w:ascii="宋体" w:hAnsi="宋体" w:cs="Arial"/>
          <w:color w:val="000000"/>
          <w:kern w:val="0"/>
          <w:sz w:val="24"/>
          <w:szCs w:val="24"/>
        </w:rPr>
      </w:pPr>
      <w:r>
        <w:rPr>
          <w:rFonts w:ascii="宋体" w:hAnsi="宋体" w:cs="Arial" w:hint="eastAsia"/>
          <w:color w:val="000000"/>
          <w:kern w:val="0"/>
          <w:sz w:val="24"/>
          <w:szCs w:val="24"/>
        </w:rPr>
        <w:t>自</w:t>
      </w:r>
      <w:r>
        <w:rPr>
          <w:rFonts w:ascii="宋体" w:hAnsi="宋体" w:cs="Arial"/>
          <w:color w:val="000000" w:themeColor="text1"/>
          <w:kern w:val="0"/>
          <w:sz w:val="24"/>
          <w:szCs w:val="24"/>
        </w:rPr>
        <w:t>2025年3月18日</w:t>
      </w:r>
      <w:r>
        <w:rPr>
          <w:rFonts w:ascii="宋体" w:hAnsi="宋体" w:cs="Arial"/>
          <w:color w:val="000000"/>
          <w:kern w:val="0"/>
          <w:sz w:val="24"/>
          <w:szCs w:val="24"/>
        </w:rPr>
        <w:t>起，投资者可通过</w:t>
      </w:r>
      <w:r w:rsidR="00A90BFC">
        <w:rPr>
          <w:rFonts w:ascii="宋体" w:hAnsi="宋体" w:cs="Arial"/>
          <w:color w:val="000000" w:themeColor="text1"/>
          <w:kern w:val="0"/>
          <w:sz w:val="24"/>
          <w:szCs w:val="24"/>
        </w:rPr>
        <w:t>麦高证券</w:t>
      </w:r>
      <w:r>
        <w:rPr>
          <w:rFonts w:ascii="宋体" w:hAnsi="宋体" w:cs="Arial"/>
          <w:color w:val="000000"/>
          <w:kern w:val="0"/>
          <w:sz w:val="24"/>
          <w:szCs w:val="24"/>
        </w:rPr>
        <w:t>办理上述适用基金的申购、</w:t>
      </w:r>
      <w:r>
        <w:rPr>
          <w:rFonts w:ascii="宋体" w:hAnsi="宋体" w:cs="Arial" w:hint="eastAsia"/>
          <w:color w:val="000000"/>
          <w:kern w:val="0"/>
          <w:sz w:val="24"/>
          <w:szCs w:val="24"/>
        </w:rPr>
        <w:t>定期定额投资（</w:t>
      </w:r>
      <w:r>
        <w:rPr>
          <w:rFonts w:ascii="宋体" w:hAnsi="宋体" w:cs="Arial"/>
          <w:color w:val="000000"/>
          <w:kern w:val="0"/>
          <w:sz w:val="24"/>
          <w:szCs w:val="24"/>
        </w:rPr>
        <w:t>以下简称“</w:t>
      </w:r>
      <w:r>
        <w:rPr>
          <w:rFonts w:ascii="宋体" w:hAnsi="宋体" w:cs="Arial" w:hint="eastAsia"/>
          <w:color w:val="000000"/>
          <w:kern w:val="0"/>
          <w:sz w:val="24"/>
          <w:szCs w:val="24"/>
        </w:rPr>
        <w:t>定投</w:t>
      </w:r>
      <w:r>
        <w:rPr>
          <w:rFonts w:ascii="宋体" w:hAnsi="宋体" w:cs="Arial"/>
          <w:color w:val="000000"/>
          <w:kern w:val="0"/>
          <w:sz w:val="24"/>
          <w:szCs w:val="24"/>
        </w:rPr>
        <w:t>”</w:t>
      </w:r>
      <w:r>
        <w:rPr>
          <w:rFonts w:ascii="宋体" w:hAnsi="宋体" w:cs="Arial" w:hint="eastAsia"/>
          <w:color w:val="000000"/>
          <w:kern w:val="0"/>
          <w:sz w:val="24"/>
          <w:szCs w:val="24"/>
        </w:rPr>
        <w:t>）、</w:t>
      </w:r>
      <w:r>
        <w:rPr>
          <w:rFonts w:ascii="宋体" w:hAnsi="宋体" w:cs="Arial"/>
          <w:color w:val="000000"/>
          <w:kern w:val="0"/>
          <w:sz w:val="24"/>
          <w:szCs w:val="24"/>
        </w:rPr>
        <w:t>赎回、</w:t>
      </w:r>
      <w:r>
        <w:rPr>
          <w:rFonts w:ascii="宋体" w:hAnsi="宋体" w:cs="Arial" w:hint="eastAsia"/>
          <w:color w:val="000000"/>
          <w:kern w:val="0"/>
          <w:sz w:val="24"/>
          <w:szCs w:val="24"/>
        </w:rPr>
        <w:t>转换等业务，业务开始或结束办理的具体时间及具体程序、规则以</w:t>
      </w:r>
      <w:r w:rsidR="00A90BFC">
        <w:rPr>
          <w:rFonts w:ascii="宋体" w:hAnsi="宋体" w:cs="Arial"/>
          <w:color w:val="000000" w:themeColor="text1"/>
          <w:kern w:val="0"/>
          <w:sz w:val="24"/>
          <w:szCs w:val="24"/>
        </w:rPr>
        <w:t>麦高证券</w:t>
      </w:r>
      <w:r>
        <w:rPr>
          <w:rFonts w:ascii="宋体" w:hAnsi="宋体" w:cs="Arial" w:hint="eastAsia"/>
          <w:color w:val="000000"/>
          <w:kern w:val="0"/>
          <w:sz w:val="24"/>
          <w:szCs w:val="24"/>
        </w:rPr>
        <w:t>的有关规定为准。</w:t>
      </w:r>
    </w:p>
    <w:p w:rsidR="005623FC" w:rsidRDefault="00076CB4" w:rsidP="00AD34BF">
      <w:pPr>
        <w:widowControl/>
        <w:shd w:val="clear" w:color="auto" w:fill="FFFFFF"/>
        <w:adjustRightInd w:val="0"/>
        <w:snapToGrid w:val="0"/>
        <w:spacing w:beforeLines="50" w:line="360" w:lineRule="auto"/>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二、费率优惠及业务办理最低限额</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1、费率优惠</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投资者通过</w:t>
      </w:r>
      <w:r>
        <w:rPr>
          <w:rFonts w:ascii="宋体" w:hAnsi="宋体" w:cs="Arial"/>
          <w:color w:val="000000" w:themeColor="text1"/>
          <w:kern w:val="0"/>
          <w:sz w:val="24"/>
          <w:szCs w:val="24"/>
        </w:rPr>
        <w:t>麦高证券</w:t>
      </w:r>
      <w:r>
        <w:rPr>
          <w:rFonts w:ascii="宋体" w:hAnsi="宋体" w:cs="Arial" w:hint="eastAsia"/>
          <w:color w:val="000000"/>
          <w:kern w:val="0"/>
          <w:sz w:val="24"/>
          <w:szCs w:val="24"/>
        </w:rPr>
        <w:t>办理上述适用基金的申购、定投业务，其申购、定投费率</w:t>
      </w:r>
      <w:r w:rsidR="009417D4">
        <w:rPr>
          <w:rFonts w:ascii="宋体" w:hAnsi="宋体" w:cs="Arial"/>
          <w:color w:val="000000" w:themeColor="text1"/>
          <w:kern w:val="0"/>
          <w:sz w:val="24"/>
          <w:szCs w:val="24"/>
        </w:rPr>
        <w:t>不设折扣限制</w:t>
      </w:r>
      <w:r>
        <w:rPr>
          <w:rFonts w:ascii="宋体" w:hAnsi="宋体" w:cs="Arial" w:hint="eastAsia"/>
          <w:color w:val="000000"/>
          <w:kern w:val="0"/>
          <w:sz w:val="24"/>
          <w:szCs w:val="24"/>
        </w:rPr>
        <w:t>，固定费用</w:t>
      </w:r>
      <w:r w:rsidR="009417D4">
        <w:rPr>
          <w:rFonts w:ascii="宋体" w:hAnsi="宋体" w:cs="Arial"/>
          <w:color w:val="000000" w:themeColor="text1"/>
          <w:kern w:val="0"/>
          <w:sz w:val="24"/>
          <w:szCs w:val="24"/>
        </w:rPr>
        <w:t>不设折扣限制</w:t>
      </w:r>
      <w:r>
        <w:rPr>
          <w:rFonts w:ascii="宋体" w:hAnsi="宋体" w:cs="Arial" w:hint="eastAsia"/>
          <w:color w:val="000000"/>
          <w:kern w:val="0"/>
          <w:sz w:val="24"/>
          <w:szCs w:val="24"/>
        </w:rPr>
        <w:t>。具体折扣费率以</w:t>
      </w:r>
      <w:r>
        <w:rPr>
          <w:rFonts w:ascii="宋体" w:hAnsi="宋体" w:cs="Arial"/>
          <w:color w:val="000000" w:themeColor="text1"/>
          <w:kern w:val="0"/>
          <w:sz w:val="24"/>
          <w:szCs w:val="24"/>
        </w:rPr>
        <w:t>麦高证券</w:t>
      </w:r>
      <w:r>
        <w:rPr>
          <w:rFonts w:ascii="宋体" w:hAnsi="宋体" w:cs="Arial" w:hint="eastAsia"/>
          <w:color w:val="000000"/>
          <w:kern w:val="0"/>
          <w:sz w:val="24"/>
          <w:szCs w:val="24"/>
        </w:rPr>
        <w:t>活动为准。基金原费率请详见基金合同、招募说明书、基金产品资料概要及其更新等法律文件，以及本公司发布的最新业务公告。</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2、定投业务办理最低限额</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投资者在</w:t>
      </w:r>
      <w:r>
        <w:rPr>
          <w:rFonts w:ascii="宋体" w:hAnsi="宋体" w:cs="Arial"/>
          <w:color w:val="000000" w:themeColor="text1"/>
          <w:kern w:val="0"/>
          <w:sz w:val="24"/>
          <w:szCs w:val="24"/>
        </w:rPr>
        <w:t>麦高证券</w:t>
      </w:r>
      <w:r>
        <w:rPr>
          <w:rFonts w:ascii="宋体" w:hAnsi="宋体" w:cs="Arial" w:hint="eastAsia"/>
          <w:color w:val="000000"/>
          <w:kern w:val="0"/>
          <w:sz w:val="24"/>
          <w:szCs w:val="24"/>
        </w:rPr>
        <w:t>办理本公司上述基金的定投业务，最低单笔定投金额为人民币</w:t>
      </w:r>
      <w:r w:rsidR="00391168">
        <w:rPr>
          <w:rFonts w:ascii="宋体" w:hAnsi="宋体" w:cs="Arial"/>
          <w:color w:val="000000" w:themeColor="text1"/>
          <w:kern w:val="0"/>
          <w:sz w:val="24"/>
          <w:szCs w:val="24"/>
        </w:rPr>
        <w:t>1</w:t>
      </w:r>
      <w:r>
        <w:rPr>
          <w:rFonts w:ascii="宋体" w:hAnsi="宋体" w:cs="Arial" w:hint="eastAsia"/>
          <w:color w:val="000000" w:themeColor="text1"/>
          <w:kern w:val="0"/>
          <w:sz w:val="24"/>
          <w:szCs w:val="24"/>
        </w:rPr>
        <w:t>元（含）</w:t>
      </w:r>
      <w:r>
        <w:rPr>
          <w:rFonts w:ascii="宋体" w:hAnsi="宋体" w:cs="Arial" w:hint="eastAsia"/>
          <w:color w:val="000000"/>
          <w:kern w:val="0"/>
          <w:sz w:val="24"/>
          <w:szCs w:val="24"/>
        </w:rPr>
        <w:t>。如在产品相关公告中已约定单笔最低定投金额的产品，其单笔最低定投金额则按照产品相关公告执行。</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lastRenderedPageBreak/>
        <w:t>3</w:t>
      </w:r>
      <w:r>
        <w:rPr>
          <w:rFonts w:ascii="宋体" w:hAnsi="宋体" w:cs="Arial" w:hint="eastAsia"/>
          <w:color w:val="000000"/>
          <w:kern w:val="0"/>
          <w:sz w:val="24"/>
          <w:szCs w:val="24"/>
        </w:rPr>
        <w:t>、</w:t>
      </w:r>
      <w:r w:rsidR="00725D1D">
        <w:rPr>
          <w:rFonts w:ascii="宋体" w:hAnsi="宋体" w:cs="Arial" w:hint="eastAsia"/>
          <w:color w:val="000000"/>
          <w:kern w:val="0"/>
          <w:sz w:val="24"/>
          <w:szCs w:val="24"/>
        </w:rPr>
        <w:t>后续本公司新增通过</w:t>
      </w:r>
      <w:r w:rsidR="005405A9">
        <w:rPr>
          <w:rFonts w:ascii="宋体" w:hAnsi="宋体" w:cs="Arial"/>
          <w:color w:val="000000" w:themeColor="text1"/>
          <w:kern w:val="0"/>
          <w:sz w:val="24"/>
          <w:szCs w:val="24"/>
        </w:rPr>
        <w:t>麦高证券</w:t>
      </w:r>
      <w:r w:rsidR="00725D1D">
        <w:rPr>
          <w:rFonts w:ascii="宋体" w:hAnsi="宋体" w:cs="Arial" w:hint="eastAsia"/>
          <w:color w:val="000000"/>
          <w:kern w:val="0"/>
          <w:sz w:val="24"/>
          <w:szCs w:val="24"/>
        </w:rPr>
        <w:t>销售的基金产品除基金法律文件或产品相关公告有特殊规定外，适用上述费率优惠及定投业务办理最低限额，本公司不再另行公告</w:t>
      </w:r>
      <w:r>
        <w:rPr>
          <w:rFonts w:ascii="宋体" w:hAnsi="宋体" w:cs="Arial" w:hint="eastAsia"/>
          <w:color w:val="000000"/>
          <w:kern w:val="0"/>
          <w:sz w:val="24"/>
          <w:szCs w:val="24"/>
        </w:rPr>
        <w:t>。</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4</w:t>
      </w:r>
      <w:r>
        <w:rPr>
          <w:rFonts w:ascii="宋体" w:hAnsi="宋体" w:cs="Arial" w:hint="eastAsia"/>
          <w:color w:val="000000"/>
          <w:kern w:val="0"/>
          <w:sz w:val="24"/>
          <w:szCs w:val="24"/>
        </w:rPr>
        <w:t>、</w:t>
      </w:r>
      <w:r w:rsidR="00725D1D">
        <w:rPr>
          <w:rFonts w:ascii="宋体" w:hAnsi="宋体" w:cs="Arial" w:hint="eastAsia"/>
          <w:color w:val="000000"/>
          <w:kern w:val="0"/>
          <w:sz w:val="24"/>
          <w:szCs w:val="24"/>
        </w:rPr>
        <w:t>处于封闭期的产品，自开放申购、赎回业务之日起，适用于上述费率优惠及定投业务办理最低限额，本公司不再另行公告</w:t>
      </w:r>
      <w:r>
        <w:rPr>
          <w:rFonts w:ascii="宋体" w:hAnsi="宋体" w:cs="Arial" w:hint="eastAsia"/>
          <w:color w:val="000000"/>
          <w:kern w:val="0"/>
          <w:sz w:val="24"/>
          <w:szCs w:val="24"/>
        </w:rPr>
        <w:t>。</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5、</w:t>
      </w:r>
      <w:r>
        <w:rPr>
          <w:rFonts w:ascii="宋体" w:hAnsi="宋体" w:cs="Arial" w:hint="eastAsia"/>
          <w:color w:val="000000"/>
          <w:kern w:val="0"/>
          <w:sz w:val="24"/>
          <w:szCs w:val="24"/>
        </w:rPr>
        <w:t>LOF基金的相关规则以中国证券登记结算有限责任公司的具体业务规定为准。</w:t>
      </w:r>
    </w:p>
    <w:p w:rsidR="005623FC" w:rsidRDefault="00076CB4" w:rsidP="00AD34BF">
      <w:pPr>
        <w:widowControl/>
        <w:shd w:val="clear" w:color="auto" w:fill="FFFFFF"/>
        <w:adjustRightInd w:val="0"/>
        <w:snapToGrid w:val="0"/>
        <w:spacing w:beforeLines="50" w:line="360" w:lineRule="auto"/>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三、</w:t>
      </w:r>
      <w:r>
        <w:rPr>
          <w:rFonts w:ascii="宋体" w:hAnsi="宋体" w:cs="Arial"/>
          <w:b/>
          <w:color w:val="000000"/>
          <w:kern w:val="0"/>
          <w:sz w:val="24"/>
          <w:szCs w:val="24"/>
        </w:rPr>
        <w:t>重要提示</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1、上述申购</w:t>
      </w:r>
      <w:r>
        <w:rPr>
          <w:rFonts w:ascii="宋体" w:hAnsi="宋体" w:cs="Arial" w:hint="eastAsia"/>
          <w:color w:val="000000"/>
          <w:kern w:val="0"/>
          <w:sz w:val="24"/>
          <w:szCs w:val="24"/>
        </w:rPr>
        <w:t>及</w:t>
      </w:r>
      <w:r>
        <w:rPr>
          <w:rFonts w:ascii="宋体" w:hAnsi="宋体" w:cs="Arial"/>
          <w:color w:val="000000"/>
          <w:kern w:val="0"/>
          <w:sz w:val="24"/>
          <w:szCs w:val="24"/>
        </w:rPr>
        <w:t>赎回业务仅适用于处于正常申购赎回期及处于特定开放日和开放时间的基金。基金</w:t>
      </w:r>
      <w:r>
        <w:rPr>
          <w:rFonts w:ascii="宋体" w:hAnsi="宋体" w:cs="Arial" w:hint="eastAsia"/>
          <w:color w:val="000000"/>
          <w:kern w:val="0"/>
          <w:sz w:val="24"/>
          <w:szCs w:val="24"/>
        </w:rPr>
        <w:t>认购期、</w:t>
      </w:r>
      <w:r>
        <w:rPr>
          <w:rFonts w:ascii="宋体" w:hAnsi="宋体" w:cs="Arial"/>
          <w:color w:val="000000"/>
          <w:kern w:val="0"/>
          <w:sz w:val="24"/>
          <w:szCs w:val="24"/>
        </w:rPr>
        <w:t>封闭期等特殊期间的有关规定详见对应基金的基金合同</w:t>
      </w:r>
      <w:r>
        <w:rPr>
          <w:rFonts w:ascii="宋体" w:hAnsi="宋体" w:cs="Arial" w:hint="eastAsia"/>
          <w:color w:val="000000"/>
          <w:kern w:val="0"/>
          <w:sz w:val="24"/>
          <w:szCs w:val="24"/>
        </w:rPr>
        <w:t>、</w:t>
      </w:r>
      <w:r>
        <w:rPr>
          <w:rFonts w:ascii="宋体" w:hAnsi="宋体" w:cs="Arial"/>
          <w:color w:val="000000"/>
          <w:kern w:val="0"/>
          <w:sz w:val="24"/>
          <w:szCs w:val="24"/>
        </w:rPr>
        <w:t>招募说明书</w:t>
      </w:r>
      <w:r>
        <w:rPr>
          <w:rFonts w:ascii="宋体" w:hAnsi="宋体" w:cs="Arial" w:hint="eastAsia"/>
          <w:color w:val="000000"/>
          <w:kern w:val="0"/>
          <w:sz w:val="24"/>
          <w:szCs w:val="24"/>
        </w:rPr>
        <w:t>、基金产品资料概要及其更新</w:t>
      </w:r>
      <w:r>
        <w:rPr>
          <w:rFonts w:ascii="宋体" w:hAnsi="宋体" w:cs="Arial"/>
          <w:color w:val="000000"/>
          <w:kern w:val="0"/>
          <w:sz w:val="24"/>
          <w:szCs w:val="24"/>
        </w:rPr>
        <w:t>等相关法律文件</w:t>
      </w:r>
      <w:r>
        <w:rPr>
          <w:rFonts w:ascii="宋体" w:hAnsi="宋体" w:cs="Arial" w:hint="eastAsia"/>
          <w:color w:val="000000"/>
          <w:kern w:val="0"/>
          <w:sz w:val="24"/>
          <w:szCs w:val="24"/>
        </w:rPr>
        <w:t>和</w:t>
      </w:r>
      <w:r>
        <w:rPr>
          <w:rFonts w:ascii="宋体" w:hAnsi="宋体" w:cs="Arial"/>
          <w:color w:val="000000"/>
          <w:kern w:val="0"/>
          <w:sz w:val="24"/>
          <w:szCs w:val="24"/>
        </w:rPr>
        <w:t>本公司发布的最新业务公告。</w:t>
      </w:r>
    </w:p>
    <w:p w:rsidR="005623FC" w:rsidRDefault="00076CB4" w:rsidP="00AD34BF">
      <w:pPr>
        <w:widowControl/>
        <w:shd w:val="clear" w:color="auto" w:fill="FFFFFF"/>
        <w:adjustRightInd w:val="0"/>
        <w:snapToGrid w:val="0"/>
        <w:spacing w:beforeLines="50"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2、基金转换是指投资者可将其通过销售机构购买并持有的本公司旗下某只开放式基金的全部或部分基金份额转换为本公司管理的其他开放式基金的基金份额。转换的两只基金必须都是由同一销售机构销售、同一基金管理人管理、并在同一登记机构处登记的基金。同一基金不同份额之间暂不开通转换。基金转换费用与转换业务规则可参照本公司发布的《前海开源基金管理有限公司关于旗下基金开通转换业务并在直销机构实行申购补差费率优惠的公告》、《前海开源基金管理有限公司关于调整旗下部分开放式证券投资基金转换业务补差费用计算方法的公告》等相关公告。</w:t>
      </w:r>
    </w:p>
    <w:p w:rsidR="005623FC" w:rsidRDefault="00076CB4" w:rsidP="00AD34BF">
      <w:pPr>
        <w:widowControl/>
        <w:shd w:val="clear" w:color="auto" w:fill="FFFFFF"/>
        <w:adjustRightInd w:val="0"/>
        <w:snapToGrid w:val="0"/>
        <w:spacing w:beforeLines="50"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3、</w:t>
      </w:r>
      <w:r>
        <w:rPr>
          <w:rFonts w:ascii="宋体" w:hAnsi="宋体" w:cs="Arial" w:hint="eastAsia"/>
          <w:color w:val="000000"/>
          <w:kern w:val="0"/>
          <w:sz w:val="24"/>
          <w:szCs w:val="24"/>
        </w:rPr>
        <w:t>本公告解释权归本公司所有。</w:t>
      </w:r>
    </w:p>
    <w:p w:rsidR="005623FC" w:rsidRDefault="00076CB4" w:rsidP="00AD34BF">
      <w:pPr>
        <w:widowControl/>
        <w:shd w:val="clear" w:color="auto" w:fill="FFFFFF"/>
        <w:adjustRightInd w:val="0"/>
        <w:snapToGrid w:val="0"/>
        <w:spacing w:beforeLines="50" w:line="360" w:lineRule="auto"/>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四、</w:t>
      </w:r>
      <w:r>
        <w:rPr>
          <w:rFonts w:ascii="宋体" w:hAnsi="宋体" w:cs="Arial"/>
          <w:b/>
          <w:color w:val="000000"/>
          <w:kern w:val="0"/>
          <w:sz w:val="24"/>
          <w:szCs w:val="24"/>
        </w:rPr>
        <w:t>投资者可通过以下途径咨询有关详情</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1、</w:t>
      </w:r>
      <w:r>
        <w:rPr>
          <w:rFonts w:ascii="宋体" w:hAnsi="宋体" w:cs="Arial"/>
          <w:color w:val="000000" w:themeColor="text1"/>
          <w:kern w:val="0"/>
          <w:sz w:val="24"/>
          <w:szCs w:val="24"/>
        </w:rPr>
        <w:t>麦高证券有限责任公司</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客服电话：</w:t>
      </w:r>
      <w:r>
        <w:rPr>
          <w:rFonts w:ascii="宋体" w:hAnsi="宋体" w:cs="Arial"/>
          <w:color w:val="000000" w:themeColor="text1"/>
          <w:kern w:val="0"/>
          <w:sz w:val="24"/>
          <w:szCs w:val="24"/>
        </w:rPr>
        <w:t>400-618-3355</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网址：</w:t>
      </w:r>
      <w:bookmarkStart w:id="1" w:name="_Hlk119053644"/>
      <w:r>
        <w:rPr>
          <w:rFonts w:ascii="宋体" w:hAnsi="宋体" w:cs="Arial"/>
          <w:color w:val="000000" w:themeColor="text1"/>
          <w:kern w:val="0"/>
          <w:sz w:val="24"/>
          <w:szCs w:val="24"/>
        </w:rPr>
        <w:t>www.mgzq.com</w:t>
      </w:r>
      <w:bookmarkEnd w:id="1"/>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2、</w:t>
      </w:r>
      <w:r>
        <w:rPr>
          <w:rFonts w:ascii="宋体" w:hAnsi="宋体" w:cs="Arial"/>
          <w:color w:val="000000"/>
          <w:kern w:val="0"/>
          <w:sz w:val="24"/>
          <w:szCs w:val="24"/>
        </w:rPr>
        <w:t>前海开源基金管理有限公司</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客服电话：4001-666-998</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网址：www.qhkyfund.com</w:t>
      </w:r>
    </w:p>
    <w:p w:rsidR="005623FC" w:rsidRDefault="00076CB4" w:rsidP="00AD34BF">
      <w:pPr>
        <w:widowControl/>
        <w:shd w:val="clear" w:color="auto" w:fill="FFFFFF"/>
        <w:adjustRightInd w:val="0"/>
        <w:snapToGrid w:val="0"/>
        <w:spacing w:beforeLines="50" w:line="360" w:lineRule="auto"/>
        <w:ind w:firstLineChars="200" w:firstLine="482"/>
        <w:rPr>
          <w:rFonts w:ascii="宋体" w:hAnsi="宋体" w:cs="Arial"/>
          <w:b/>
          <w:color w:val="000000"/>
          <w:kern w:val="0"/>
          <w:sz w:val="24"/>
          <w:szCs w:val="24"/>
        </w:rPr>
      </w:pPr>
      <w:r>
        <w:rPr>
          <w:rFonts w:ascii="宋体" w:hAnsi="宋体" w:cs="Arial" w:hint="eastAsia"/>
          <w:b/>
          <w:color w:val="000000"/>
          <w:kern w:val="0"/>
          <w:sz w:val="24"/>
          <w:szCs w:val="24"/>
        </w:rPr>
        <w:t>五</w:t>
      </w:r>
      <w:r>
        <w:rPr>
          <w:rFonts w:ascii="宋体" w:hAnsi="宋体" w:cs="Arial"/>
          <w:b/>
          <w:color w:val="000000"/>
          <w:kern w:val="0"/>
          <w:sz w:val="24"/>
          <w:szCs w:val="24"/>
        </w:rPr>
        <w:t>、风险提示</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投资者应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对于设定最短持有期的基金的每份基金份额，在最短持有期到期日（含该日）前，基金份额持有人不能对该基金份额提出赎回或转换转出申请；自最短持有期到期日的下一工作日（含该日）起，基金份额持有人可对该基金份额提出赎回或转换转出申请；基金份额持有人将面临在最短持有期到期前不能赎回基金份额的风险。</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投资者投资于货币市场基金并不等于将资金作为存款存放在银行或存款类金融机构，基金的过往业绩并不预示其未来表现，基金管理人管理的其他基金的业绩并不构成对货币市场基金表现的保证。</w:t>
      </w:r>
    </w:p>
    <w:p w:rsidR="005623FC" w:rsidRDefault="00076CB4" w:rsidP="000F5C5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沪港深系列基金的</w:t>
      </w:r>
      <w:r w:rsidR="00725D1D">
        <w:rPr>
          <w:rFonts w:ascii="宋体" w:hAnsi="宋体" w:cs="Arial" w:hint="eastAsia"/>
          <w:color w:val="000000"/>
          <w:kern w:val="0"/>
          <w:sz w:val="24"/>
          <w:szCs w:val="24"/>
        </w:rPr>
        <w:t>基金</w:t>
      </w:r>
      <w:r>
        <w:rPr>
          <w:rFonts w:ascii="宋体" w:hAnsi="宋体" w:cs="Arial" w:hint="eastAsia"/>
          <w:color w:val="000000"/>
          <w:kern w:val="0"/>
          <w:sz w:val="24"/>
          <w:szCs w:val="24"/>
        </w:rPr>
        <w:t>名称仅表明基金可以通过港股通机制投资港股，基金资产对港股标的投资比例会根据市场情况、投资策略等发生较大的调整，存在不对港股进行投资的可能。</w:t>
      </w: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hint="eastAsia"/>
          <w:color w:val="000000"/>
          <w:kern w:val="0"/>
          <w:sz w:val="24"/>
          <w:szCs w:val="24"/>
        </w:rPr>
        <w:t>基金管理人承诺以诚实信用、勤勉尽责的原则管理和运用基金资产，但不保证基金一定盈利，也不保证最低收益。投资者投资于本公司旗下基金前应认真阅读各基金的基金合同、招募说明书、基金产品资料概要及其更新等文件，了解所投资基金的风险收益特征，并根据自身风险承受能力选择适合自己的基金产品。敬请投资者注意投资风险。</w:t>
      </w:r>
    </w:p>
    <w:p w:rsidR="005623FC" w:rsidRDefault="005623FC">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p>
    <w:p w:rsidR="005623FC" w:rsidRDefault="00076CB4">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r>
        <w:rPr>
          <w:rFonts w:ascii="宋体" w:hAnsi="宋体" w:cs="Arial"/>
          <w:color w:val="000000"/>
          <w:kern w:val="0"/>
          <w:sz w:val="24"/>
          <w:szCs w:val="24"/>
        </w:rPr>
        <w:t>特此公告</w:t>
      </w:r>
    </w:p>
    <w:p w:rsidR="005623FC" w:rsidRDefault="005623FC">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p>
    <w:p w:rsidR="005623FC" w:rsidRDefault="005623FC">
      <w:pPr>
        <w:widowControl/>
        <w:shd w:val="clear" w:color="auto" w:fill="FFFFFF"/>
        <w:adjustRightInd w:val="0"/>
        <w:snapToGrid w:val="0"/>
        <w:spacing w:line="360" w:lineRule="auto"/>
        <w:ind w:firstLineChars="200" w:firstLine="480"/>
        <w:rPr>
          <w:rFonts w:ascii="宋体" w:hAnsi="宋体" w:cs="Arial"/>
          <w:color w:val="000000"/>
          <w:kern w:val="0"/>
          <w:sz w:val="24"/>
          <w:szCs w:val="24"/>
        </w:rPr>
      </w:pPr>
    </w:p>
    <w:p w:rsidR="005623FC" w:rsidRDefault="00076CB4">
      <w:pPr>
        <w:widowControl/>
        <w:shd w:val="clear" w:color="auto" w:fill="FFFFFF"/>
        <w:adjustRightInd w:val="0"/>
        <w:snapToGrid w:val="0"/>
        <w:spacing w:line="360" w:lineRule="auto"/>
        <w:ind w:firstLineChars="200" w:firstLine="480"/>
        <w:jc w:val="right"/>
        <w:rPr>
          <w:rFonts w:ascii="宋体" w:hAnsi="宋体" w:cs="Arial"/>
          <w:color w:val="000000"/>
          <w:kern w:val="0"/>
          <w:sz w:val="24"/>
          <w:szCs w:val="24"/>
        </w:rPr>
      </w:pPr>
      <w:r>
        <w:rPr>
          <w:rFonts w:ascii="宋体" w:hAnsi="宋体" w:cs="Arial"/>
          <w:color w:val="000000"/>
          <w:kern w:val="0"/>
          <w:sz w:val="24"/>
          <w:szCs w:val="24"/>
        </w:rPr>
        <w:t>前海开源基金管理有限公司</w:t>
      </w:r>
    </w:p>
    <w:p w:rsidR="005623FC" w:rsidRDefault="009417D4">
      <w:pPr>
        <w:widowControl/>
        <w:shd w:val="clear" w:color="auto" w:fill="FFFFFF"/>
        <w:adjustRightInd w:val="0"/>
        <w:snapToGrid w:val="0"/>
        <w:spacing w:line="360" w:lineRule="auto"/>
        <w:ind w:firstLineChars="200" w:firstLine="480"/>
        <w:jc w:val="right"/>
        <w:rPr>
          <w:color w:val="FF0000"/>
        </w:rPr>
      </w:pPr>
      <w:r w:rsidRPr="009417D4">
        <w:rPr>
          <w:rFonts w:ascii="宋体" w:hAnsi="宋体" w:cs="Arial"/>
          <w:color w:val="000000"/>
          <w:kern w:val="0"/>
          <w:sz w:val="24"/>
          <w:szCs w:val="24"/>
        </w:rPr>
        <w:t>2025年3月18日</w:t>
      </w:r>
    </w:p>
    <w:sectPr w:rsidR="005623FC" w:rsidSect="00815721">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2D5" w:rsidRDefault="006952D5">
      <w:r>
        <w:separator/>
      </w:r>
    </w:p>
  </w:endnote>
  <w:endnote w:type="continuationSeparator" w:id="0">
    <w:p w:rsidR="006952D5" w:rsidRDefault="00695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2D5" w:rsidRDefault="006952D5">
      <w:r>
        <w:separator/>
      </w:r>
    </w:p>
  </w:footnote>
  <w:footnote w:type="continuationSeparator" w:id="0">
    <w:p w:rsidR="006952D5" w:rsidRDefault="006952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3FC" w:rsidRDefault="00076CB4">
    <w:pPr>
      <w:pStyle w:val="a6"/>
      <w:jc w:val="left"/>
    </w:pPr>
    <w:r>
      <w:rPr>
        <w:noProof/>
      </w:rPr>
      <w:drawing>
        <wp:inline distT="0" distB="0" distL="0" distR="0">
          <wp:extent cx="1129030" cy="278130"/>
          <wp:effectExtent l="0" t="0" r="0"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29030" cy="278130"/>
                  </a:xfrm>
                  <a:prstGeom prst="rect">
                    <a:avLst/>
                  </a:prstGeom>
                  <a:noFill/>
                  <a:ln>
                    <a:noFill/>
                  </a:ln>
                </pic:spPr>
              </pic:pic>
            </a:graphicData>
          </a:graphic>
        </wp:inline>
      </w:drawing>
    </w:r>
    <w:r>
      <w:rPr>
        <w:rFonts w:hint="eastAsia"/>
      </w:rPr>
      <w:tab/>
    </w:r>
    <w:r>
      <w:rPr>
        <w:rFonts w:hint="eastAsia"/>
      </w:rPr>
      <w:tab/>
    </w:r>
    <w:r>
      <w:rPr>
        <w:rFonts w:hint="eastAsia"/>
      </w:rPr>
      <w:t>临时公告</w:t>
    </w:r>
  </w:p>
  <w:p w:rsidR="005623FC" w:rsidRDefault="005623F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RiZmVmMzFjYzU4NTNkNmYxNWI3NDdmMGI1MmIxMmEifQ=="/>
  </w:docVars>
  <w:rsids>
    <w:rsidRoot w:val="00D934B3"/>
    <w:rsid w:val="00002698"/>
    <w:rsid w:val="00022584"/>
    <w:rsid w:val="00044F7B"/>
    <w:rsid w:val="00052A23"/>
    <w:rsid w:val="000539B9"/>
    <w:rsid w:val="00054FD3"/>
    <w:rsid w:val="00060C4F"/>
    <w:rsid w:val="000641E8"/>
    <w:rsid w:val="00064A4A"/>
    <w:rsid w:val="00066B51"/>
    <w:rsid w:val="000709A2"/>
    <w:rsid w:val="0007546E"/>
    <w:rsid w:val="00076CB4"/>
    <w:rsid w:val="000865AE"/>
    <w:rsid w:val="00094A1B"/>
    <w:rsid w:val="000C0F62"/>
    <w:rsid w:val="000C3565"/>
    <w:rsid w:val="000D052F"/>
    <w:rsid w:val="000D7634"/>
    <w:rsid w:val="000E3C6B"/>
    <w:rsid w:val="000F5C54"/>
    <w:rsid w:val="000F6002"/>
    <w:rsid w:val="0010344B"/>
    <w:rsid w:val="00111219"/>
    <w:rsid w:val="0011704F"/>
    <w:rsid w:val="00133541"/>
    <w:rsid w:val="00134461"/>
    <w:rsid w:val="0013797C"/>
    <w:rsid w:val="00145A86"/>
    <w:rsid w:val="001524EF"/>
    <w:rsid w:val="0016423F"/>
    <w:rsid w:val="00164F2D"/>
    <w:rsid w:val="00165B09"/>
    <w:rsid w:val="001724E1"/>
    <w:rsid w:val="0018732B"/>
    <w:rsid w:val="00192CEF"/>
    <w:rsid w:val="00193408"/>
    <w:rsid w:val="00194C79"/>
    <w:rsid w:val="001A3F03"/>
    <w:rsid w:val="001D19F8"/>
    <w:rsid w:val="001D6668"/>
    <w:rsid w:val="001E508F"/>
    <w:rsid w:val="001E60F3"/>
    <w:rsid w:val="00220AE5"/>
    <w:rsid w:val="00223811"/>
    <w:rsid w:val="00230F4C"/>
    <w:rsid w:val="0023169F"/>
    <w:rsid w:val="002351B7"/>
    <w:rsid w:val="00244B57"/>
    <w:rsid w:val="00246411"/>
    <w:rsid w:val="002507A7"/>
    <w:rsid w:val="00251B16"/>
    <w:rsid w:val="00252FA3"/>
    <w:rsid w:val="0025317B"/>
    <w:rsid w:val="002631CC"/>
    <w:rsid w:val="00264431"/>
    <w:rsid w:val="002654C8"/>
    <w:rsid w:val="00275BCF"/>
    <w:rsid w:val="00276DA4"/>
    <w:rsid w:val="0027790A"/>
    <w:rsid w:val="00277F66"/>
    <w:rsid w:val="00287A3A"/>
    <w:rsid w:val="002A0758"/>
    <w:rsid w:val="002A2122"/>
    <w:rsid w:val="002A4AB8"/>
    <w:rsid w:val="002A689C"/>
    <w:rsid w:val="002A7C4B"/>
    <w:rsid w:val="002D0661"/>
    <w:rsid w:val="002E44D1"/>
    <w:rsid w:val="002F2F12"/>
    <w:rsid w:val="00315AE9"/>
    <w:rsid w:val="00316026"/>
    <w:rsid w:val="00317AAF"/>
    <w:rsid w:val="00324AA8"/>
    <w:rsid w:val="00331565"/>
    <w:rsid w:val="00332F1A"/>
    <w:rsid w:val="00333522"/>
    <w:rsid w:val="003359E5"/>
    <w:rsid w:val="0034459C"/>
    <w:rsid w:val="0035640E"/>
    <w:rsid w:val="003623A8"/>
    <w:rsid w:val="00364202"/>
    <w:rsid w:val="00370FF9"/>
    <w:rsid w:val="00374625"/>
    <w:rsid w:val="00377EBD"/>
    <w:rsid w:val="00382BE7"/>
    <w:rsid w:val="00391168"/>
    <w:rsid w:val="00394297"/>
    <w:rsid w:val="003973E8"/>
    <w:rsid w:val="003A1DE1"/>
    <w:rsid w:val="003A3E4F"/>
    <w:rsid w:val="003A7615"/>
    <w:rsid w:val="003B6C01"/>
    <w:rsid w:val="003C07C7"/>
    <w:rsid w:val="003C5684"/>
    <w:rsid w:val="003C6164"/>
    <w:rsid w:val="003C6B15"/>
    <w:rsid w:val="003C6CAC"/>
    <w:rsid w:val="003E0C9F"/>
    <w:rsid w:val="003E4F67"/>
    <w:rsid w:val="003E61C3"/>
    <w:rsid w:val="003E643B"/>
    <w:rsid w:val="003F1E78"/>
    <w:rsid w:val="003F3CB7"/>
    <w:rsid w:val="004008CA"/>
    <w:rsid w:val="00400FE1"/>
    <w:rsid w:val="00411C1D"/>
    <w:rsid w:val="00415C1E"/>
    <w:rsid w:val="00417B47"/>
    <w:rsid w:val="0042669A"/>
    <w:rsid w:val="0042703D"/>
    <w:rsid w:val="00437F1E"/>
    <w:rsid w:val="00450E23"/>
    <w:rsid w:val="0045209F"/>
    <w:rsid w:val="00472375"/>
    <w:rsid w:val="00476140"/>
    <w:rsid w:val="00481ADC"/>
    <w:rsid w:val="00481B4F"/>
    <w:rsid w:val="00486B91"/>
    <w:rsid w:val="0048736C"/>
    <w:rsid w:val="00495BA6"/>
    <w:rsid w:val="00495E06"/>
    <w:rsid w:val="004A0555"/>
    <w:rsid w:val="004A5152"/>
    <w:rsid w:val="004B5811"/>
    <w:rsid w:val="004B65CB"/>
    <w:rsid w:val="004C5705"/>
    <w:rsid w:val="004D60B4"/>
    <w:rsid w:val="004E1667"/>
    <w:rsid w:val="004F1566"/>
    <w:rsid w:val="00510964"/>
    <w:rsid w:val="00514512"/>
    <w:rsid w:val="00534E48"/>
    <w:rsid w:val="005405A9"/>
    <w:rsid w:val="00546F39"/>
    <w:rsid w:val="00556031"/>
    <w:rsid w:val="00561A24"/>
    <w:rsid w:val="005623FC"/>
    <w:rsid w:val="00563288"/>
    <w:rsid w:val="0057602C"/>
    <w:rsid w:val="005766B6"/>
    <w:rsid w:val="0058162C"/>
    <w:rsid w:val="0058355D"/>
    <w:rsid w:val="00583B13"/>
    <w:rsid w:val="00590F6B"/>
    <w:rsid w:val="00594DC3"/>
    <w:rsid w:val="00596990"/>
    <w:rsid w:val="005A2EAF"/>
    <w:rsid w:val="005A45B3"/>
    <w:rsid w:val="005A5B42"/>
    <w:rsid w:val="005D703A"/>
    <w:rsid w:val="005E6727"/>
    <w:rsid w:val="005F0A1F"/>
    <w:rsid w:val="005F6D69"/>
    <w:rsid w:val="005F6E56"/>
    <w:rsid w:val="00602E55"/>
    <w:rsid w:val="00611081"/>
    <w:rsid w:val="00613F45"/>
    <w:rsid w:val="00632D12"/>
    <w:rsid w:val="00633137"/>
    <w:rsid w:val="00634868"/>
    <w:rsid w:val="00642546"/>
    <w:rsid w:val="00642777"/>
    <w:rsid w:val="00653AC9"/>
    <w:rsid w:val="00655CBA"/>
    <w:rsid w:val="00661079"/>
    <w:rsid w:val="006642FC"/>
    <w:rsid w:val="00673C1B"/>
    <w:rsid w:val="00673F4A"/>
    <w:rsid w:val="006768EF"/>
    <w:rsid w:val="0067712A"/>
    <w:rsid w:val="0068271D"/>
    <w:rsid w:val="00686A5B"/>
    <w:rsid w:val="00686EC9"/>
    <w:rsid w:val="006952D5"/>
    <w:rsid w:val="006A58C4"/>
    <w:rsid w:val="006B17C8"/>
    <w:rsid w:val="006B5AB5"/>
    <w:rsid w:val="006B782F"/>
    <w:rsid w:val="006B7D76"/>
    <w:rsid w:val="006C0D45"/>
    <w:rsid w:val="006C3340"/>
    <w:rsid w:val="006C3DC5"/>
    <w:rsid w:val="006D5682"/>
    <w:rsid w:val="006D771F"/>
    <w:rsid w:val="006E00F9"/>
    <w:rsid w:val="006E1994"/>
    <w:rsid w:val="006E340B"/>
    <w:rsid w:val="006F3AD5"/>
    <w:rsid w:val="00700DC4"/>
    <w:rsid w:val="00713F26"/>
    <w:rsid w:val="00715251"/>
    <w:rsid w:val="00725D1D"/>
    <w:rsid w:val="00725D59"/>
    <w:rsid w:val="00732AFC"/>
    <w:rsid w:val="00734075"/>
    <w:rsid w:val="00734C29"/>
    <w:rsid w:val="00735F1E"/>
    <w:rsid w:val="00736252"/>
    <w:rsid w:val="0074395D"/>
    <w:rsid w:val="00743987"/>
    <w:rsid w:val="0075461B"/>
    <w:rsid w:val="007604AF"/>
    <w:rsid w:val="007634EF"/>
    <w:rsid w:val="00763A7B"/>
    <w:rsid w:val="00782A1C"/>
    <w:rsid w:val="00782DF4"/>
    <w:rsid w:val="00783DF8"/>
    <w:rsid w:val="007A03B7"/>
    <w:rsid w:val="007A53B4"/>
    <w:rsid w:val="007A5BAB"/>
    <w:rsid w:val="007D0D95"/>
    <w:rsid w:val="007E42E4"/>
    <w:rsid w:val="007E4357"/>
    <w:rsid w:val="007E5E75"/>
    <w:rsid w:val="00800130"/>
    <w:rsid w:val="00802CD7"/>
    <w:rsid w:val="008058B2"/>
    <w:rsid w:val="008059F6"/>
    <w:rsid w:val="00813BCB"/>
    <w:rsid w:val="00815721"/>
    <w:rsid w:val="008164FD"/>
    <w:rsid w:val="00835FBF"/>
    <w:rsid w:val="00843FAC"/>
    <w:rsid w:val="008448A8"/>
    <w:rsid w:val="00853D84"/>
    <w:rsid w:val="0085488E"/>
    <w:rsid w:val="00864A5B"/>
    <w:rsid w:val="008677FD"/>
    <w:rsid w:val="00872AEE"/>
    <w:rsid w:val="008747AC"/>
    <w:rsid w:val="00881592"/>
    <w:rsid w:val="00885D35"/>
    <w:rsid w:val="00886478"/>
    <w:rsid w:val="00894FF6"/>
    <w:rsid w:val="00896E04"/>
    <w:rsid w:val="008A42AA"/>
    <w:rsid w:val="008A5539"/>
    <w:rsid w:val="008B7A92"/>
    <w:rsid w:val="008B7AAC"/>
    <w:rsid w:val="008C0A1F"/>
    <w:rsid w:val="008C50E4"/>
    <w:rsid w:val="008C736A"/>
    <w:rsid w:val="008D08DC"/>
    <w:rsid w:val="008D48DC"/>
    <w:rsid w:val="008E2115"/>
    <w:rsid w:val="008E5164"/>
    <w:rsid w:val="008F2B6D"/>
    <w:rsid w:val="008F619D"/>
    <w:rsid w:val="008F6C7D"/>
    <w:rsid w:val="008F6F2E"/>
    <w:rsid w:val="00900648"/>
    <w:rsid w:val="00905C70"/>
    <w:rsid w:val="00907F19"/>
    <w:rsid w:val="00913012"/>
    <w:rsid w:val="0091779F"/>
    <w:rsid w:val="00923D64"/>
    <w:rsid w:val="009417D4"/>
    <w:rsid w:val="00947A68"/>
    <w:rsid w:val="00964DE5"/>
    <w:rsid w:val="00966456"/>
    <w:rsid w:val="00970BC8"/>
    <w:rsid w:val="00980236"/>
    <w:rsid w:val="0098596F"/>
    <w:rsid w:val="00990D58"/>
    <w:rsid w:val="0099744D"/>
    <w:rsid w:val="009A1C2A"/>
    <w:rsid w:val="009B0C50"/>
    <w:rsid w:val="009B1E7A"/>
    <w:rsid w:val="009B32A9"/>
    <w:rsid w:val="009C17EC"/>
    <w:rsid w:val="009C614A"/>
    <w:rsid w:val="009D2854"/>
    <w:rsid w:val="009D4CF3"/>
    <w:rsid w:val="009D7041"/>
    <w:rsid w:val="009E2862"/>
    <w:rsid w:val="009E40F3"/>
    <w:rsid w:val="009F4195"/>
    <w:rsid w:val="00A05C9D"/>
    <w:rsid w:val="00A05F48"/>
    <w:rsid w:val="00A15244"/>
    <w:rsid w:val="00A229FB"/>
    <w:rsid w:val="00A2591A"/>
    <w:rsid w:val="00A30ADD"/>
    <w:rsid w:val="00A32256"/>
    <w:rsid w:val="00A337A9"/>
    <w:rsid w:val="00A33A50"/>
    <w:rsid w:val="00A35000"/>
    <w:rsid w:val="00A375AA"/>
    <w:rsid w:val="00A40C14"/>
    <w:rsid w:val="00A40D20"/>
    <w:rsid w:val="00A44C24"/>
    <w:rsid w:val="00A47686"/>
    <w:rsid w:val="00A5268D"/>
    <w:rsid w:val="00A54D88"/>
    <w:rsid w:val="00A625F9"/>
    <w:rsid w:val="00A6429A"/>
    <w:rsid w:val="00A713B3"/>
    <w:rsid w:val="00A718C2"/>
    <w:rsid w:val="00A7435E"/>
    <w:rsid w:val="00A838AA"/>
    <w:rsid w:val="00A85258"/>
    <w:rsid w:val="00A90BFC"/>
    <w:rsid w:val="00A97198"/>
    <w:rsid w:val="00AA0810"/>
    <w:rsid w:val="00AA16C7"/>
    <w:rsid w:val="00AA30D0"/>
    <w:rsid w:val="00AA570C"/>
    <w:rsid w:val="00AA69BD"/>
    <w:rsid w:val="00AA79CF"/>
    <w:rsid w:val="00AB76B4"/>
    <w:rsid w:val="00AC156B"/>
    <w:rsid w:val="00AD34BF"/>
    <w:rsid w:val="00AD542E"/>
    <w:rsid w:val="00AE49C7"/>
    <w:rsid w:val="00AE711A"/>
    <w:rsid w:val="00AF4FBA"/>
    <w:rsid w:val="00B06B60"/>
    <w:rsid w:val="00B1348E"/>
    <w:rsid w:val="00B22243"/>
    <w:rsid w:val="00B23D5B"/>
    <w:rsid w:val="00B25CB2"/>
    <w:rsid w:val="00B42CF7"/>
    <w:rsid w:val="00B5208C"/>
    <w:rsid w:val="00B52B67"/>
    <w:rsid w:val="00B65D19"/>
    <w:rsid w:val="00B71624"/>
    <w:rsid w:val="00B738DD"/>
    <w:rsid w:val="00B81897"/>
    <w:rsid w:val="00B82604"/>
    <w:rsid w:val="00B83136"/>
    <w:rsid w:val="00B90161"/>
    <w:rsid w:val="00B90609"/>
    <w:rsid w:val="00B92782"/>
    <w:rsid w:val="00B97ABE"/>
    <w:rsid w:val="00BA0C0A"/>
    <w:rsid w:val="00BA4E3E"/>
    <w:rsid w:val="00BA5F5B"/>
    <w:rsid w:val="00BB287E"/>
    <w:rsid w:val="00BC1132"/>
    <w:rsid w:val="00BC39F3"/>
    <w:rsid w:val="00BD5248"/>
    <w:rsid w:val="00BE05F5"/>
    <w:rsid w:val="00BE0E90"/>
    <w:rsid w:val="00BE66E9"/>
    <w:rsid w:val="00BE7C68"/>
    <w:rsid w:val="00BF5482"/>
    <w:rsid w:val="00C025A7"/>
    <w:rsid w:val="00C052D3"/>
    <w:rsid w:val="00C12883"/>
    <w:rsid w:val="00C227BF"/>
    <w:rsid w:val="00C24838"/>
    <w:rsid w:val="00C32923"/>
    <w:rsid w:val="00C378D0"/>
    <w:rsid w:val="00C50F93"/>
    <w:rsid w:val="00C573F5"/>
    <w:rsid w:val="00C66731"/>
    <w:rsid w:val="00C7148E"/>
    <w:rsid w:val="00C74AC7"/>
    <w:rsid w:val="00C77D88"/>
    <w:rsid w:val="00C81D4E"/>
    <w:rsid w:val="00C86CBA"/>
    <w:rsid w:val="00CA1DDD"/>
    <w:rsid w:val="00CA66D8"/>
    <w:rsid w:val="00CA762E"/>
    <w:rsid w:val="00CB3BC8"/>
    <w:rsid w:val="00CC03CF"/>
    <w:rsid w:val="00CC738F"/>
    <w:rsid w:val="00CD59FC"/>
    <w:rsid w:val="00CE08B1"/>
    <w:rsid w:val="00CE13EA"/>
    <w:rsid w:val="00CE3BEA"/>
    <w:rsid w:val="00CF6A30"/>
    <w:rsid w:val="00D04615"/>
    <w:rsid w:val="00D12686"/>
    <w:rsid w:val="00D13312"/>
    <w:rsid w:val="00D16BB1"/>
    <w:rsid w:val="00D16DF3"/>
    <w:rsid w:val="00D22912"/>
    <w:rsid w:val="00D27127"/>
    <w:rsid w:val="00D35109"/>
    <w:rsid w:val="00D3777B"/>
    <w:rsid w:val="00D41492"/>
    <w:rsid w:val="00D41900"/>
    <w:rsid w:val="00D41D86"/>
    <w:rsid w:val="00D445E3"/>
    <w:rsid w:val="00D47FC4"/>
    <w:rsid w:val="00D5610B"/>
    <w:rsid w:val="00D66112"/>
    <w:rsid w:val="00D72850"/>
    <w:rsid w:val="00D72B0E"/>
    <w:rsid w:val="00D7489D"/>
    <w:rsid w:val="00D74B5E"/>
    <w:rsid w:val="00D934B3"/>
    <w:rsid w:val="00DB09E6"/>
    <w:rsid w:val="00DB2986"/>
    <w:rsid w:val="00DB399F"/>
    <w:rsid w:val="00DB558F"/>
    <w:rsid w:val="00DB7254"/>
    <w:rsid w:val="00DC2B13"/>
    <w:rsid w:val="00DD3AB3"/>
    <w:rsid w:val="00DD5705"/>
    <w:rsid w:val="00DE2BF2"/>
    <w:rsid w:val="00DE6B99"/>
    <w:rsid w:val="00DF2143"/>
    <w:rsid w:val="00DF48FA"/>
    <w:rsid w:val="00E061F2"/>
    <w:rsid w:val="00E14F4A"/>
    <w:rsid w:val="00E22214"/>
    <w:rsid w:val="00E23AC4"/>
    <w:rsid w:val="00E242D6"/>
    <w:rsid w:val="00E2727F"/>
    <w:rsid w:val="00E32857"/>
    <w:rsid w:val="00E37E87"/>
    <w:rsid w:val="00E41286"/>
    <w:rsid w:val="00E46108"/>
    <w:rsid w:val="00E477E6"/>
    <w:rsid w:val="00E5745E"/>
    <w:rsid w:val="00E62DD7"/>
    <w:rsid w:val="00E6625E"/>
    <w:rsid w:val="00E6688A"/>
    <w:rsid w:val="00E70629"/>
    <w:rsid w:val="00E739EE"/>
    <w:rsid w:val="00E74F00"/>
    <w:rsid w:val="00E755BE"/>
    <w:rsid w:val="00E857FC"/>
    <w:rsid w:val="00E87068"/>
    <w:rsid w:val="00E941D7"/>
    <w:rsid w:val="00EA5AC5"/>
    <w:rsid w:val="00EB7957"/>
    <w:rsid w:val="00EC1D60"/>
    <w:rsid w:val="00EC50FF"/>
    <w:rsid w:val="00EC6506"/>
    <w:rsid w:val="00EE0C05"/>
    <w:rsid w:val="00EE6288"/>
    <w:rsid w:val="00EF3B08"/>
    <w:rsid w:val="00F01D0B"/>
    <w:rsid w:val="00F056E0"/>
    <w:rsid w:val="00F1335E"/>
    <w:rsid w:val="00F15AED"/>
    <w:rsid w:val="00F15E6D"/>
    <w:rsid w:val="00F16D58"/>
    <w:rsid w:val="00F176E8"/>
    <w:rsid w:val="00F17E42"/>
    <w:rsid w:val="00F20554"/>
    <w:rsid w:val="00F23429"/>
    <w:rsid w:val="00F26CC7"/>
    <w:rsid w:val="00F30D08"/>
    <w:rsid w:val="00F3349F"/>
    <w:rsid w:val="00F356D9"/>
    <w:rsid w:val="00F40494"/>
    <w:rsid w:val="00F4108E"/>
    <w:rsid w:val="00F415D5"/>
    <w:rsid w:val="00F41FCE"/>
    <w:rsid w:val="00F44155"/>
    <w:rsid w:val="00F519EF"/>
    <w:rsid w:val="00F57090"/>
    <w:rsid w:val="00F61419"/>
    <w:rsid w:val="00F66659"/>
    <w:rsid w:val="00F70345"/>
    <w:rsid w:val="00F81557"/>
    <w:rsid w:val="00F83C33"/>
    <w:rsid w:val="00FB2C5E"/>
    <w:rsid w:val="00FB55C5"/>
    <w:rsid w:val="00FC244C"/>
    <w:rsid w:val="00FD160D"/>
    <w:rsid w:val="00FD245D"/>
    <w:rsid w:val="00FD3787"/>
    <w:rsid w:val="00FF0A80"/>
    <w:rsid w:val="00FF787E"/>
    <w:rsid w:val="0119388B"/>
    <w:rsid w:val="0D295F98"/>
    <w:rsid w:val="345B262C"/>
    <w:rsid w:val="6D1979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21"/>
    <w:pPr>
      <w:widowControl w:val="0"/>
      <w:jc w:val="both"/>
    </w:pPr>
    <w:rPr>
      <w:kern w:val="2"/>
      <w:sz w:val="21"/>
      <w:szCs w:val="22"/>
    </w:rPr>
  </w:style>
  <w:style w:type="paragraph" w:styleId="2">
    <w:name w:val="heading 2"/>
    <w:basedOn w:val="a"/>
    <w:next w:val="a"/>
    <w:link w:val="2Char"/>
    <w:uiPriority w:val="9"/>
    <w:qFormat/>
    <w:rsid w:val="00815721"/>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815721"/>
    <w:pPr>
      <w:jc w:val="left"/>
    </w:pPr>
  </w:style>
  <w:style w:type="paragraph" w:styleId="a4">
    <w:name w:val="Balloon Text"/>
    <w:basedOn w:val="a"/>
    <w:link w:val="Char0"/>
    <w:uiPriority w:val="99"/>
    <w:semiHidden/>
    <w:unhideWhenUsed/>
    <w:rsid w:val="00815721"/>
    <w:rPr>
      <w:sz w:val="18"/>
      <w:szCs w:val="18"/>
    </w:rPr>
  </w:style>
  <w:style w:type="paragraph" w:styleId="a5">
    <w:name w:val="footer"/>
    <w:basedOn w:val="a"/>
    <w:link w:val="Char1"/>
    <w:uiPriority w:val="99"/>
    <w:unhideWhenUsed/>
    <w:rsid w:val="00815721"/>
    <w:pPr>
      <w:tabs>
        <w:tab w:val="center" w:pos="4153"/>
        <w:tab w:val="right" w:pos="8306"/>
      </w:tabs>
      <w:snapToGrid w:val="0"/>
      <w:jc w:val="left"/>
    </w:pPr>
    <w:rPr>
      <w:sz w:val="18"/>
      <w:szCs w:val="18"/>
    </w:rPr>
  </w:style>
  <w:style w:type="paragraph" w:styleId="a6">
    <w:name w:val="header"/>
    <w:basedOn w:val="a"/>
    <w:link w:val="Char2"/>
    <w:uiPriority w:val="99"/>
    <w:unhideWhenUsed/>
    <w:rsid w:val="0081572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815721"/>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unhideWhenUsed/>
    <w:qFormat/>
    <w:rsid w:val="00815721"/>
    <w:rPr>
      <w:b/>
      <w:bCs/>
    </w:rPr>
  </w:style>
  <w:style w:type="table" w:styleId="a9">
    <w:name w:val="Table Grid"/>
    <w:basedOn w:val="a1"/>
    <w:uiPriority w:val="59"/>
    <w:qFormat/>
    <w:rsid w:val="00815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sid w:val="00815721"/>
    <w:rPr>
      <w:color w:val="0000FF"/>
      <w:u w:val="single"/>
    </w:rPr>
  </w:style>
  <w:style w:type="character" w:styleId="ab">
    <w:name w:val="annotation reference"/>
    <w:uiPriority w:val="99"/>
    <w:semiHidden/>
    <w:unhideWhenUsed/>
    <w:rsid w:val="00815721"/>
    <w:rPr>
      <w:sz w:val="21"/>
      <w:szCs w:val="21"/>
    </w:rPr>
  </w:style>
  <w:style w:type="character" w:customStyle="1" w:styleId="Char2">
    <w:name w:val="页眉 Char"/>
    <w:link w:val="a6"/>
    <w:uiPriority w:val="99"/>
    <w:rsid w:val="00815721"/>
    <w:rPr>
      <w:rFonts w:ascii="Calibri" w:eastAsia="宋体" w:hAnsi="Calibri" w:cs="Times New Roman"/>
      <w:sz w:val="18"/>
      <w:szCs w:val="18"/>
    </w:rPr>
  </w:style>
  <w:style w:type="character" w:customStyle="1" w:styleId="Char0">
    <w:name w:val="批注框文本 Char"/>
    <w:link w:val="a4"/>
    <w:uiPriority w:val="99"/>
    <w:semiHidden/>
    <w:qFormat/>
    <w:rsid w:val="00815721"/>
    <w:rPr>
      <w:sz w:val="18"/>
      <w:szCs w:val="18"/>
    </w:rPr>
  </w:style>
  <w:style w:type="character" w:customStyle="1" w:styleId="Char1">
    <w:name w:val="页脚 Char"/>
    <w:link w:val="a5"/>
    <w:uiPriority w:val="99"/>
    <w:qFormat/>
    <w:rsid w:val="00815721"/>
    <w:rPr>
      <w:kern w:val="2"/>
      <w:sz w:val="18"/>
      <w:szCs w:val="18"/>
    </w:rPr>
  </w:style>
  <w:style w:type="character" w:customStyle="1" w:styleId="Char">
    <w:name w:val="批注文字 Char"/>
    <w:link w:val="a3"/>
    <w:uiPriority w:val="99"/>
    <w:semiHidden/>
    <w:rsid w:val="00815721"/>
    <w:rPr>
      <w:kern w:val="2"/>
      <w:sz w:val="21"/>
      <w:szCs w:val="22"/>
    </w:rPr>
  </w:style>
  <w:style w:type="character" w:customStyle="1" w:styleId="Char3">
    <w:name w:val="批注主题 Char"/>
    <w:link w:val="a8"/>
    <w:uiPriority w:val="99"/>
    <w:semiHidden/>
    <w:rsid w:val="00815721"/>
    <w:rPr>
      <w:b/>
      <w:bCs/>
      <w:kern w:val="2"/>
      <w:sz w:val="21"/>
      <w:szCs w:val="22"/>
    </w:rPr>
  </w:style>
  <w:style w:type="character" w:customStyle="1" w:styleId="2Char">
    <w:name w:val="标题 2 Char"/>
    <w:link w:val="2"/>
    <w:uiPriority w:val="9"/>
    <w:rsid w:val="00815721"/>
    <w:rPr>
      <w:rFonts w:ascii="宋体" w:hAnsi="宋体" w:cs="宋体"/>
      <w:b/>
      <w:bCs/>
      <w:sz w:val="36"/>
      <w:szCs w:val="36"/>
    </w:rPr>
  </w:style>
  <w:style w:type="paragraph" w:styleId="ac">
    <w:name w:val="List Paragraph"/>
    <w:basedOn w:val="a"/>
    <w:uiPriority w:val="34"/>
    <w:qFormat/>
    <w:rsid w:val="00815721"/>
    <w:pPr>
      <w:ind w:firstLineChars="200" w:firstLine="420"/>
    </w:pPr>
  </w:style>
  <w:style w:type="paragraph" w:customStyle="1" w:styleId="1">
    <w:name w:val="修订1"/>
    <w:hidden/>
    <w:uiPriority w:val="99"/>
    <w:semiHidden/>
    <w:qFormat/>
    <w:rsid w:val="00815721"/>
    <w:rPr>
      <w:kern w:val="2"/>
      <w:sz w:val="21"/>
      <w:szCs w:val="22"/>
    </w:rPr>
  </w:style>
</w:styles>
</file>

<file path=word/webSettings.xml><?xml version="1.0" encoding="utf-8"?>
<w:webSettings xmlns:r="http://schemas.openxmlformats.org/officeDocument/2006/relationships" xmlns:w="http://schemas.openxmlformats.org/wordprocessingml/2006/main">
  <w:divs>
    <w:div w:id="99799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D5B39CB-FC6F-409D-865E-E8EAA6EC9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3032</Characters>
  <Application>Microsoft Office Word</Application>
  <DocSecurity>4</DocSecurity>
  <Lines>25</Lines>
  <Paragraphs>7</Paragraphs>
  <ScaleCrop>false</ScaleCrop>
  <Company>Lenovo</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唐研然</dc:creator>
  <cp:lastModifiedBy>ZHONGM</cp:lastModifiedBy>
  <cp:revision>2</cp:revision>
  <dcterms:created xsi:type="dcterms:W3CDTF">2025-03-17T16:02:00Z</dcterms:created>
  <dcterms:modified xsi:type="dcterms:W3CDTF">2025-03-17T16:02:00Z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E68EC10FF4D54C6BB49D17BC4EDA031D</vt:lpwstr>
  </property>
</Properties>
</file>