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8C" w:rsidRDefault="00CA468C">
      <w:pPr>
        <w:adjustRightInd w:val="0"/>
        <w:snapToGrid w:val="0"/>
        <w:spacing w:line="360" w:lineRule="auto"/>
        <w:jc w:val="center"/>
        <w:rPr>
          <w:rFonts w:ascii="宋体" w:hAnsi="宋体"/>
          <w:bCs/>
          <w:sz w:val="28"/>
          <w:szCs w:val="28"/>
        </w:rPr>
      </w:pPr>
    </w:p>
    <w:p w:rsidR="00CA468C" w:rsidRDefault="00CA468C">
      <w:pPr>
        <w:adjustRightInd w:val="0"/>
        <w:snapToGrid w:val="0"/>
        <w:spacing w:line="360" w:lineRule="auto"/>
        <w:jc w:val="center"/>
        <w:rPr>
          <w:rFonts w:ascii="宋体" w:hAnsi="宋体"/>
          <w:b/>
          <w:sz w:val="28"/>
          <w:szCs w:val="28"/>
        </w:rPr>
      </w:pPr>
    </w:p>
    <w:p w:rsidR="00CA468C" w:rsidRDefault="00CA468C">
      <w:pPr>
        <w:adjustRightInd w:val="0"/>
        <w:snapToGrid w:val="0"/>
        <w:spacing w:line="360" w:lineRule="auto"/>
        <w:jc w:val="center"/>
        <w:rPr>
          <w:rFonts w:ascii="宋体" w:hAnsi="宋体"/>
          <w:b/>
          <w:sz w:val="28"/>
          <w:szCs w:val="28"/>
        </w:rPr>
      </w:pPr>
    </w:p>
    <w:p w:rsidR="003E6F3D" w:rsidRDefault="00CE40AF">
      <w:pPr>
        <w:adjustRightInd w:val="0"/>
        <w:snapToGrid w:val="0"/>
        <w:spacing w:line="360" w:lineRule="auto"/>
        <w:jc w:val="center"/>
        <w:rPr>
          <w:rFonts w:ascii="宋体" w:hAnsi="宋体"/>
          <w:b/>
          <w:color w:val="000000"/>
          <w:sz w:val="48"/>
          <w:szCs w:val="48"/>
        </w:rPr>
      </w:pPr>
      <w:r>
        <w:rPr>
          <w:rFonts w:ascii="宋体" w:hAnsi="宋体" w:hint="eastAsia"/>
          <w:b/>
          <w:color w:val="000000"/>
          <w:sz w:val="48"/>
          <w:szCs w:val="48"/>
        </w:rPr>
        <w:t>银华</w:t>
      </w:r>
      <w:r w:rsidR="00535ACF">
        <w:rPr>
          <w:rFonts w:ascii="宋体" w:hAnsi="宋体" w:hint="eastAsia"/>
          <w:b/>
          <w:color w:val="000000"/>
          <w:sz w:val="48"/>
          <w:szCs w:val="48"/>
        </w:rPr>
        <w:t>季季丰90天滚动持有</w:t>
      </w:r>
      <w:r>
        <w:rPr>
          <w:rFonts w:ascii="宋体" w:hAnsi="宋体" w:hint="eastAsia"/>
          <w:b/>
          <w:color w:val="000000"/>
          <w:sz w:val="48"/>
          <w:szCs w:val="48"/>
        </w:rPr>
        <w:t>债券型</w:t>
      </w:r>
    </w:p>
    <w:p w:rsidR="003E6F3D" w:rsidRDefault="00CE40AF">
      <w:pPr>
        <w:adjustRightInd w:val="0"/>
        <w:snapToGrid w:val="0"/>
        <w:spacing w:line="360" w:lineRule="auto"/>
        <w:jc w:val="center"/>
        <w:rPr>
          <w:rFonts w:ascii="宋体" w:hAnsi="宋体"/>
          <w:b/>
          <w:color w:val="000000"/>
          <w:sz w:val="48"/>
          <w:szCs w:val="48"/>
        </w:rPr>
      </w:pPr>
      <w:r>
        <w:rPr>
          <w:rFonts w:ascii="宋体" w:hAnsi="宋体" w:hint="eastAsia"/>
          <w:b/>
          <w:color w:val="000000"/>
          <w:sz w:val="48"/>
          <w:szCs w:val="48"/>
        </w:rPr>
        <w:t>证券投资基金</w:t>
      </w:r>
    </w:p>
    <w:p w:rsidR="00CA468C" w:rsidRDefault="00CE40AF">
      <w:pPr>
        <w:adjustRightInd w:val="0"/>
        <w:snapToGrid w:val="0"/>
        <w:spacing w:line="360" w:lineRule="auto"/>
        <w:jc w:val="center"/>
        <w:rPr>
          <w:rFonts w:ascii="宋体" w:hAnsi="宋体"/>
          <w:b/>
          <w:color w:val="000000"/>
          <w:sz w:val="36"/>
          <w:szCs w:val="36"/>
        </w:rPr>
      </w:pPr>
      <w:r>
        <w:rPr>
          <w:rFonts w:ascii="宋体" w:hAnsi="宋体" w:hint="eastAsia"/>
          <w:b/>
          <w:color w:val="000000"/>
          <w:sz w:val="48"/>
          <w:szCs w:val="48"/>
        </w:rPr>
        <w:t>基金</w:t>
      </w:r>
      <w:r>
        <w:rPr>
          <w:rFonts w:ascii="宋体" w:hAnsi="宋体"/>
          <w:b/>
          <w:color w:val="000000"/>
          <w:sz w:val="48"/>
          <w:szCs w:val="48"/>
        </w:rPr>
        <w:t>份额发售公告</w:t>
      </w: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A468C">
      <w:pPr>
        <w:adjustRightInd w:val="0"/>
        <w:snapToGrid w:val="0"/>
        <w:spacing w:line="360" w:lineRule="auto"/>
        <w:jc w:val="center"/>
        <w:rPr>
          <w:rFonts w:ascii="宋体" w:hAnsi="宋体"/>
          <w:sz w:val="28"/>
          <w:szCs w:val="28"/>
        </w:rPr>
      </w:pPr>
    </w:p>
    <w:p w:rsidR="00CA468C" w:rsidRDefault="00CE40AF">
      <w:pPr>
        <w:adjustRightInd w:val="0"/>
        <w:snapToGrid w:val="0"/>
        <w:spacing w:line="360" w:lineRule="auto"/>
        <w:jc w:val="center"/>
        <w:rPr>
          <w:rFonts w:ascii="宋体" w:hAnsi="宋体"/>
          <w:b/>
          <w:color w:val="000000"/>
          <w:sz w:val="36"/>
          <w:szCs w:val="36"/>
        </w:rPr>
      </w:pPr>
      <w:r>
        <w:rPr>
          <w:rFonts w:ascii="宋体" w:hAnsi="宋体" w:hint="eastAsia"/>
          <w:b/>
          <w:color w:val="000000"/>
          <w:sz w:val="36"/>
          <w:szCs w:val="36"/>
        </w:rPr>
        <w:t>基金管理人：银华基金管理股份有限公司</w:t>
      </w:r>
    </w:p>
    <w:p w:rsidR="00CA468C" w:rsidRDefault="00CE40AF">
      <w:pPr>
        <w:adjustRightInd w:val="0"/>
        <w:snapToGrid w:val="0"/>
        <w:spacing w:line="360" w:lineRule="auto"/>
        <w:ind w:firstLineChars="250" w:firstLine="904"/>
        <w:rPr>
          <w:rFonts w:ascii="宋体" w:hAnsi="宋体"/>
          <w:b/>
          <w:color w:val="000000"/>
          <w:sz w:val="30"/>
          <w:szCs w:val="30"/>
        </w:rPr>
      </w:pPr>
      <w:r>
        <w:rPr>
          <w:rFonts w:ascii="宋体" w:hAnsi="宋体" w:hint="eastAsia"/>
          <w:b/>
          <w:color w:val="000000"/>
          <w:sz w:val="36"/>
          <w:szCs w:val="36"/>
        </w:rPr>
        <w:t>基金托管人：上海</w:t>
      </w:r>
      <w:r w:rsidR="00535ACF">
        <w:rPr>
          <w:rFonts w:ascii="宋体" w:hAnsi="宋体" w:hint="eastAsia"/>
          <w:b/>
          <w:color w:val="000000"/>
          <w:sz w:val="36"/>
          <w:szCs w:val="36"/>
        </w:rPr>
        <w:t>浦东发展</w:t>
      </w:r>
      <w:r>
        <w:rPr>
          <w:rFonts w:ascii="宋体" w:hAnsi="宋体" w:hint="eastAsia"/>
          <w:b/>
          <w:color w:val="000000"/>
          <w:sz w:val="36"/>
          <w:szCs w:val="36"/>
        </w:rPr>
        <w:t>银行股份有限公司</w:t>
      </w:r>
    </w:p>
    <w:p w:rsidR="00CA468C" w:rsidRDefault="00CA468C">
      <w:pPr>
        <w:adjustRightInd w:val="0"/>
        <w:snapToGrid w:val="0"/>
        <w:spacing w:line="360" w:lineRule="auto"/>
        <w:jc w:val="center"/>
        <w:rPr>
          <w:rFonts w:ascii="宋体" w:hAnsi="宋体"/>
          <w:bCs/>
          <w:sz w:val="28"/>
        </w:rPr>
      </w:pPr>
    </w:p>
    <w:p w:rsidR="00CA468C" w:rsidRDefault="00CA468C">
      <w:pPr>
        <w:adjustRightInd w:val="0"/>
        <w:snapToGrid w:val="0"/>
        <w:spacing w:line="360" w:lineRule="auto"/>
        <w:jc w:val="center"/>
        <w:rPr>
          <w:rFonts w:ascii="宋体" w:hAnsi="宋体"/>
          <w:bCs/>
          <w:sz w:val="28"/>
        </w:rPr>
      </w:pPr>
    </w:p>
    <w:p w:rsidR="00CA468C" w:rsidRDefault="00CA468C">
      <w:pPr>
        <w:jc w:val="center"/>
        <w:rPr>
          <w:rFonts w:ascii="宋体" w:hAnsi="宋体"/>
          <w:b/>
          <w:bCs/>
          <w:sz w:val="32"/>
        </w:rPr>
      </w:pPr>
    </w:p>
    <w:p w:rsidR="00CA468C" w:rsidRDefault="00CA468C">
      <w:pPr>
        <w:jc w:val="center"/>
        <w:rPr>
          <w:rFonts w:ascii="宋体" w:hAnsi="宋体"/>
          <w:b/>
          <w:color w:val="000000"/>
          <w:sz w:val="30"/>
          <w:szCs w:val="30"/>
        </w:rPr>
      </w:pPr>
    </w:p>
    <w:p w:rsidR="00CA468C" w:rsidRDefault="00CA468C">
      <w:pPr>
        <w:pStyle w:val="080325"/>
        <w:spacing w:line="360" w:lineRule="auto"/>
        <w:rPr>
          <w:rFonts w:ascii="宋体" w:eastAsia="宋体"/>
          <w:b/>
          <w:color w:val="000000"/>
          <w:szCs w:val="24"/>
        </w:rPr>
        <w:sectPr w:rsidR="00CA468C">
          <w:headerReference w:type="default" r:id="rId7"/>
          <w:footerReference w:type="default" r:id="rId8"/>
          <w:footerReference w:type="first" r:id="rId9"/>
          <w:pgSz w:w="11906" w:h="16838"/>
          <w:pgMar w:top="1440" w:right="1800" w:bottom="1440" w:left="1800" w:header="851" w:footer="992" w:gutter="0"/>
          <w:pgNumType w:start="0"/>
          <w:cols w:space="720"/>
          <w:titlePg/>
          <w:docGrid w:type="lines" w:linePitch="312"/>
        </w:sectPr>
      </w:pPr>
    </w:p>
    <w:p w:rsidR="00CA468C" w:rsidRDefault="00CE40AF">
      <w:pPr>
        <w:widowControl/>
        <w:jc w:val="center"/>
        <w:rPr>
          <w:rFonts w:ascii="宋体" w:hAnsi="宋体"/>
          <w:b/>
          <w:sz w:val="24"/>
        </w:rPr>
      </w:pPr>
      <w:r>
        <w:rPr>
          <w:rFonts w:ascii="宋体" w:hAnsi="宋体" w:hint="eastAsia"/>
          <w:b/>
          <w:sz w:val="32"/>
          <w:szCs w:val="32"/>
        </w:rPr>
        <w:lastRenderedPageBreak/>
        <w:t>重要提示</w:t>
      </w:r>
    </w:p>
    <w:p w:rsidR="00CA468C" w:rsidRDefault="00CA468C">
      <w:pPr>
        <w:adjustRightInd w:val="0"/>
        <w:snapToGrid w:val="0"/>
        <w:spacing w:line="312" w:lineRule="auto"/>
        <w:ind w:firstLineChars="200" w:firstLine="480"/>
        <w:rPr>
          <w:rFonts w:ascii="宋体" w:hAnsi="宋体"/>
          <w:sz w:val="24"/>
        </w:rPr>
      </w:pP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1、银华</w:t>
      </w:r>
      <w:r w:rsidR="00535ACF">
        <w:rPr>
          <w:rFonts w:ascii="宋体" w:hAnsi="宋体" w:hint="eastAsia"/>
          <w:sz w:val="24"/>
        </w:rPr>
        <w:t>季季丰90天滚动持有</w:t>
      </w:r>
      <w:r>
        <w:rPr>
          <w:rFonts w:ascii="宋体" w:hAnsi="宋体" w:hint="eastAsia"/>
          <w:sz w:val="24"/>
        </w:rPr>
        <w:t>债券型证券投资基金（以下简称“本基金”）已于</w:t>
      </w:r>
      <w:r w:rsidR="00535ACF">
        <w:rPr>
          <w:rFonts w:ascii="宋体" w:hAnsi="宋体" w:hint="eastAsia"/>
          <w:sz w:val="24"/>
        </w:rPr>
        <w:t>20</w:t>
      </w:r>
      <w:r w:rsidR="00535ACF">
        <w:rPr>
          <w:rFonts w:ascii="宋体" w:hAnsi="宋体"/>
          <w:sz w:val="24"/>
        </w:rPr>
        <w:t>25</w:t>
      </w:r>
      <w:r>
        <w:rPr>
          <w:rFonts w:ascii="宋体" w:hAnsi="宋体" w:hint="eastAsia"/>
          <w:sz w:val="24"/>
        </w:rPr>
        <w:t>年</w:t>
      </w:r>
      <w:r w:rsidR="00EB0D87">
        <w:rPr>
          <w:rFonts w:ascii="宋体" w:hAnsi="宋体"/>
          <w:sz w:val="24"/>
        </w:rPr>
        <w:t>2</w:t>
      </w:r>
      <w:r>
        <w:rPr>
          <w:rFonts w:ascii="宋体" w:hAnsi="宋体" w:hint="eastAsia"/>
          <w:sz w:val="24"/>
        </w:rPr>
        <w:t>月</w:t>
      </w:r>
      <w:r w:rsidR="00EB0D87">
        <w:rPr>
          <w:rFonts w:ascii="宋体" w:hAnsi="宋体"/>
          <w:sz w:val="24"/>
        </w:rPr>
        <w:t>21</w:t>
      </w:r>
      <w:r>
        <w:rPr>
          <w:rFonts w:ascii="宋体" w:hAnsi="宋体" w:hint="eastAsia"/>
          <w:sz w:val="24"/>
        </w:rPr>
        <w:t>日获中国证券监督管理委员会证监许可【</w:t>
      </w:r>
      <w:r w:rsidR="00535ACF">
        <w:rPr>
          <w:rFonts w:ascii="宋体" w:hAnsi="宋体" w:hint="eastAsia"/>
          <w:sz w:val="24"/>
        </w:rPr>
        <w:t>20</w:t>
      </w:r>
      <w:r w:rsidR="00535ACF">
        <w:rPr>
          <w:rFonts w:ascii="宋体" w:hAnsi="宋体"/>
          <w:sz w:val="24"/>
        </w:rPr>
        <w:t>25</w:t>
      </w:r>
      <w:r>
        <w:rPr>
          <w:rFonts w:ascii="宋体" w:hAnsi="宋体" w:hint="eastAsia"/>
          <w:sz w:val="24"/>
        </w:rPr>
        <w:t>】</w:t>
      </w:r>
      <w:r w:rsidR="00EB0D87">
        <w:rPr>
          <w:rFonts w:ascii="宋体" w:hAnsi="宋体"/>
          <w:sz w:val="24"/>
        </w:rPr>
        <w:t>331</w:t>
      </w:r>
      <w:r>
        <w:rPr>
          <w:rFonts w:ascii="宋体" w:hAnsi="宋体" w:hint="eastAsia"/>
          <w:sz w:val="24"/>
        </w:rPr>
        <w:t>号文准予募集注册。中国证券监督管理委员会（以下简称“中国证监会”）对本基金募集的注册并不代表其对本基金的风险和收益作出实质性判断、推荐或者保证，也不表明投资于本基金没有风险。中国证监会不对基金的投资价值及市场前景等作出实质性判断或者保证。</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2、本基金为契约型开放式证券投资基金，基金类别为债券型证券投资基金。</w:t>
      </w:r>
    </w:p>
    <w:p w:rsidR="00535ACF" w:rsidRDefault="00535ACF" w:rsidP="00535ACF">
      <w:pPr>
        <w:adjustRightInd w:val="0"/>
        <w:snapToGrid w:val="0"/>
        <w:spacing w:line="360" w:lineRule="auto"/>
        <w:ind w:firstLineChars="200" w:firstLine="480"/>
        <w:rPr>
          <w:rFonts w:ascii="宋体" w:hAnsi="宋体"/>
          <w:bCs/>
          <w:sz w:val="24"/>
        </w:rPr>
      </w:pPr>
      <w:r>
        <w:rPr>
          <w:rFonts w:ascii="宋体" w:hAnsi="宋体"/>
          <w:bCs/>
          <w:sz w:val="24"/>
        </w:rPr>
        <w:t>（</w:t>
      </w:r>
      <w:r>
        <w:rPr>
          <w:rFonts w:ascii="宋体" w:hAnsi="宋体" w:hint="eastAsia"/>
          <w:bCs/>
          <w:sz w:val="24"/>
        </w:rPr>
        <w:t>1</w:t>
      </w:r>
      <w:r>
        <w:rPr>
          <w:rFonts w:ascii="宋体" w:hAnsi="宋体"/>
          <w:bCs/>
          <w:sz w:val="24"/>
        </w:rPr>
        <w:t>）</w:t>
      </w:r>
      <w:r>
        <w:rPr>
          <w:rFonts w:ascii="宋体" w:hAnsi="宋体" w:hint="eastAsia"/>
          <w:bCs/>
          <w:sz w:val="24"/>
        </w:rPr>
        <w:t>运作期</w:t>
      </w:r>
    </w:p>
    <w:p w:rsidR="00535ACF" w:rsidRDefault="00535ACF" w:rsidP="00535ACF">
      <w:pPr>
        <w:adjustRightInd w:val="0"/>
        <w:snapToGrid w:val="0"/>
        <w:spacing w:line="360" w:lineRule="auto"/>
        <w:ind w:firstLineChars="200" w:firstLine="480"/>
        <w:rPr>
          <w:rFonts w:ascii="宋体" w:hAnsi="宋体"/>
          <w:bCs/>
          <w:sz w:val="24"/>
        </w:rPr>
      </w:pPr>
      <w:r>
        <w:rPr>
          <w:rFonts w:ascii="宋体" w:hAnsi="宋体" w:hint="eastAsia"/>
          <w:bCs/>
          <w:sz w:val="24"/>
        </w:rPr>
        <w:t>本基金对于每份基金份额，设定90天的滚动运作期。</w:t>
      </w:r>
    </w:p>
    <w:p w:rsidR="00535ACF" w:rsidRDefault="00535ACF" w:rsidP="00535ACF">
      <w:pPr>
        <w:adjustRightInd w:val="0"/>
        <w:snapToGrid w:val="0"/>
        <w:spacing w:line="360" w:lineRule="auto"/>
        <w:ind w:firstLineChars="200" w:firstLine="480"/>
        <w:rPr>
          <w:rFonts w:ascii="宋体" w:hAnsi="宋体"/>
          <w:bCs/>
          <w:sz w:val="24"/>
        </w:rPr>
      </w:pPr>
      <w:r>
        <w:rPr>
          <w:rFonts w:ascii="宋体" w:hAnsi="宋体" w:hint="eastAsia"/>
          <w:bCs/>
          <w:sz w:val="24"/>
        </w:rPr>
        <w:t>对于每份基金份额，第一个运作期起始日为基金合同生效日（对认购份额而言）或基金份额申购确认日（对申购份额而言）；第一个运作期到期日为基金合同生效日（对认购份额而言）或基金份额申购申请日（对申购份额而言）后的第90天（如该日为非工作日则顺延至下一工作日）。</w:t>
      </w:r>
    </w:p>
    <w:p w:rsidR="00535ACF" w:rsidRDefault="00535ACF" w:rsidP="00535ACF">
      <w:pPr>
        <w:adjustRightInd w:val="0"/>
        <w:snapToGrid w:val="0"/>
        <w:spacing w:line="360" w:lineRule="auto"/>
        <w:ind w:firstLineChars="200" w:firstLine="480"/>
        <w:rPr>
          <w:rFonts w:ascii="宋体" w:hAnsi="宋体"/>
          <w:bCs/>
          <w:sz w:val="24"/>
        </w:rPr>
      </w:pPr>
      <w:r>
        <w:rPr>
          <w:rFonts w:ascii="宋体" w:hAnsi="宋体" w:hint="eastAsia"/>
          <w:bCs/>
          <w:sz w:val="24"/>
        </w:rPr>
        <w:t>对于第一个运作期到期日未赎回或转换转出（或赎回/转换转出被确认失败）的每份基金份额而言，其第二个运作期起始日为第一个运作期到期日的次一日，其第二个运作期到期日为基金合同生效日（对认购份额而言）或基金份额申购申请日（对申购份额而言）后的第180天（如该日为非工作日则顺延至下一工作日），以此类推。</w:t>
      </w:r>
    </w:p>
    <w:p w:rsidR="00535ACF" w:rsidRDefault="00535ACF" w:rsidP="00535ACF">
      <w:pPr>
        <w:adjustRightInd w:val="0"/>
        <w:snapToGrid w:val="0"/>
        <w:spacing w:line="360" w:lineRule="auto"/>
        <w:ind w:firstLineChars="200" w:firstLine="480"/>
        <w:rPr>
          <w:rFonts w:ascii="宋体" w:hAnsi="宋体"/>
          <w:bCs/>
          <w:sz w:val="24"/>
        </w:rPr>
      </w:pPr>
      <w:r>
        <w:rPr>
          <w:rFonts w:ascii="宋体" w:hAnsi="宋体" w:hint="eastAsia"/>
          <w:bCs/>
          <w:sz w:val="24"/>
        </w:rPr>
        <w:t>（2）每个运作期到期日，基金份额持有人可提出赎回或转换转出申请</w:t>
      </w:r>
    </w:p>
    <w:p w:rsidR="00535ACF" w:rsidRDefault="00535ACF" w:rsidP="00535ACF">
      <w:pPr>
        <w:adjustRightInd w:val="0"/>
        <w:snapToGrid w:val="0"/>
        <w:spacing w:line="360" w:lineRule="auto"/>
        <w:ind w:firstLineChars="200" w:firstLine="480"/>
        <w:rPr>
          <w:rFonts w:ascii="宋体" w:hAnsi="宋体"/>
          <w:bCs/>
          <w:sz w:val="24"/>
        </w:rPr>
      </w:pPr>
      <w:r>
        <w:rPr>
          <w:rFonts w:ascii="宋体" w:hAnsi="宋体" w:hint="eastAsia"/>
          <w:bCs/>
          <w:sz w:val="24"/>
        </w:rPr>
        <w:t>基金管理人仅在该基金份额的每个运作期到期日为基金份额持有人办理赎回或转换转出业务。如果基金份额持有人在当期运作期到期日未申请赎回或转换转出（或赎回/转换转出被确认失败），则自该运作期到期日次一日起，该基金份额进入下一个运作期。</w:t>
      </w:r>
    </w:p>
    <w:p w:rsidR="00CA468C" w:rsidRDefault="00535ACF">
      <w:pPr>
        <w:adjustRightInd w:val="0"/>
        <w:snapToGrid w:val="0"/>
        <w:spacing w:line="360" w:lineRule="auto"/>
        <w:ind w:firstLineChars="200" w:firstLine="480"/>
        <w:rPr>
          <w:rFonts w:ascii="宋体" w:hAnsi="宋体"/>
          <w:sz w:val="24"/>
        </w:rPr>
      </w:pPr>
      <w:r>
        <w:rPr>
          <w:rFonts w:hint="eastAsia"/>
          <w:bCs/>
          <w:sz w:val="24"/>
        </w:rPr>
        <w:t>如发生不可抗力或其他情形致使基金无法按时开放或需依据基金合同暂停申购与赎回业务的，基金管理人有权合理调整申购或赎回业务的办理期间并予以公告。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3、本基金的基金管理人为银华基金管理股份有限公司（以下简称“本公司”、“基金管理人”或“本基金管理人”），基金托管人为上海</w:t>
      </w:r>
      <w:r w:rsidR="00535ACF">
        <w:rPr>
          <w:rFonts w:ascii="宋体" w:hAnsi="宋体" w:hint="eastAsia"/>
          <w:sz w:val="24"/>
        </w:rPr>
        <w:t>浦东发展</w:t>
      </w:r>
      <w:r>
        <w:rPr>
          <w:rFonts w:ascii="宋体" w:hAnsi="宋体" w:hint="eastAsia"/>
          <w:sz w:val="24"/>
        </w:rPr>
        <w:t>银行股份有限</w:t>
      </w:r>
      <w:r>
        <w:rPr>
          <w:rFonts w:ascii="宋体" w:hAnsi="宋体" w:hint="eastAsia"/>
          <w:sz w:val="24"/>
        </w:rPr>
        <w:lastRenderedPageBreak/>
        <w:t>公司，登记机构为银华基金管理股份有限公司。</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4、</w:t>
      </w:r>
      <w:r>
        <w:rPr>
          <w:rFonts w:hint="eastAsia"/>
          <w:sz w:val="24"/>
        </w:rPr>
        <w:t>本基金的募集对象为</w:t>
      </w:r>
      <w:r>
        <w:rPr>
          <w:rFonts w:ascii="宋体" w:hAnsi="宋体" w:hint="eastAsia"/>
          <w:bCs/>
          <w:sz w:val="24"/>
        </w:rPr>
        <w:t>符合法律法规规定的可投资于证券投资基金的个人投资者、机构投资者、合格境外投资者以及法律法规或中国证监会允许购买证券投资基金的其他投资人</w:t>
      </w:r>
      <w:r>
        <w:rPr>
          <w:rFonts w:ascii="宋体" w:hAnsi="宋体" w:hint="eastAsia"/>
          <w:sz w:val="24"/>
        </w:rPr>
        <w:t>。</w:t>
      </w:r>
    </w:p>
    <w:p w:rsidR="00CA468C" w:rsidRDefault="00CE40AF">
      <w:pPr>
        <w:adjustRightInd w:val="0"/>
        <w:snapToGrid w:val="0"/>
        <w:spacing w:line="360" w:lineRule="auto"/>
        <w:ind w:firstLineChars="200" w:firstLine="480"/>
        <w:rPr>
          <w:rFonts w:ascii="宋体" w:hAnsi="宋体"/>
          <w:sz w:val="24"/>
        </w:rPr>
      </w:pPr>
      <w:r>
        <w:rPr>
          <w:rFonts w:hint="eastAsia"/>
          <w:bCs/>
          <w:sz w:val="24"/>
        </w:rPr>
        <w:t>本基金暂不向金融机构自营账户销售（基金管理人自有资金除外），如未来本基金开放向金融机构自营账户公开发售或对发售对象的范围予以进一步限定，基金管理人将另行公告。金融机构自营账户的具体范围以基金管理人认定为准</w:t>
      </w:r>
      <w:r>
        <w:rPr>
          <w:rFonts w:ascii="宋体" w:hAnsi="宋体" w:hint="eastAsia"/>
          <w:sz w:val="24"/>
        </w:rPr>
        <w:t>。</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为保护基金份额持有人利益，基金管理人基于投资运作与风险控制的需要，可以拒绝全部或部分特定投资者的认购、申购申请，具体以基金管理人确认结果为准。</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5、本基金将基金份额分为A类和C类两类不同的类别。在投资人认购、申购基金份额时收取认购、申购费用而不从本类别基金资产中计提销售服务费的，称为A类基金份额；在投资人认购、申购基金份额时不收取认购、申购费用，而是从本类别基金资产中计提销售服务费的，称为C类基金份额。</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本基金A类、C类基金份额分别设置代码。由于基金费用的不同，本基金各类基金份额将分别计算和公告基金份额净值。</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根据基金销售情况，在符合法律法规规定和基金合同约定且不损害已有基金份额持有人权益的情况下，基金管理人在履行适当程序后可以增加新的基金份额类别，或者在法律法规和基金合同规定的范围内变更现有基金份额类别的申购费率、调低赎回费率、调低销售服务费率、变更收费方式、停止现有基金份额类别的销售等，基金管理人需在调整实施前及时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投资人在认购、申购基金份额时可自行选择基金份额类别。</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6、本基金于</w:t>
      </w:r>
      <w:r w:rsidR="00535ACF">
        <w:rPr>
          <w:rFonts w:ascii="宋体" w:hAnsi="宋体" w:hint="eastAsia"/>
          <w:sz w:val="24"/>
        </w:rPr>
        <w:t>202</w:t>
      </w:r>
      <w:r w:rsidR="00535ACF">
        <w:rPr>
          <w:rFonts w:ascii="宋体" w:hAnsi="宋体"/>
          <w:sz w:val="24"/>
        </w:rPr>
        <w:t>5</w:t>
      </w:r>
      <w:r>
        <w:rPr>
          <w:rFonts w:ascii="宋体" w:hAnsi="宋体" w:hint="eastAsia"/>
          <w:sz w:val="24"/>
        </w:rPr>
        <w:t>年</w:t>
      </w:r>
      <w:r w:rsidR="00282E79">
        <w:rPr>
          <w:rFonts w:ascii="宋体" w:hAnsi="宋体"/>
          <w:sz w:val="24"/>
        </w:rPr>
        <w:t>4</w:t>
      </w:r>
      <w:r>
        <w:rPr>
          <w:rFonts w:ascii="宋体" w:hAnsi="宋体" w:hint="eastAsia"/>
          <w:sz w:val="24"/>
        </w:rPr>
        <w:t>月</w:t>
      </w:r>
      <w:r w:rsidR="00282E79">
        <w:rPr>
          <w:rFonts w:ascii="宋体" w:hAnsi="宋体"/>
          <w:sz w:val="24"/>
        </w:rPr>
        <w:t>1</w:t>
      </w:r>
      <w:r>
        <w:rPr>
          <w:rFonts w:ascii="宋体" w:hAnsi="宋体" w:hint="eastAsia"/>
          <w:sz w:val="24"/>
        </w:rPr>
        <w:t>日至</w:t>
      </w:r>
      <w:r w:rsidR="00535ACF">
        <w:rPr>
          <w:rFonts w:ascii="宋体" w:hAnsi="宋体" w:hint="eastAsia"/>
          <w:sz w:val="24"/>
        </w:rPr>
        <w:t>202</w:t>
      </w:r>
      <w:r w:rsidR="00535ACF">
        <w:rPr>
          <w:rFonts w:ascii="宋体" w:hAnsi="宋体"/>
          <w:sz w:val="24"/>
        </w:rPr>
        <w:t>5</w:t>
      </w:r>
      <w:r>
        <w:rPr>
          <w:rFonts w:ascii="宋体" w:hAnsi="宋体" w:hint="eastAsia"/>
          <w:sz w:val="24"/>
        </w:rPr>
        <w:t>年</w:t>
      </w:r>
      <w:r w:rsidR="00282E79">
        <w:rPr>
          <w:rFonts w:ascii="宋体" w:hAnsi="宋体"/>
          <w:sz w:val="24"/>
        </w:rPr>
        <w:t>4</w:t>
      </w:r>
      <w:r>
        <w:rPr>
          <w:rFonts w:ascii="宋体" w:hAnsi="宋体" w:hint="eastAsia"/>
          <w:sz w:val="24"/>
        </w:rPr>
        <w:t>月</w:t>
      </w:r>
      <w:r w:rsidR="00282E79">
        <w:rPr>
          <w:rFonts w:ascii="宋体" w:hAnsi="宋体"/>
          <w:sz w:val="24"/>
        </w:rPr>
        <w:t>10</w:t>
      </w:r>
      <w:r>
        <w:rPr>
          <w:rFonts w:ascii="宋体" w:hAnsi="宋体" w:hint="eastAsia"/>
          <w:sz w:val="24"/>
        </w:rPr>
        <w:t>日通过基金管理人指定的销售机构（包括直销机构的直销中心、网上直销交易系统和其他销售机构的销售网点）公开发售。销售机构具体名单详见本基金招募说明书及本发售公告“一、基金认购的基本情况”之“（十三）销售机构”</w:t>
      </w:r>
      <w:r>
        <w:rPr>
          <w:rFonts w:hint="eastAsia"/>
          <w:sz w:val="24"/>
        </w:rPr>
        <w:t>以及基金管理人网站公示</w:t>
      </w:r>
      <w:r>
        <w:rPr>
          <w:rFonts w:ascii="宋体" w:hAnsi="宋体" w:hint="eastAsia"/>
          <w:sz w:val="24"/>
        </w:rPr>
        <w:t>。各销售机构认购业务的办理网点、办理日期和时间等事项参照各销售机构的具体规定。直销中心办理业务时以其相关规则为准。</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基金管理人可根据募集情况，在符合相关法律法规的情况下，在募集期限内</w:t>
      </w:r>
      <w:r>
        <w:rPr>
          <w:rFonts w:ascii="宋体" w:hAnsi="宋体" w:cs="宋体" w:hint="eastAsia"/>
          <w:sz w:val="24"/>
        </w:rPr>
        <w:t>调整本</w:t>
      </w:r>
      <w:r>
        <w:rPr>
          <w:rFonts w:ascii="宋体" w:hAnsi="宋体" w:hint="eastAsia"/>
          <w:sz w:val="24"/>
        </w:rPr>
        <w:t>基金的发售时间，但最长不超过法定募集期限并及时公告。另外，如遇突发事件，以上基金募集期的安排也可以适当调整。</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7、投资人认购本基金应首先办理开户手续，开立本公司基金账户（已开立银华基金管理股份有限公司基金账户的投资人无需重新开户），然后办理基金认购手续。本基金发售期内，本基金直销机构和其他销售机构的销售网点同时为投资人办理开立基金账户的手续。投资人的开户和认购申请可同时办理。</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除法律法规另有规定外，一个投资人只能开设和使用一个本公司基金账户。</w:t>
      </w:r>
    </w:p>
    <w:p w:rsidR="00CA468C" w:rsidRDefault="00CE40AF">
      <w:pPr>
        <w:adjustRightInd w:val="0"/>
        <w:snapToGrid w:val="0"/>
        <w:spacing w:line="360" w:lineRule="auto"/>
        <w:ind w:firstLineChars="200" w:firstLine="480"/>
        <w:rPr>
          <w:rFonts w:ascii="宋体" w:hAnsi="宋体"/>
          <w:color w:val="000000"/>
          <w:kern w:val="0"/>
          <w:sz w:val="24"/>
        </w:rPr>
      </w:pPr>
      <w:r>
        <w:rPr>
          <w:rFonts w:ascii="宋体" w:hAnsi="宋体" w:hint="eastAsia"/>
          <w:sz w:val="24"/>
        </w:rPr>
        <w:t>8、投资人不得非法利用他人账户或资金进行认购，也不得违规融资或帮助他人违规进行认购。投资人应保证用于认购的资金来源合法，投资人应有权自行支配，不存在任何法律上、合约上的瑕疵或其他障碍。</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9、认购原则</w:t>
      </w:r>
    </w:p>
    <w:p w:rsidR="00CA468C" w:rsidRDefault="00CE40AF">
      <w:pPr>
        <w:pStyle w:val="20"/>
        <w:adjustRightInd w:val="0"/>
        <w:snapToGrid w:val="0"/>
        <w:ind w:firstLine="480"/>
        <w:rPr>
          <w:sz w:val="24"/>
        </w:rPr>
      </w:pPr>
      <w:r>
        <w:rPr>
          <w:rFonts w:hint="eastAsia"/>
          <w:sz w:val="24"/>
        </w:rPr>
        <w:t>（1）基金认购采用“金额认购、份额确认”的方式；</w:t>
      </w:r>
    </w:p>
    <w:p w:rsidR="00CA468C" w:rsidRDefault="00CE40AF">
      <w:pPr>
        <w:pStyle w:val="20"/>
        <w:adjustRightInd w:val="0"/>
        <w:snapToGrid w:val="0"/>
        <w:ind w:firstLine="480"/>
        <w:rPr>
          <w:sz w:val="24"/>
        </w:rPr>
      </w:pPr>
      <w:r>
        <w:rPr>
          <w:rFonts w:hint="eastAsia"/>
          <w:sz w:val="24"/>
        </w:rPr>
        <w:t>（2）投资人认购时，需按销售机构规定的方式全额缴款；</w:t>
      </w:r>
    </w:p>
    <w:p w:rsidR="00CA468C" w:rsidRDefault="00CE40AF">
      <w:pPr>
        <w:pStyle w:val="20"/>
        <w:adjustRightInd w:val="0"/>
        <w:snapToGrid w:val="0"/>
        <w:ind w:firstLine="480"/>
        <w:rPr>
          <w:sz w:val="24"/>
        </w:rPr>
      </w:pPr>
      <w:r>
        <w:rPr>
          <w:rFonts w:hint="eastAsia"/>
          <w:sz w:val="24"/>
        </w:rPr>
        <w:t>（3）投资人在募集期内可以多次认购基金份额，但</w:t>
      </w:r>
      <w:r>
        <w:rPr>
          <w:rFonts w:hint="eastAsia"/>
          <w:bCs/>
          <w:sz w:val="24"/>
        </w:rPr>
        <w:t>已受理的认购申请不允许撤销，A类基金份额的</w:t>
      </w:r>
      <w:r>
        <w:rPr>
          <w:rFonts w:hint="eastAsia"/>
          <w:sz w:val="24"/>
        </w:rPr>
        <w:t>认购费率按每笔</w:t>
      </w:r>
      <w:r>
        <w:rPr>
          <w:rFonts w:hint="eastAsia"/>
          <w:bCs/>
          <w:sz w:val="24"/>
        </w:rPr>
        <w:t>A类基金份额的</w:t>
      </w:r>
      <w:r>
        <w:rPr>
          <w:rFonts w:hint="eastAsia"/>
          <w:sz w:val="24"/>
        </w:rPr>
        <w:t>认购申请单独计算；</w:t>
      </w:r>
    </w:p>
    <w:p w:rsidR="00CA468C" w:rsidRDefault="00CE40AF">
      <w:pPr>
        <w:pStyle w:val="20"/>
        <w:adjustRightInd w:val="0"/>
        <w:snapToGrid w:val="0"/>
        <w:ind w:firstLine="480"/>
        <w:rPr>
          <w:sz w:val="24"/>
        </w:rPr>
      </w:pPr>
      <w:r>
        <w:rPr>
          <w:rFonts w:hint="eastAsia"/>
          <w:sz w:val="24"/>
        </w:rPr>
        <w:t>（4）认购期间本基金</w:t>
      </w:r>
      <w:r>
        <w:rPr>
          <w:sz w:val="24"/>
        </w:rPr>
        <w:t>管理人有权</w:t>
      </w:r>
      <w:r>
        <w:rPr>
          <w:rFonts w:hint="eastAsia"/>
          <w:sz w:val="24"/>
        </w:rPr>
        <w:t>对单个投资人的累计认购规模设置上限，且需满足本基金关于募集上限和基金备案条件的相关规定。</w:t>
      </w:r>
    </w:p>
    <w:p w:rsidR="00CA468C" w:rsidRDefault="00CE40A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10、认购限额</w:t>
      </w:r>
    </w:p>
    <w:p w:rsidR="00CA468C" w:rsidRDefault="00CE40AF">
      <w:pPr>
        <w:pStyle w:val="20"/>
        <w:adjustRightInd w:val="0"/>
        <w:snapToGrid w:val="0"/>
        <w:ind w:firstLine="480"/>
        <w:rPr>
          <w:sz w:val="24"/>
        </w:rPr>
      </w:pPr>
      <w:r>
        <w:rPr>
          <w:rFonts w:hint="eastAsia"/>
          <w:sz w:val="24"/>
        </w:rPr>
        <w:t>在本基金销售机构的销售网点及网上直销交易系统进行认购时，投资人以金额申请，每个基金账户首笔认购的最低金额为人民币1元，每笔追加认购的最低金额为人民币</w:t>
      </w:r>
      <w:r>
        <w:rPr>
          <w:sz w:val="24"/>
        </w:rPr>
        <w:t>1</w:t>
      </w:r>
      <w:r>
        <w:rPr>
          <w:rFonts w:hint="eastAsia"/>
          <w:sz w:val="24"/>
        </w:rPr>
        <w:t>元。直销中心办理业务时以其相关规则为准。基金管理人直销机构或各销售机构对最低认购限额及交易级差另有规定的，从其规定，但不得低于上述最低认购金额。基金管理人可根据市场情况，调整本基金首笔认购和每笔追加认购的最低金额。</w:t>
      </w:r>
    </w:p>
    <w:p w:rsidR="00CA468C" w:rsidRDefault="00CE40AF">
      <w:pPr>
        <w:pStyle w:val="20"/>
        <w:adjustRightInd w:val="0"/>
        <w:snapToGrid w:val="0"/>
        <w:ind w:firstLine="480"/>
        <w:rPr>
          <w:sz w:val="24"/>
        </w:rPr>
      </w:pPr>
      <w:r>
        <w:rPr>
          <w:rFonts w:hint="eastAsia"/>
          <w:sz w:val="24"/>
        </w:rPr>
        <w:t>本基金单一投资人单日认购金额不超过1000万元（个人投资者、公募资产管理产品、职业年金、企业年金计划、养老金产品和基金管理人自有资金除外）。基金管理人可以调整单一投资人单日认购金额上限，具体规定请参见相关公告，公募资产管理产品、职业年金、企业年金计划、养老金产品的具体范围以基金管理人认定为准。</w:t>
      </w:r>
    </w:p>
    <w:p w:rsidR="00CA468C" w:rsidRDefault="00CE40AF">
      <w:pPr>
        <w:adjustRightInd w:val="0"/>
        <w:snapToGrid w:val="0"/>
        <w:spacing w:line="360" w:lineRule="auto"/>
        <w:ind w:firstLineChars="200" w:firstLine="480"/>
        <w:rPr>
          <w:rFonts w:ascii="宋体" w:hAnsi="宋体"/>
          <w:kern w:val="0"/>
          <w:sz w:val="24"/>
          <w:szCs w:val="20"/>
        </w:rPr>
      </w:pPr>
      <w:r>
        <w:rPr>
          <w:rFonts w:ascii="宋体" w:hAnsi="宋体" w:hint="eastAsia"/>
          <w:kern w:val="0"/>
          <w:sz w:val="24"/>
          <w:szCs w:val="20"/>
        </w:rPr>
        <w:t>若超过1000万元，本基金管理人有权部分或全部拒绝本基金的认购申请。如单日某基金账户单笔认购本基金的金额超过1000万元，本基金有权确认该笔认购失败；如单日某基金账户多笔累计认购本基金的金额超过1000万元，本基金将按认购金额大小排序，对逐笔累加至符合不超过1000万元限额的申请确认成功，对其余申请有权确认失败。针对单笔认购业务申请，仅有确认和不予确认两种处理方式，不存在对单笔申请的部分确认。敬请投资者留意。</w:t>
      </w:r>
    </w:p>
    <w:p w:rsidR="00CA468C" w:rsidRDefault="00CE40AF">
      <w:pPr>
        <w:pStyle w:val="20"/>
        <w:adjustRightInd w:val="0"/>
        <w:snapToGrid w:val="0"/>
        <w:ind w:firstLine="480"/>
        <w:rPr>
          <w:sz w:val="24"/>
        </w:rPr>
      </w:pPr>
      <w:r>
        <w:rPr>
          <w:rFonts w:hint="eastAsia"/>
          <w:bCs/>
          <w:sz w:val="24"/>
        </w:rPr>
        <w:t>如果本基金单一投资人累计认购的基金份额数达到或者超过基金总份额的50%，基金管理人有权对该投资人的认购申请进行限制。基金管理人接受某笔或者某些认购申请有可能导致单一投资人持有基金份额的比例达到或者超过50%，或者变相规避前述50%比例要求的，基金管理人有权拒绝该等全部或者部分认购申请。投资人认购的基金份额数以基金合同生效后登记机构的确认结果为准</w:t>
      </w:r>
      <w:r>
        <w:rPr>
          <w:rFonts w:hint="eastAsia"/>
          <w:sz w:val="24"/>
        </w:rPr>
        <w:t>。</w:t>
      </w:r>
    </w:p>
    <w:p w:rsidR="00CA468C" w:rsidRDefault="00F123FD">
      <w:pPr>
        <w:adjustRightInd w:val="0"/>
        <w:snapToGrid w:val="0"/>
        <w:spacing w:line="360" w:lineRule="auto"/>
        <w:ind w:firstLineChars="200" w:firstLine="480"/>
        <w:rPr>
          <w:sz w:val="24"/>
        </w:rPr>
      </w:pPr>
      <w:r w:rsidRPr="00E02F41">
        <w:rPr>
          <w:rFonts w:ascii="宋体" w:hAnsi="宋体" w:hint="eastAsia"/>
          <w:kern w:val="0"/>
          <w:sz w:val="24"/>
          <w:szCs w:val="20"/>
        </w:rPr>
        <w:t>基金管理人可根据基金发售情况对</w:t>
      </w:r>
      <w:r w:rsidRPr="004B71A4">
        <w:rPr>
          <w:rFonts w:ascii="宋体" w:hAnsi="宋体" w:hint="eastAsia"/>
          <w:kern w:val="0"/>
          <w:sz w:val="24"/>
        </w:rPr>
        <w:t>本基金</w:t>
      </w:r>
      <w:r w:rsidRPr="00E02F41">
        <w:rPr>
          <w:rFonts w:ascii="宋体" w:hAnsi="宋体" w:hint="eastAsia"/>
          <w:kern w:val="0"/>
          <w:sz w:val="24"/>
          <w:szCs w:val="20"/>
        </w:rPr>
        <w:t>的发售进行</w:t>
      </w:r>
      <w:r w:rsidRPr="004B71A4">
        <w:rPr>
          <w:rFonts w:ascii="宋体" w:hAnsi="宋体" w:hint="eastAsia"/>
          <w:kern w:val="0"/>
          <w:sz w:val="24"/>
        </w:rPr>
        <w:t>规模控制</w:t>
      </w:r>
      <w:r w:rsidR="00CE40AF">
        <w:rPr>
          <w:rFonts w:hint="eastAsia"/>
          <w:sz w:val="24"/>
        </w:rPr>
        <w:t>，</w:t>
      </w:r>
      <w:r w:rsidRPr="00E02F41">
        <w:rPr>
          <w:rFonts w:ascii="宋体" w:hAnsi="宋体" w:hint="eastAsia"/>
          <w:kern w:val="0"/>
          <w:sz w:val="24"/>
          <w:szCs w:val="20"/>
        </w:rPr>
        <w:t>具体规定</w:t>
      </w:r>
      <w:r w:rsidR="00CE40AF">
        <w:rPr>
          <w:rFonts w:hint="eastAsia"/>
          <w:sz w:val="24"/>
        </w:rPr>
        <w:t>详见</w:t>
      </w:r>
      <w:r w:rsidR="00CE40AF">
        <w:rPr>
          <w:rFonts w:ascii="宋体" w:hAnsi="宋体" w:hint="eastAsia"/>
          <w:kern w:val="0"/>
          <w:sz w:val="24"/>
          <w:szCs w:val="20"/>
        </w:rPr>
        <w:t>基金管理人届时发布的公告</w:t>
      </w:r>
      <w:r w:rsidR="00CE40AF">
        <w:rPr>
          <w:rFonts w:hint="eastAsia"/>
          <w:sz w:val="24"/>
        </w:rPr>
        <w:t>。</w:t>
      </w:r>
    </w:p>
    <w:p w:rsidR="00CA468C" w:rsidRDefault="00CE40AF">
      <w:pPr>
        <w:adjustRightInd w:val="0"/>
        <w:snapToGrid w:val="0"/>
        <w:spacing w:line="360" w:lineRule="auto"/>
        <w:ind w:firstLineChars="200" w:firstLine="480"/>
        <w:rPr>
          <w:rFonts w:ascii="宋体" w:hAnsi="宋体"/>
          <w:bCs/>
          <w:kern w:val="0"/>
          <w:sz w:val="24"/>
        </w:rPr>
      </w:pPr>
      <w:r>
        <w:rPr>
          <w:rFonts w:ascii="宋体" w:hAnsi="宋体"/>
          <w:bCs/>
          <w:kern w:val="0"/>
          <w:sz w:val="24"/>
        </w:rPr>
        <w:t>1</w:t>
      </w:r>
      <w:r>
        <w:rPr>
          <w:rFonts w:ascii="宋体" w:hAnsi="宋体" w:hint="eastAsia"/>
          <w:bCs/>
          <w:kern w:val="0"/>
          <w:sz w:val="24"/>
        </w:rPr>
        <w:t>1、认购</w:t>
      </w:r>
      <w:r>
        <w:rPr>
          <w:rFonts w:ascii="宋体" w:hAnsi="宋体"/>
          <w:bCs/>
          <w:kern w:val="0"/>
          <w:sz w:val="24"/>
        </w:rPr>
        <w:t>的确认</w:t>
      </w:r>
    </w:p>
    <w:p w:rsidR="00CA468C" w:rsidRDefault="00CE40AF">
      <w:pPr>
        <w:pStyle w:val="20"/>
        <w:adjustRightInd w:val="0"/>
        <w:snapToGrid w:val="0"/>
        <w:ind w:firstLine="480"/>
        <w:rPr>
          <w:sz w:val="24"/>
        </w:rPr>
      </w:pPr>
      <w:r>
        <w:rPr>
          <w:rFonts w:hint="eastAsia"/>
          <w:sz w:val="24"/>
        </w:rPr>
        <w:t>对于T日交易时间内受理的认购申请，登记机构将在T+1日就申请的有效性进行确认，投资人应在T+2日后（包括该日）及时到销售网点柜台或以销售机构规定的其他方式查询认购申请有效性的确认情况。</w:t>
      </w:r>
    </w:p>
    <w:p w:rsidR="00CA468C" w:rsidRDefault="00CE40AF">
      <w:pPr>
        <w:pStyle w:val="20"/>
        <w:adjustRightInd w:val="0"/>
        <w:snapToGrid w:val="0"/>
        <w:ind w:firstLine="480"/>
        <w:rPr>
          <w:color w:val="000000"/>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于投资人怠于查询而产生的投资人任何损失由投资人自行承担</w:t>
      </w:r>
      <w:r>
        <w:rPr>
          <w:rFonts w:hint="eastAsia"/>
          <w:sz w:val="24"/>
        </w:rPr>
        <w:t>。</w:t>
      </w:r>
    </w:p>
    <w:p w:rsidR="00CA468C" w:rsidRDefault="00CE40AF">
      <w:pPr>
        <w:pStyle w:val="20"/>
        <w:adjustRightInd w:val="0"/>
        <w:snapToGrid w:val="0"/>
        <w:ind w:firstLine="480"/>
        <w:rPr>
          <w:sz w:val="24"/>
        </w:rPr>
      </w:pPr>
      <w:r>
        <w:rPr>
          <w:bCs/>
          <w:sz w:val="24"/>
        </w:rPr>
        <w:t>1</w:t>
      </w:r>
      <w:r>
        <w:rPr>
          <w:rFonts w:hint="eastAsia"/>
          <w:bCs/>
          <w:sz w:val="24"/>
        </w:rPr>
        <w:t>2、</w:t>
      </w:r>
      <w:r>
        <w:rPr>
          <w:rFonts w:hint="eastAsia"/>
          <w:sz w:val="24"/>
        </w:rPr>
        <w:t>有效认购款项在募集期间产生的利息将折算为基金份额归基金份额持有人所有，计入基金份额持有人的基金账户，其中利息转份额的具体数额以登记机构的记录为准。有效认购款项利息折算的份额保留到小数点后两位，小数点两位以后的部分舍去，舍去部分所代表的资产归基金财产所有。</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bCs/>
          <w:kern w:val="0"/>
          <w:sz w:val="24"/>
        </w:rPr>
        <w:t>基金管理人</w:t>
      </w:r>
      <w:r>
        <w:rPr>
          <w:rFonts w:ascii="宋体" w:hAnsi="宋体"/>
          <w:bCs/>
          <w:kern w:val="0"/>
          <w:sz w:val="24"/>
        </w:rPr>
        <w:t>自</w:t>
      </w:r>
      <w:r>
        <w:rPr>
          <w:rFonts w:ascii="宋体" w:hAnsi="宋体" w:hint="eastAsia"/>
          <w:bCs/>
          <w:kern w:val="0"/>
          <w:sz w:val="24"/>
        </w:rPr>
        <w:t>基金募集期届满或基金管理人依据法律法规及招募说明书可以决定停止基金发售，并在10日内聘请法定验资机构验资，自收到验资报告之日起10日内，向中国证监会办理基金备案手续。</w:t>
      </w:r>
      <w:r>
        <w:rPr>
          <w:rFonts w:ascii="宋体" w:hAnsi="宋体" w:hint="eastAsia"/>
          <w:sz w:val="24"/>
        </w:rPr>
        <w:t>基金募集达到基金备案条件的，自基金管理人办理完毕基金备案手续并取得中国证监会书面确认之日起，基金合同生效。</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基金募集期届满，若未达到基金备案条件，则基金募集失败。如基金募集失败，基金管理人应以其固有财产承担因募集行为而产生的债务和费用，在基金募集期届满后30日内返还投资人已</w:t>
      </w:r>
      <w:r w:rsidR="00336702">
        <w:rPr>
          <w:rFonts w:ascii="宋体" w:hAnsi="宋体" w:hint="eastAsia"/>
          <w:sz w:val="24"/>
        </w:rPr>
        <w:t>交纳</w:t>
      </w:r>
      <w:r>
        <w:rPr>
          <w:rFonts w:ascii="宋体" w:hAnsi="宋体" w:hint="eastAsia"/>
          <w:sz w:val="24"/>
        </w:rPr>
        <w:t>的认购款项，并加计银行同期活期存款利息（税后）。</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3、本发售公告仅对本基金募集的有关事项和规定予以说明。投资人若欲了解本基金的详细情况，请阅读本公司于</w:t>
      </w:r>
      <w:r w:rsidR="00535ACF">
        <w:rPr>
          <w:rFonts w:ascii="宋体" w:hAnsi="宋体" w:hint="eastAsia"/>
          <w:sz w:val="24"/>
        </w:rPr>
        <w:t>20</w:t>
      </w:r>
      <w:r w:rsidR="00535ACF">
        <w:rPr>
          <w:rFonts w:ascii="宋体" w:hAnsi="宋体"/>
          <w:sz w:val="24"/>
        </w:rPr>
        <w:t>25</w:t>
      </w:r>
      <w:r>
        <w:rPr>
          <w:rFonts w:ascii="宋体" w:hAnsi="宋体" w:hint="eastAsia"/>
          <w:sz w:val="24"/>
        </w:rPr>
        <w:t>年</w:t>
      </w:r>
      <w:r w:rsidR="00282E79">
        <w:rPr>
          <w:rFonts w:ascii="宋体" w:hAnsi="宋体"/>
          <w:sz w:val="24"/>
        </w:rPr>
        <w:t>3</w:t>
      </w:r>
      <w:r>
        <w:rPr>
          <w:rFonts w:ascii="宋体" w:hAnsi="宋体" w:hint="eastAsia"/>
          <w:sz w:val="24"/>
        </w:rPr>
        <w:t>月</w:t>
      </w:r>
      <w:r w:rsidR="00282E79">
        <w:rPr>
          <w:rFonts w:ascii="宋体" w:hAnsi="宋体"/>
          <w:sz w:val="24"/>
        </w:rPr>
        <w:t>17</w:t>
      </w:r>
      <w:r>
        <w:rPr>
          <w:rFonts w:ascii="宋体" w:hAnsi="宋体" w:hint="eastAsia"/>
          <w:sz w:val="24"/>
        </w:rPr>
        <w:t>日在</w:t>
      </w:r>
      <w:r w:rsidR="00535ACF">
        <w:rPr>
          <w:rFonts w:ascii="宋体" w:hAnsi="宋体" w:hint="eastAsia"/>
          <w:sz w:val="24"/>
        </w:rPr>
        <w:t>《</w:t>
      </w:r>
      <w:r w:rsidR="00282E79">
        <w:rPr>
          <w:rFonts w:ascii="宋体" w:hAnsi="宋体"/>
          <w:sz w:val="24"/>
        </w:rPr>
        <w:t>上海证券报</w:t>
      </w:r>
      <w:r w:rsidR="00535ACF">
        <w:rPr>
          <w:rFonts w:ascii="宋体" w:hAnsi="宋体" w:hint="eastAsia"/>
          <w:sz w:val="24"/>
        </w:rPr>
        <w:t>》</w:t>
      </w:r>
      <w:r>
        <w:rPr>
          <w:rFonts w:ascii="宋体" w:hAnsi="宋体" w:hint="eastAsia"/>
          <w:sz w:val="24"/>
        </w:rPr>
        <w:t>上刊登的《银华</w:t>
      </w:r>
      <w:r w:rsidR="00535ACF">
        <w:rPr>
          <w:rFonts w:ascii="宋体" w:hAnsi="宋体" w:hint="eastAsia"/>
          <w:sz w:val="24"/>
        </w:rPr>
        <w:t>季季丰90天滚动持有</w:t>
      </w:r>
      <w:r>
        <w:rPr>
          <w:rFonts w:ascii="宋体" w:hAnsi="宋体" w:hint="eastAsia"/>
          <w:sz w:val="24"/>
        </w:rPr>
        <w:t>债券型证券投资基金基金份额</w:t>
      </w:r>
      <w:r>
        <w:rPr>
          <w:rFonts w:ascii="宋体" w:hAnsi="宋体"/>
          <w:sz w:val="24"/>
        </w:rPr>
        <w:t>发售公告</w:t>
      </w:r>
      <w:r>
        <w:rPr>
          <w:rFonts w:ascii="宋体" w:hAnsi="宋体" w:hint="eastAsia"/>
          <w:sz w:val="24"/>
        </w:rPr>
        <w:t>》及《银华</w:t>
      </w:r>
      <w:r w:rsidR="00535ACF">
        <w:rPr>
          <w:rFonts w:ascii="宋体" w:hAnsi="宋体" w:hint="eastAsia"/>
          <w:sz w:val="24"/>
        </w:rPr>
        <w:t>季季丰90天滚动持有</w:t>
      </w:r>
      <w:r>
        <w:rPr>
          <w:rFonts w:ascii="宋体" w:hAnsi="宋体" w:hint="eastAsia"/>
          <w:sz w:val="24"/>
        </w:rPr>
        <w:t>债券型证券投资基金基金合同及招募说明书提示性公告》。《银华</w:t>
      </w:r>
      <w:r w:rsidR="00535ACF">
        <w:rPr>
          <w:rFonts w:ascii="宋体" w:hAnsi="宋体" w:hint="eastAsia"/>
          <w:sz w:val="24"/>
        </w:rPr>
        <w:t>季季丰90天滚动持有</w:t>
      </w:r>
      <w:r>
        <w:rPr>
          <w:rFonts w:ascii="宋体" w:hAnsi="宋体" w:hint="eastAsia"/>
          <w:sz w:val="24"/>
        </w:rPr>
        <w:t>债券型证券投资基金基金合同》（以下简称《基金合同》或基金合同）、《银华</w:t>
      </w:r>
      <w:r w:rsidR="00535ACF">
        <w:rPr>
          <w:rFonts w:ascii="宋体" w:hAnsi="宋体" w:hint="eastAsia"/>
          <w:sz w:val="24"/>
        </w:rPr>
        <w:t>季季丰90天滚动持有</w:t>
      </w:r>
      <w:r>
        <w:rPr>
          <w:rFonts w:ascii="宋体" w:hAnsi="宋体" w:hint="eastAsia"/>
          <w:sz w:val="24"/>
        </w:rPr>
        <w:t>债券型证券投资基金托管协议》、《银华</w:t>
      </w:r>
      <w:r w:rsidR="00535ACF">
        <w:rPr>
          <w:rFonts w:ascii="宋体" w:hAnsi="宋体" w:hint="eastAsia"/>
          <w:sz w:val="24"/>
        </w:rPr>
        <w:t>季季丰90天滚动持有</w:t>
      </w:r>
      <w:r>
        <w:rPr>
          <w:rFonts w:ascii="宋体" w:hAnsi="宋体" w:hint="eastAsia"/>
          <w:sz w:val="24"/>
        </w:rPr>
        <w:t>债券型证券投资基金招募说明书》、《银华</w:t>
      </w:r>
      <w:r w:rsidR="00535ACF">
        <w:rPr>
          <w:rFonts w:ascii="宋体" w:hAnsi="宋体" w:hint="eastAsia"/>
          <w:sz w:val="24"/>
        </w:rPr>
        <w:t>季季丰90天滚动持有</w:t>
      </w:r>
      <w:r>
        <w:rPr>
          <w:rFonts w:ascii="宋体" w:hAnsi="宋体" w:hint="eastAsia"/>
          <w:sz w:val="24"/>
        </w:rPr>
        <w:t>债券型证券投资基金基金产品资料概要》及本发售公告将同时发布在本公司网站（http://</w:t>
      </w:r>
      <w:r>
        <w:rPr>
          <w:rFonts w:ascii="宋体" w:hAnsi="宋体"/>
          <w:sz w:val="24"/>
        </w:rPr>
        <w:t>www.yhfund.com.cn</w:t>
      </w:r>
      <w:r>
        <w:rPr>
          <w:rFonts w:ascii="宋体" w:hAnsi="宋体" w:hint="eastAsia"/>
          <w:sz w:val="24"/>
        </w:rPr>
        <w:t>）和中国证监会基金电子披露网站（http://eid.csrc.gov.cn/fund）上，投资人亦可通过本公司网站和中国证监会基金电子披露网站了解本基金募集相关事宜，并可通过本公司网站下载有关申请表格。</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14、销售机构销售本基金的城市名称、网点名称、联系方式以及开户和认购等具体事项请详见各销售机构的相关业务公告。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在募集期间，除本发售公告所列的销售机构外，本基金还有可能变更、增减销售机构，如变更、增减销售机构，本公司将及时在</w:t>
      </w:r>
      <w:r>
        <w:rPr>
          <w:rFonts w:ascii="宋体" w:hAnsi="宋体"/>
          <w:sz w:val="24"/>
        </w:rPr>
        <w:t>网站</w:t>
      </w:r>
      <w:r>
        <w:rPr>
          <w:rFonts w:ascii="宋体" w:hAnsi="宋体" w:hint="eastAsia"/>
          <w:sz w:val="24"/>
        </w:rPr>
        <w:t>公示，请留意近期本公司网站公示，或拨打本公司及其他各销售机构的客户服务电话咨询。</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5、投资人可拨打本公司的客户服务电话</w:t>
      </w:r>
      <w:r>
        <w:rPr>
          <w:rFonts w:ascii="宋体" w:hAnsi="宋体"/>
          <w:sz w:val="24"/>
        </w:rPr>
        <w:t>400-678-3333</w:t>
      </w:r>
      <w:r>
        <w:rPr>
          <w:rFonts w:ascii="宋体" w:hAnsi="宋体" w:hint="eastAsia"/>
          <w:sz w:val="24"/>
        </w:rPr>
        <w:t>或</w:t>
      </w:r>
      <w:r>
        <w:rPr>
          <w:rFonts w:ascii="宋体" w:hAnsi="宋体"/>
          <w:sz w:val="24"/>
        </w:rPr>
        <w:t>010-85186558</w:t>
      </w:r>
      <w:r>
        <w:rPr>
          <w:rFonts w:ascii="宋体" w:hAnsi="宋体" w:hint="eastAsia"/>
          <w:sz w:val="24"/>
        </w:rPr>
        <w:t>或其他销售机构的客户服务电话咨询认购事宜。</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16、</w:t>
      </w:r>
      <w:r>
        <w:rPr>
          <w:rFonts w:ascii="宋体" w:hAnsi="宋体" w:hint="eastAsia"/>
          <w:kern w:val="0"/>
          <w:sz w:val="24"/>
        </w:rPr>
        <w:t>基金管理人可综合考虑各种情况在法律法规允许的范围内对本基金募集安排做适当调整并及时公告。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相关法律法规关于信息披露的披露方式、登载媒介、报备方式等规定发生变化时，本基金从其最新规定。</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7、个人投资者还可登录本公司网站（</w:t>
      </w:r>
      <w:r>
        <w:rPr>
          <w:rFonts w:ascii="宋体" w:hAnsi="宋体"/>
          <w:sz w:val="24"/>
        </w:rPr>
        <w:t>www.yhfund.com.cn</w:t>
      </w:r>
      <w:r>
        <w:rPr>
          <w:rFonts w:ascii="宋体" w:hAnsi="宋体" w:hint="eastAsia"/>
          <w:sz w:val="24"/>
        </w:rPr>
        <w:t>），在与本公司达成网上交易的相关协议、接受本公司有关服务条款、了解有关基金网上交易的具体业务规则后，通过本公司网上直销交易系统办理开户、认购等业务。</w:t>
      </w:r>
    </w:p>
    <w:p w:rsidR="00CA468C" w:rsidRDefault="00CE40AF">
      <w:pPr>
        <w:adjustRightInd w:val="0"/>
        <w:snapToGrid w:val="0"/>
        <w:spacing w:line="360" w:lineRule="auto"/>
        <w:ind w:firstLineChars="200" w:firstLine="480"/>
        <w:rPr>
          <w:rFonts w:ascii="宋体" w:hAnsi="宋体" w:cs="宋体"/>
          <w:color w:val="000000"/>
          <w:sz w:val="24"/>
        </w:rPr>
      </w:pPr>
      <w:r>
        <w:rPr>
          <w:rFonts w:ascii="宋体" w:hAnsi="宋体" w:hint="eastAsia"/>
          <w:bCs/>
          <w:sz w:val="24"/>
        </w:rPr>
        <w:t>18、</w:t>
      </w:r>
      <w:r>
        <w:rPr>
          <w:rFonts w:ascii="宋体" w:hAnsi="宋体" w:cs="宋体" w:hint="eastAsia"/>
          <w:color w:val="000000"/>
          <w:sz w:val="24"/>
        </w:rPr>
        <w:t>风险提示</w:t>
      </w:r>
    </w:p>
    <w:p w:rsidR="00CA468C" w:rsidRDefault="00CE40AF">
      <w:pPr>
        <w:pStyle w:val="20"/>
        <w:adjustRightInd w:val="0"/>
        <w:snapToGrid w:val="0"/>
        <w:ind w:firstLine="480"/>
        <w:rPr>
          <w:sz w:val="24"/>
        </w:rPr>
      </w:pPr>
      <w:r>
        <w:rPr>
          <w:rFonts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A468C" w:rsidRDefault="00CE40AF">
      <w:pPr>
        <w:pStyle w:val="20"/>
        <w:adjustRightInd w:val="0"/>
        <w:snapToGrid w:val="0"/>
        <w:ind w:firstLine="480"/>
        <w:rPr>
          <w:sz w:val="24"/>
        </w:rPr>
      </w:pPr>
      <w:r>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sz w:val="24"/>
        </w:rPr>
        <w:t>基金分为股票型证券投资基金、混合型证券投资基金、债券型证券投资基金、货币市场基金、基金中基金等不同类型，投资人投资不同类型的基金将获得不同的收益预期，也将承担不同程度的风险。一般来说，基金的收益预期越高，投资人承担的风险也越大。本基金为债券型证券</w:t>
      </w:r>
      <w:r>
        <w:rPr>
          <w:rFonts w:ascii="宋体" w:hAnsi="宋体"/>
          <w:sz w:val="24"/>
        </w:rPr>
        <w:t>投资</w:t>
      </w:r>
      <w:r>
        <w:rPr>
          <w:rFonts w:ascii="宋体" w:hAnsi="宋体" w:hint="eastAsia"/>
          <w:sz w:val="24"/>
        </w:rPr>
        <w:t>基金，其预期收益和预期风险水平高于货币市场基金，</w:t>
      </w:r>
      <w:r>
        <w:rPr>
          <w:rFonts w:ascii="宋体" w:hAnsi="宋体" w:hint="eastAsia"/>
          <w:bCs/>
          <w:sz w:val="24"/>
        </w:rPr>
        <w:t>低于混合型基金和股票型基金</w:t>
      </w:r>
      <w:r>
        <w:rPr>
          <w:rFonts w:ascii="宋体" w:hAnsi="宋体" w:hint="eastAsia"/>
          <w:sz w:val="24"/>
        </w:rPr>
        <w:t>。</w:t>
      </w:r>
    </w:p>
    <w:p w:rsidR="00CA468C" w:rsidRDefault="00CE40AF">
      <w:pPr>
        <w:pStyle w:val="20"/>
        <w:adjustRightInd w:val="0"/>
        <w:snapToGrid w:val="0"/>
        <w:ind w:firstLine="480"/>
        <w:rPr>
          <w:sz w:val="24"/>
        </w:rPr>
      </w:pPr>
      <w:r>
        <w:rPr>
          <w:rFonts w:hint="eastAsia"/>
          <w:sz w:val="24"/>
        </w:rPr>
        <w:t>本基金按照基金份额发售面值人民币1.00元发售，在市场波动等因素的影响下，基金份额净值可能低于基金份额发售面值。</w:t>
      </w:r>
    </w:p>
    <w:p w:rsidR="00CA468C" w:rsidRDefault="00CE40AF">
      <w:pPr>
        <w:pStyle w:val="20"/>
        <w:adjustRightInd w:val="0"/>
        <w:snapToGrid w:val="0"/>
        <w:ind w:firstLine="480"/>
        <w:rPr>
          <w:sz w:val="24"/>
        </w:rPr>
      </w:pPr>
      <w:r>
        <w:rPr>
          <w:rFonts w:hint="eastAsia"/>
          <w:sz w:val="24"/>
        </w:rPr>
        <w:t>本基金主要投资于证券市场，基金净值会因为证券市场波动等因素产生波动，投资人在投资本基金前，需充分了解本基金的产品特性，充分考虑自身的风险承受能力，理性判断市场，并承担基金投资中出现的各类风险，包括市场风险、基金运作风险、流动性风险、其他风险以及本基金特有的风险等。巨额赎回风险是开放式基金所特有的一种风险，对</w:t>
      </w:r>
      <w:r>
        <w:rPr>
          <w:sz w:val="24"/>
        </w:rPr>
        <w:t>本基金而言，</w:t>
      </w:r>
      <w:r>
        <w:rPr>
          <w:rFonts w:hint="eastAsia"/>
          <w:bCs/>
          <w:sz w:val="24"/>
        </w:rPr>
        <w:t>即当单个开放日内</w:t>
      </w:r>
      <w:r>
        <w:rPr>
          <w:bCs/>
          <w:sz w:val="24"/>
        </w:rPr>
        <w:t>的</w:t>
      </w:r>
      <w:r>
        <w:rPr>
          <w:rFonts w:hint="eastAsia"/>
          <w:bCs/>
          <w:sz w:val="24"/>
        </w:rPr>
        <w:t>基金份额净赎回申请</w:t>
      </w:r>
      <w:r>
        <w:rPr>
          <w:bCs/>
          <w:sz w:val="24"/>
        </w:rPr>
        <w:t>（赎回申请份额总数加上基金转换中转出申请份额总数后扣除申购申请份额总数及基金转换中转入申请份额总数后的余额）</w:t>
      </w:r>
      <w:r>
        <w:rPr>
          <w:rFonts w:hint="eastAsia"/>
          <w:bCs/>
          <w:sz w:val="24"/>
        </w:rPr>
        <w:t>超过前一</w:t>
      </w:r>
      <w:r>
        <w:rPr>
          <w:bCs/>
          <w:sz w:val="24"/>
        </w:rPr>
        <w:t>开放</w:t>
      </w:r>
      <w:r>
        <w:rPr>
          <w:rFonts w:hint="eastAsia"/>
          <w:bCs/>
          <w:sz w:val="24"/>
        </w:rPr>
        <w:t>日基金总份额的</w:t>
      </w:r>
      <w:r>
        <w:rPr>
          <w:bCs/>
          <w:sz w:val="24"/>
        </w:rPr>
        <w:t>10%</w:t>
      </w:r>
      <w:r>
        <w:rPr>
          <w:rFonts w:hint="eastAsia"/>
          <w:bCs/>
          <w:sz w:val="24"/>
        </w:rPr>
        <w:t>时，</w:t>
      </w:r>
      <w:r>
        <w:rPr>
          <w:rFonts w:hint="eastAsia"/>
          <w:sz w:val="24"/>
        </w:rPr>
        <w:t>投资人将可能无法及时赎回持有的全部基金份额。</w:t>
      </w:r>
    </w:p>
    <w:p w:rsidR="00CA468C" w:rsidRDefault="009D1285">
      <w:pPr>
        <w:pStyle w:val="20"/>
        <w:adjustRightInd w:val="0"/>
        <w:snapToGrid w:val="0"/>
        <w:ind w:firstLine="480"/>
        <w:rPr>
          <w:bCs/>
          <w:sz w:val="24"/>
        </w:rPr>
      </w:pPr>
      <w:r w:rsidRPr="009D1285">
        <w:rPr>
          <w:rFonts w:hint="eastAsia"/>
          <w:bCs/>
          <w:sz w:val="24"/>
        </w:rPr>
        <w:t>基金合同生效后，</w:t>
      </w:r>
      <w:r w:rsidR="00617516">
        <w:rPr>
          <w:rFonts w:hint="eastAsia"/>
          <w:bCs/>
          <w:sz w:val="24"/>
        </w:rPr>
        <w:t>本基金对于每份基金份额设定90天的滚动运作期。每个运作期到期日前，基金份额持有人不能提出赎回或转换转出申请。基金份额持有人仅在每个运作期到期日可提出赎回或转换转出申请，基金合同另有规定的除外。如果基金份额持有人在当期运作期到期日未就该基金份额申请赎回或转换转出（或赎回/转换转出被确认失败），则自该运作期到期日下一日起该基金份额进入下一个运作期。因此基金份额持有人面临在滚动运作期到期日前不能赎回基金份额的风险</w:t>
      </w:r>
      <w:r w:rsidR="00CE40AF">
        <w:rPr>
          <w:rFonts w:hint="eastAsia"/>
          <w:bCs/>
          <w:sz w:val="24"/>
        </w:rPr>
        <w:t>，</w:t>
      </w:r>
      <w:r w:rsidR="00336702">
        <w:rPr>
          <w:rFonts w:hint="eastAsia"/>
          <w:bCs/>
          <w:sz w:val="24"/>
        </w:rPr>
        <w:t>以</w:t>
      </w:r>
      <w:r w:rsidR="00CE40AF">
        <w:rPr>
          <w:rFonts w:hint="eastAsia"/>
          <w:bCs/>
          <w:sz w:val="24"/>
        </w:rPr>
        <w:t>及</w:t>
      </w:r>
      <w:r w:rsidR="00336702">
        <w:rPr>
          <w:rFonts w:hint="eastAsia"/>
          <w:bCs/>
          <w:sz w:val="24"/>
        </w:rPr>
        <w:t>对于认购份额以及同一时点申购的份额将极有可能面临集中赎回的情形，由此将有可能触发本基金的巨额赎回机制</w:t>
      </w:r>
      <w:r w:rsidR="00CE40AF">
        <w:rPr>
          <w:rFonts w:hint="eastAsia"/>
          <w:bCs/>
          <w:sz w:val="24"/>
        </w:rPr>
        <w:t>。</w:t>
      </w:r>
    </w:p>
    <w:p w:rsidR="00CA468C" w:rsidRDefault="00CE40AF">
      <w:pPr>
        <w:pStyle w:val="20"/>
        <w:adjustRightInd w:val="0"/>
        <w:snapToGrid w:val="0"/>
        <w:ind w:firstLine="480"/>
        <w:rPr>
          <w:sz w:val="24"/>
        </w:rPr>
      </w:pPr>
      <w:r>
        <w:rPr>
          <w:rFonts w:hint="eastAsia"/>
          <w:sz w:val="24"/>
        </w:rPr>
        <w:t>当本基金持有特定资产且存在或潜在大额赎回申请时，基金管理人履行相应程序后，可以启用侧袋机制。请基金份额持有人仔细阅读相关内容并关注本基金启用侧袋机制时的特定风险。</w:t>
      </w:r>
    </w:p>
    <w:p w:rsidR="00CA468C" w:rsidRDefault="00FA5530">
      <w:pPr>
        <w:pStyle w:val="20"/>
        <w:adjustRightInd w:val="0"/>
        <w:snapToGrid w:val="0"/>
        <w:ind w:firstLineChars="250" w:firstLine="600"/>
        <w:rPr>
          <w:sz w:val="24"/>
        </w:rPr>
      </w:pPr>
      <w:r>
        <w:rPr>
          <w:rFonts w:hint="eastAsia"/>
          <w:sz w:val="24"/>
        </w:rPr>
        <w:t>投资有风险，投资人在进行投资决策前，请仔细阅读</w:t>
      </w:r>
      <w:r w:rsidR="00CE40AF">
        <w:rPr>
          <w:rFonts w:hint="eastAsia"/>
          <w:sz w:val="24"/>
        </w:rPr>
        <w:t>招募说明书、基金合同、基金产品资料概要等信息披露文件，了解本基金的风险收益特征，并根据自身的投资目的、投资期限、投资经验、资产状况等判断基金是否和投资人的风险承受能力相适应。</w:t>
      </w:r>
    </w:p>
    <w:p w:rsidR="00CA468C" w:rsidRDefault="00CE40AF">
      <w:pPr>
        <w:pStyle w:val="20"/>
        <w:adjustRightInd w:val="0"/>
        <w:snapToGrid w:val="0"/>
        <w:ind w:firstLine="480"/>
        <w:rPr>
          <w:sz w:val="24"/>
        </w:rPr>
      </w:pPr>
      <w:r>
        <w:rPr>
          <w:rFonts w:hint="eastAsia"/>
          <w:sz w:val="24"/>
        </w:rPr>
        <w:t>基金管理人承诺以恪尽职守、诚实信用、谨慎勤勉的原则管理和运用基金资产，但不保证本基金一定盈利，也不保证最低收益。</w:t>
      </w:r>
      <w:r>
        <w:rPr>
          <w:rFonts w:hint="eastAsia"/>
          <w:bCs/>
          <w:sz w:val="24"/>
        </w:rPr>
        <w:t>当投资人赎回时，所得可能会高于或低于投资人先前所支付的金额。</w:t>
      </w:r>
      <w:r>
        <w:rPr>
          <w:rFonts w:hint="eastAsia"/>
          <w:sz w:val="24"/>
        </w:rPr>
        <w:t>投资人应当认真阅读基金招募说明书、基金合同、</w:t>
      </w:r>
      <w:r>
        <w:rPr>
          <w:rFonts w:hint="eastAsia"/>
          <w:bCs/>
          <w:sz w:val="24"/>
        </w:rPr>
        <w:t>基金产品资料概要</w:t>
      </w:r>
      <w:r>
        <w:rPr>
          <w:rFonts w:hint="eastAsia"/>
          <w:sz w:val="24"/>
        </w:rPr>
        <w:t>等信息披露文件，自主判断基金的投资价值，自主做出投资决策，自行承担投资风险。</w:t>
      </w:r>
      <w:r>
        <w:rPr>
          <w:rFonts w:hint="eastAsia"/>
          <w:b/>
          <w:bCs/>
          <w:sz w:val="24"/>
        </w:rPr>
        <w:t>投资者应当认真阅读并完全理解基金合同第二十部分规定的免责条款、第二十一部分规定的争议处理方式。</w:t>
      </w:r>
      <w:r>
        <w:rPr>
          <w:rFonts w:hint="eastAsia"/>
          <w:sz w:val="24"/>
        </w:rPr>
        <w:t>本基金的过往业绩及其净值高低并不预示其未来业绩表现。基金管理人所管理的其他基金的业绩并不构成对本基金业绩表现的保证。基金管理人提醒投资人基金投资的“买者自负”原则，在做出投资决策后，基金运营状况与基金净值变化引致的投资风险，由投资人自行负担。</w:t>
      </w:r>
    </w:p>
    <w:p w:rsidR="00CA468C" w:rsidRDefault="00CE40AF" w:rsidP="003E6F3D">
      <w:pPr>
        <w:pStyle w:val="20"/>
        <w:adjustRightInd w:val="0"/>
        <w:snapToGrid w:val="0"/>
        <w:ind w:firstLine="480"/>
        <w:rPr>
          <w:sz w:val="24"/>
        </w:rPr>
      </w:pPr>
      <w:r>
        <w:rPr>
          <w:rFonts w:hint="eastAsia"/>
          <w:sz w:val="24"/>
        </w:rPr>
        <w:t>投资人应当通过基金管理人或具有基金销售业务资格的其他机构认购、申购和赎回基金份额，基金销售机构名单详见招募说明书、本发售公告以及相关披露。</w:t>
      </w:r>
    </w:p>
    <w:p w:rsidR="0073762F" w:rsidRDefault="0073762F" w:rsidP="003E6F3D">
      <w:pPr>
        <w:pStyle w:val="20"/>
        <w:adjustRightInd w:val="0"/>
        <w:snapToGrid w:val="0"/>
        <w:ind w:firstLine="480"/>
        <w:rPr>
          <w:sz w:val="24"/>
        </w:rPr>
      </w:pPr>
      <w:r>
        <w:rPr>
          <w:rFonts w:hint="eastAsia"/>
          <w:sz w:val="24"/>
        </w:rPr>
        <w:t>本基金单一投资人持有基金份额数不得达到或者超过基金总份额的50%，但在基金运作过程中因基金份额赎回等情形导致被动达到或超过50%的除外。法律法规、监管机构另有规定的，从其规定。基金管理人有权对销售对象的范围予以进一步限定，具体销售对象见招募说明书以及基金管理人届时发布的相关公告。</w:t>
      </w:r>
    </w:p>
    <w:p w:rsidR="00CA468C" w:rsidRDefault="00CE40AF">
      <w:pPr>
        <w:adjustRightInd w:val="0"/>
        <w:snapToGrid w:val="0"/>
        <w:spacing w:line="360" w:lineRule="auto"/>
        <w:ind w:firstLineChars="200" w:firstLine="480"/>
        <w:rPr>
          <w:rFonts w:hAnsi="宋体"/>
          <w:sz w:val="24"/>
        </w:rPr>
      </w:pPr>
      <w:r>
        <w:rPr>
          <w:rFonts w:hAnsi="宋体" w:hint="eastAsia"/>
          <w:sz w:val="24"/>
        </w:rPr>
        <w:t>19</w:t>
      </w:r>
      <w:r>
        <w:rPr>
          <w:rFonts w:hAnsi="宋体" w:hint="eastAsia"/>
          <w:sz w:val="24"/>
        </w:rPr>
        <w:t>、本基金管理人拥有对本发售公告的最终解释权。</w:t>
      </w:r>
    </w:p>
    <w:p w:rsidR="00CA468C" w:rsidRDefault="00CE40AF">
      <w:pPr>
        <w:pStyle w:val="1"/>
        <w:jc w:val="center"/>
        <w:rPr>
          <w:rFonts w:ascii="宋体" w:hAnsi="宋体"/>
        </w:rPr>
      </w:pPr>
      <w:r>
        <w:rPr>
          <w:rFonts w:hAnsi="宋体"/>
          <w:sz w:val="24"/>
        </w:rPr>
        <w:br w:type="page"/>
      </w:r>
      <w:bookmarkStart w:id="0" w:name="_Toc513102409"/>
      <w:bookmarkStart w:id="1" w:name="_Toc294776261"/>
      <w:r>
        <w:rPr>
          <w:rFonts w:ascii="宋体" w:hAnsi="宋体" w:hint="eastAsia"/>
        </w:rPr>
        <w:t>一、基金认购的基本情况</w:t>
      </w:r>
      <w:bookmarkEnd w:id="0"/>
      <w:bookmarkEnd w:id="1"/>
    </w:p>
    <w:p w:rsidR="00CA468C" w:rsidRDefault="00CA468C">
      <w:pPr>
        <w:adjustRightInd w:val="0"/>
        <w:snapToGrid w:val="0"/>
        <w:spacing w:line="360" w:lineRule="auto"/>
        <w:ind w:firstLineChars="200" w:firstLine="480"/>
        <w:rPr>
          <w:rFonts w:ascii="宋体" w:hAnsi="宋体"/>
          <w:sz w:val="24"/>
        </w:rPr>
      </w:pP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（一）基金名称、简称及代码</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基金名称：银华</w:t>
      </w:r>
      <w:r w:rsidR="00535ACF">
        <w:rPr>
          <w:rFonts w:ascii="宋体" w:hAnsi="宋体" w:hint="eastAsia"/>
          <w:sz w:val="24"/>
        </w:rPr>
        <w:t>季季丰90天滚动持有</w:t>
      </w:r>
      <w:r>
        <w:rPr>
          <w:rFonts w:ascii="宋体" w:hAnsi="宋体" w:hint="eastAsia"/>
          <w:sz w:val="24"/>
        </w:rPr>
        <w:t>债券型证券投资基金</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w:t>
      </w:r>
      <w:r>
        <w:rPr>
          <w:rFonts w:ascii="宋体" w:hAnsi="宋体"/>
          <w:sz w:val="24"/>
        </w:rPr>
        <w:t>本基金A类基金份额</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基金简称：银华</w:t>
      </w:r>
      <w:r w:rsidR="00535ACF">
        <w:rPr>
          <w:rFonts w:ascii="宋体" w:hAnsi="宋体" w:hint="eastAsia"/>
          <w:sz w:val="24"/>
        </w:rPr>
        <w:t>季季丰90天滚动持有</w:t>
      </w:r>
      <w:r>
        <w:rPr>
          <w:rFonts w:ascii="宋体" w:hAnsi="宋体" w:hint="eastAsia"/>
          <w:sz w:val="24"/>
        </w:rPr>
        <w:t>债券A</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基金代码：</w:t>
      </w:r>
      <w:r w:rsidR="00B576DE">
        <w:rPr>
          <w:rFonts w:ascii="宋体" w:hAnsi="宋体"/>
          <w:sz w:val="24"/>
        </w:rPr>
        <w:t>023640</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w:t>
      </w:r>
      <w:r>
        <w:rPr>
          <w:rFonts w:ascii="宋体" w:hAnsi="宋体"/>
          <w:sz w:val="24"/>
        </w:rPr>
        <w:t>本基金</w:t>
      </w:r>
      <w:r>
        <w:rPr>
          <w:rFonts w:ascii="宋体" w:hAnsi="宋体" w:hint="eastAsia"/>
          <w:sz w:val="24"/>
        </w:rPr>
        <w:t>C</w:t>
      </w:r>
      <w:r>
        <w:rPr>
          <w:rFonts w:ascii="宋体" w:hAnsi="宋体"/>
          <w:sz w:val="24"/>
        </w:rPr>
        <w:t>类基金份额</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基金简称：银华</w:t>
      </w:r>
      <w:r w:rsidR="00535ACF">
        <w:rPr>
          <w:rFonts w:ascii="宋体" w:hAnsi="宋体" w:hint="eastAsia"/>
          <w:sz w:val="24"/>
        </w:rPr>
        <w:t>季季丰90天滚动持有</w:t>
      </w:r>
      <w:r>
        <w:rPr>
          <w:rFonts w:ascii="宋体" w:hAnsi="宋体" w:hint="eastAsia"/>
          <w:sz w:val="24"/>
        </w:rPr>
        <w:t>债券C</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基金代码：</w:t>
      </w:r>
      <w:r w:rsidR="00B576DE">
        <w:rPr>
          <w:rFonts w:ascii="宋体" w:hAnsi="宋体"/>
          <w:sz w:val="24"/>
        </w:rPr>
        <w:t>023641</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（二）基金类别</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债券型证券投资基金</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（三）基金的运作方式</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bCs/>
          <w:sz w:val="24"/>
        </w:rPr>
        <w:t>契约型开放式</w:t>
      </w:r>
    </w:p>
    <w:p w:rsidR="00617516" w:rsidRDefault="00617516" w:rsidP="00617516">
      <w:pPr>
        <w:adjustRightInd w:val="0"/>
        <w:snapToGrid w:val="0"/>
        <w:spacing w:line="360" w:lineRule="auto"/>
        <w:ind w:firstLineChars="200" w:firstLine="480"/>
        <w:rPr>
          <w:rFonts w:ascii="宋体" w:hAnsi="宋体"/>
          <w:bCs/>
          <w:sz w:val="24"/>
        </w:rPr>
      </w:pPr>
      <w:r>
        <w:rPr>
          <w:rFonts w:ascii="宋体" w:hAnsi="宋体" w:hint="eastAsia"/>
          <w:bCs/>
          <w:sz w:val="24"/>
        </w:rPr>
        <w:t>1、运作期</w:t>
      </w:r>
    </w:p>
    <w:p w:rsidR="00617516" w:rsidRDefault="00617516" w:rsidP="00617516">
      <w:pPr>
        <w:adjustRightInd w:val="0"/>
        <w:snapToGrid w:val="0"/>
        <w:spacing w:line="360" w:lineRule="auto"/>
        <w:ind w:firstLineChars="200" w:firstLine="480"/>
        <w:rPr>
          <w:rFonts w:ascii="宋体" w:hAnsi="宋体"/>
          <w:bCs/>
          <w:sz w:val="24"/>
        </w:rPr>
      </w:pPr>
      <w:r>
        <w:rPr>
          <w:rFonts w:ascii="宋体" w:hAnsi="宋体" w:hint="eastAsia"/>
          <w:bCs/>
          <w:sz w:val="24"/>
        </w:rPr>
        <w:t>本基金对于每份基金份额，设定90天的滚动运作期。</w:t>
      </w:r>
    </w:p>
    <w:p w:rsidR="00617516" w:rsidRDefault="00617516" w:rsidP="00617516">
      <w:pPr>
        <w:adjustRightInd w:val="0"/>
        <w:snapToGrid w:val="0"/>
        <w:spacing w:line="360" w:lineRule="auto"/>
        <w:ind w:firstLineChars="200" w:firstLine="480"/>
        <w:rPr>
          <w:rFonts w:ascii="宋体" w:hAnsi="宋体"/>
          <w:bCs/>
          <w:sz w:val="24"/>
        </w:rPr>
      </w:pPr>
      <w:r>
        <w:rPr>
          <w:rFonts w:ascii="宋体" w:hAnsi="宋体" w:hint="eastAsia"/>
          <w:bCs/>
          <w:sz w:val="24"/>
        </w:rPr>
        <w:t>对于每份基金份额，第一个运作期起始日为基金合同生效日（对认购份额而言）或基金份额申购确认日（对申购份额而言）；第一个运作期到期日为基金合同生效日（对认购份额而言）或基金份额申购申请日（对申购份额而言）后的第90天（如该日为非工作日则顺延至下一工作日）。</w:t>
      </w:r>
    </w:p>
    <w:p w:rsidR="00617516" w:rsidRDefault="00617516" w:rsidP="00617516">
      <w:pPr>
        <w:adjustRightInd w:val="0"/>
        <w:snapToGrid w:val="0"/>
        <w:spacing w:line="360" w:lineRule="auto"/>
        <w:ind w:firstLineChars="200" w:firstLine="480"/>
        <w:rPr>
          <w:rFonts w:ascii="宋体" w:hAnsi="宋体"/>
          <w:bCs/>
          <w:sz w:val="24"/>
        </w:rPr>
      </w:pPr>
      <w:r>
        <w:rPr>
          <w:rFonts w:ascii="宋体" w:hAnsi="宋体" w:hint="eastAsia"/>
          <w:bCs/>
          <w:sz w:val="24"/>
        </w:rPr>
        <w:t>对于第一个运作期到期日未赎回或转换转出（或赎回/转换转出被确认失败）的每份基金份额而言，其第二个运作期起始日为第一个运作期到期日的次一日，其第二个运作期到期日为基金合同生效日（对认购份额而言）或基金份额申购申请日（对申购份额而言）后的第180天（如该日为非工作日则顺延至下一工作日），以此类推。</w:t>
      </w:r>
    </w:p>
    <w:p w:rsidR="00617516" w:rsidRDefault="00617516" w:rsidP="00617516">
      <w:pPr>
        <w:adjustRightInd w:val="0"/>
        <w:snapToGrid w:val="0"/>
        <w:spacing w:line="360" w:lineRule="auto"/>
        <w:ind w:firstLineChars="200" w:firstLine="480"/>
        <w:rPr>
          <w:rFonts w:ascii="宋体" w:hAnsi="宋体"/>
          <w:bCs/>
          <w:sz w:val="24"/>
        </w:rPr>
      </w:pPr>
      <w:r>
        <w:rPr>
          <w:rFonts w:ascii="宋体" w:hAnsi="宋体" w:hint="eastAsia"/>
          <w:bCs/>
          <w:sz w:val="24"/>
        </w:rPr>
        <w:t>2、每个运作期到期日，基金份额持有人可提出赎回或转换转出申请</w:t>
      </w:r>
    </w:p>
    <w:p w:rsidR="00617516" w:rsidRDefault="00617516" w:rsidP="00617516">
      <w:pPr>
        <w:adjustRightInd w:val="0"/>
        <w:snapToGrid w:val="0"/>
        <w:spacing w:line="360" w:lineRule="auto"/>
        <w:ind w:firstLineChars="200" w:firstLine="480"/>
        <w:rPr>
          <w:rFonts w:ascii="宋体" w:hAnsi="宋体"/>
          <w:bCs/>
          <w:sz w:val="24"/>
        </w:rPr>
      </w:pPr>
      <w:r>
        <w:rPr>
          <w:rFonts w:ascii="宋体" w:hAnsi="宋体" w:hint="eastAsia"/>
          <w:bCs/>
          <w:sz w:val="24"/>
        </w:rPr>
        <w:t>基金管理人仅在该基金份额的每个运作期到期日为基金份额持有人办理赎回或转换转出业务。如果基金份额持有人在当期运作期到期日未申请赎回或转换转出（或赎回/转换转出被确认失败），则自该运作期到期日次一日起，该基金份额进入下一个运作期。</w:t>
      </w:r>
    </w:p>
    <w:p w:rsidR="00CA468C" w:rsidRDefault="00617516">
      <w:pPr>
        <w:adjustRightInd w:val="0"/>
        <w:snapToGrid w:val="0"/>
        <w:spacing w:line="360" w:lineRule="auto"/>
        <w:ind w:firstLineChars="200" w:firstLine="480"/>
        <w:rPr>
          <w:rFonts w:ascii="宋体" w:hAnsi="宋体"/>
          <w:sz w:val="24"/>
        </w:rPr>
      </w:pPr>
      <w:r>
        <w:rPr>
          <w:rFonts w:hint="eastAsia"/>
          <w:bCs/>
          <w:sz w:val="24"/>
        </w:rPr>
        <w:t>如发生不可抗力或其他情形致使基金无法按时开放或需依据基金合同暂停申购与赎回业务的，基金管理人有权合理调整申购或赎回业务的办理期间并予以公告。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（四）基金份额发售面值和认购价格</w:t>
      </w:r>
    </w:p>
    <w:p w:rsidR="00CA468C" w:rsidRDefault="00CE40AF">
      <w:pPr>
        <w:pStyle w:val="20"/>
        <w:adjustRightInd w:val="0"/>
        <w:snapToGrid w:val="0"/>
        <w:ind w:firstLine="480"/>
        <w:rPr>
          <w:sz w:val="24"/>
        </w:rPr>
      </w:pPr>
      <w:r>
        <w:rPr>
          <w:sz w:val="24"/>
        </w:rPr>
        <w:t>本基金基金份额发售面值为人民币</w:t>
      </w:r>
      <w:r>
        <w:rPr>
          <w:rFonts w:ascii="Times New Roman" w:hAnsi="Times New Roman"/>
          <w:kern w:val="2"/>
          <w:sz w:val="24"/>
          <w:szCs w:val="24"/>
        </w:rPr>
        <w:t>1.00</w:t>
      </w:r>
      <w:r>
        <w:rPr>
          <w:sz w:val="24"/>
        </w:rPr>
        <w:t>元</w:t>
      </w:r>
      <w:r>
        <w:rPr>
          <w:rFonts w:hint="eastAsia"/>
          <w:sz w:val="24"/>
        </w:rPr>
        <w:t>；</w:t>
      </w:r>
    </w:p>
    <w:p w:rsidR="00CA468C" w:rsidRDefault="00CE40AF">
      <w:pPr>
        <w:adjustRightInd w:val="0"/>
        <w:snapToGrid w:val="0"/>
        <w:spacing w:line="360" w:lineRule="auto"/>
        <w:ind w:firstLineChars="200" w:firstLine="480"/>
        <w:rPr>
          <w:rFonts w:ascii="宋体" w:hAnsi="宋体"/>
          <w:sz w:val="24"/>
        </w:rPr>
      </w:pPr>
      <w:r>
        <w:rPr>
          <w:rFonts w:hint="eastAsia"/>
          <w:sz w:val="24"/>
        </w:rPr>
        <w:t>本基金认购价格为人民币</w:t>
      </w:r>
      <w:r>
        <w:rPr>
          <w:rFonts w:hint="eastAsia"/>
          <w:sz w:val="24"/>
        </w:rPr>
        <w:t>1.00</w:t>
      </w:r>
      <w:r>
        <w:rPr>
          <w:rFonts w:hint="eastAsia"/>
          <w:sz w:val="24"/>
        </w:rPr>
        <w:t>元</w:t>
      </w:r>
      <w:r>
        <w:rPr>
          <w:rFonts w:hint="eastAsia"/>
          <w:sz w:val="24"/>
        </w:rPr>
        <w:t>/</w:t>
      </w:r>
      <w:r>
        <w:rPr>
          <w:rFonts w:hint="eastAsia"/>
          <w:sz w:val="24"/>
        </w:rPr>
        <w:t>份。</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（五）基金份额的类别</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本基金将基金份额分为A类和C类两类不同的类别。在投资人认购、申购基金份额时收取认购、申购费用而不从本类别基金资产中计提销售服务费的，称为A类基金份额；在投资人认购、申购基金份额时不收取认购、申购费用，而是从本类别基金资产中计提销售服务费的，称为C类基金份额。</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本基金A类、C类基金份额分别设置代码。由于基金费用的不同，本基金各类基金份额将分别计算和公告基金份额净值。</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根据基金销售情况，在符合法律法规规定和基金合同约定且不损害已有基金份额持有人权益的情况下，基金管理人在履行适当程序后可以增加新的基金份额类别，或者在法律法规和基金合同规定的范围内变更现有基金份额类别的申购费率、调低赎回费率、调低销售服务费率、变更收费方式、停止现有基金份额类别的销售等，基金管理人需在调整实施前及时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投资人在认购、申购基金份额时可自行选择基金份额类别。</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（六）基金存续期限</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不定期。</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（七）募集</w:t>
      </w:r>
      <w:r>
        <w:rPr>
          <w:rFonts w:ascii="宋体" w:hAnsi="宋体"/>
          <w:sz w:val="24"/>
        </w:rPr>
        <w:t>方式</w:t>
      </w:r>
    </w:p>
    <w:p w:rsidR="00CA468C" w:rsidRDefault="00CE40AF">
      <w:pPr>
        <w:pStyle w:val="20"/>
        <w:adjustRightInd w:val="0"/>
        <w:snapToGrid w:val="0"/>
        <w:ind w:firstLine="480"/>
        <w:rPr>
          <w:sz w:val="24"/>
        </w:rPr>
      </w:pPr>
      <w:r>
        <w:rPr>
          <w:rFonts w:hint="eastAsia"/>
          <w:sz w:val="24"/>
        </w:rPr>
        <w:t>本基金将通过各销售机构的基金销售网点公开发售或按基金管理人、销售机构提供的其他方式公开发售。本基金认购采取全额缴款认购的方式。基金投资人在募集期内可多次认购，认购申请一经受理不得撤销。</w:t>
      </w:r>
    </w:p>
    <w:p w:rsidR="00CA468C" w:rsidRDefault="00CE40AF">
      <w:pPr>
        <w:pStyle w:val="20"/>
        <w:adjustRightInd w:val="0"/>
        <w:snapToGrid w:val="0"/>
        <w:ind w:firstLine="480"/>
        <w:rPr>
          <w:sz w:val="24"/>
        </w:rPr>
      </w:pPr>
      <w:r>
        <w:rPr>
          <w:rFonts w:hint="eastAsia"/>
          <w:sz w:val="24"/>
        </w:rPr>
        <w:t>（八）募集期限</w:t>
      </w:r>
    </w:p>
    <w:p w:rsidR="00CA468C" w:rsidRDefault="00CE40AF">
      <w:pPr>
        <w:pStyle w:val="20"/>
        <w:adjustRightInd w:val="0"/>
        <w:snapToGrid w:val="0"/>
        <w:ind w:firstLine="480"/>
        <w:rPr>
          <w:rFonts w:ascii="Times New Roman" w:hAnsi="Times New Roman"/>
          <w:kern w:val="2"/>
          <w:sz w:val="24"/>
          <w:szCs w:val="24"/>
        </w:rPr>
      </w:pPr>
      <w:r>
        <w:rPr>
          <w:rFonts w:ascii="Times New Roman" w:hAnsi="Times New Roman" w:hint="eastAsia"/>
          <w:kern w:val="2"/>
          <w:sz w:val="24"/>
          <w:szCs w:val="24"/>
        </w:rPr>
        <w:t>本基金募集期限自基金份额发售之日起不超过三个月。</w:t>
      </w:r>
    </w:p>
    <w:p w:rsidR="00CA468C" w:rsidRDefault="00CE40AF">
      <w:pPr>
        <w:adjustRightInd w:val="0"/>
        <w:snapToGrid w:val="0"/>
        <w:spacing w:line="360" w:lineRule="auto"/>
        <w:ind w:firstLineChars="200" w:firstLine="480"/>
        <w:rPr>
          <w:sz w:val="24"/>
        </w:rPr>
      </w:pPr>
      <w:r>
        <w:rPr>
          <w:rFonts w:hint="eastAsia"/>
          <w:sz w:val="24"/>
        </w:rPr>
        <w:t>本基金自</w:t>
      </w:r>
      <w:r w:rsidR="00617516">
        <w:rPr>
          <w:rFonts w:hint="eastAsia"/>
          <w:sz w:val="24"/>
        </w:rPr>
        <w:t>202</w:t>
      </w:r>
      <w:r w:rsidR="00617516">
        <w:rPr>
          <w:sz w:val="24"/>
        </w:rPr>
        <w:t>5</w:t>
      </w:r>
      <w:r>
        <w:rPr>
          <w:rFonts w:hint="eastAsia"/>
          <w:sz w:val="24"/>
        </w:rPr>
        <w:t>年</w:t>
      </w:r>
      <w:r w:rsidR="00282E79">
        <w:rPr>
          <w:sz w:val="24"/>
        </w:rPr>
        <w:t>4</w:t>
      </w:r>
      <w:r>
        <w:rPr>
          <w:rFonts w:hint="eastAsia"/>
          <w:sz w:val="24"/>
        </w:rPr>
        <w:t>月</w:t>
      </w:r>
      <w:r w:rsidR="00282E79">
        <w:rPr>
          <w:sz w:val="24"/>
        </w:rPr>
        <w:t>1</w:t>
      </w:r>
      <w:r>
        <w:rPr>
          <w:rFonts w:hint="eastAsia"/>
          <w:sz w:val="24"/>
        </w:rPr>
        <w:t>日至</w:t>
      </w:r>
      <w:r w:rsidR="00617516">
        <w:rPr>
          <w:rFonts w:hint="eastAsia"/>
          <w:sz w:val="24"/>
        </w:rPr>
        <w:t>202</w:t>
      </w:r>
      <w:r w:rsidR="00617516">
        <w:rPr>
          <w:sz w:val="24"/>
        </w:rPr>
        <w:t>5</w:t>
      </w:r>
      <w:r>
        <w:rPr>
          <w:rFonts w:hint="eastAsia"/>
          <w:sz w:val="24"/>
        </w:rPr>
        <w:t>年</w:t>
      </w:r>
      <w:r w:rsidR="00282E79">
        <w:rPr>
          <w:sz w:val="24"/>
        </w:rPr>
        <w:t>4</w:t>
      </w:r>
      <w:r>
        <w:rPr>
          <w:rFonts w:hint="eastAsia"/>
          <w:sz w:val="24"/>
        </w:rPr>
        <w:t>月</w:t>
      </w:r>
      <w:r w:rsidR="00282E79">
        <w:rPr>
          <w:sz w:val="24"/>
        </w:rPr>
        <w:t>10</w:t>
      </w:r>
      <w:r>
        <w:rPr>
          <w:rFonts w:hint="eastAsia"/>
          <w:sz w:val="24"/>
        </w:rPr>
        <w:t>日进行发售。如果在此期间届满时未达到本基金基金合同第五部分第一条规定的基金备案条件，基金可在募集期限内继续销售。基金管理人也可根据基金销售情况，在符合相关法律法规的情况下，在募集期限内调整基金发售时间，并及时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（九）募集对象</w:t>
      </w:r>
    </w:p>
    <w:p w:rsidR="00CA468C" w:rsidRDefault="00CE40AF">
      <w:pPr>
        <w:pStyle w:val="20"/>
        <w:adjustRightInd w:val="0"/>
        <w:snapToGrid w:val="0"/>
        <w:ind w:firstLine="480"/>
        <w:rPr>
          <w:bCs/>
          <w:sz w:val="24"/>
        </w:rPr>
      </w:pPr>
      <w:r>
        <w:rPr>
          <w:rFonts w:hint="eastAsia"/>
          <w:bCs/>
          <w:sz w:val="24"/>
        </w:rPr>
        <w:t>符合法律法规规定的可投资于证券投资基金的个人投资者、机构投资者、合格境外投资者以及法律法规或中国证监会允许购买证券投资基金的其他投资人。</w:t>
      </w:r>
    </w:p>
    <w:p w:rsidR="00CA468C" w:rsidRDefault="00CE40AF">
      <w:pPr>
        <w:adjustRightInd w:val="0"/>
        <w:snapToGrid w:val="0"/>
        <w:spacing w:line="360" w:lineRule="auto"/>
        <w:ind w:firstLineChars="200" w:firstLine="480"/>
        <w:rPr>
          <w:rFonts w:ascii="宋体" w:hAnsi="宋体"/>
          <w:bCs/>
          <w:sz w:val="24"/>
        </w:rPr>
      </w:pPr>
      <w:r>
        <w:rPr>
          <w:rFonts w:hint="eastAsia"/>
          <w:bCs/>
          <w:sz w:val="24"/>
        </w:rPr>
        <w:t>本基金暂不向金融机构自营账户销售（基金管理人自有资金除外），如未来本基金开放向金融机构自营账户公开发售或对发售对象的范围予以进一步限定，基金管理人将另行公告。金融机构自营账户的具体范围以基金管理人认定为准</w:t>
      </w:r>
      <w:r>
        <w:rPr>
          <w:rFonts w:ascii="宋体" w:hAnsi="宋体" w:hint="eastAsia"/>
          <w:bCs/>
          <w:sz w:val="24"/>
        </w:rPr>
        <w:t>。</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bCs/>
          <w:sz w:val="24"/>
        </w:rPr>
        <w:t>为保护基金份额持有人利益，基金管理人基于投资运作与风险控制的需要，可以拒绝全部或部分特定投资者的认购、申购申请，具体以基金管理人确认结果为准。</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bCs/>
          <w:sz w:val="24"/>
        </w:rPr>
        <w:t>（十）募集场所</w:t>
      </w:r>
    </w:p>
    <w:p w:rsidR="00CA468C" w:rsidRDefault="00CE40AF">
      <w:pPr>
        <w:pStyle w:val="20"/>
        <w:adjustRightInd w:val="0"/>
        <w:snapToGrid w:val="0"/>
        <w:ind w:firstLine="480"/>
        <w:rPr>
          <w:sz w:val="24"/>
        </w:rPr>
      </w:pPr>
      <w:r>
        <w:rPr>
          <w:rFonts w:hint="eastAsia"/>
          <w:sz w:val="24"/>
        </w:rPr>
        <w:t>在基金募集期内，本基金将通过基金管理人的直销中心、网上直销交易系统及其他基金销售机构</w:t>
      </w:r>
      <w:r w:rsidR="00336702">
        <w:rPr>
          <w:rFonts w:hint="eastAsia"/>
          <w:sz w:val="24"/>
        </w:rPr>
        <w:t>的销售网点</w:t>
      </w:r>
      <w:r>
        <w:rPr>
          <w:rFonts w:hint="eastAsia"/>
          <w:sz w:val="24"/>
        </w:rPr>
        <w:t>公开发售（具体名单详见招募说明书、本发售公告“一、基金认购的基本情况”之“（十三）销售机构”以及基金管理人网站公示）。直销中心办理业务时以其相关规则为准。</w:t>
      </w:r>
    </w:p>
    <w:p w:rsidR="00CA468C" w:rsidRDefault="00CE40AF">
      <w:pPr>
        <w:pStyle w:val="20"/>
        <w:adjustRightInd w:val="0"/>
        <w:snapToGrid w:val="0"/>
        <w:ind w:firstLine="480"/>
        <w:rPr>
          <w:sz w:val="24"/>
        </w:rPr>
      </w:pPr>
      <w:r>
        <w:rPr>
          <w:rFonts w:hint="eastAsia"/>
          <w:sz w:val="24"/>
        </w:rPr>
        <w:t>基金管理人可以根据情况变更、增减销售机构，并在基金管理人网站公示。</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（十一）基金的最低募集份额总额和金额</w:t>
      </w:r>
    </w:p>
    <w:p w:rsidR="00CA468C" w:rsidRDefault="00CE40AF">
      <w:pPr>
        <w:pStyle w:val="20"/>
        <w:adjustRightInd w:val="0"/>
        <w:snapToGrid w:val="0"/>
        <w:ind w:firstLine="480"/>
        <w:rPr>
          <w:sz w:val="24"/>
        </w:rPr>
      </w:pPr>
      <w:r>
        <w:rPr>
          <w:rFonts w:hint="eastAsia"/>
          <w:sz w:val="24"/>
        </w:rPr>
        <w:t>本基金募集份额总额不少于2亿份，募集金额总额不少于2亿元人民币。</w:t>
      </w:r>
    </w:p>
    <w:p w:rsidR="00CA468C" w:rsidRDefault="00CE40AF">
      <w:pPr>
        <w:adjustRightInd w:val="0"/>
        <w:snapToGrid w:val="0"/>
        <w:spacing w:line="360" w:lineRule="auto"/>
        <w:ind w:firstLineChars="200" w:firstLine="480"/>
        <w:rPr>
          <w:rFonts w:ascii="宋体" w:hAnsi="宋体" w:cs="宋体"/>
          <w:color w:val="000000"/>
          <w:kern w:val="0"/>
          <w:sz w:val="24"/>
        </w:rPr>
      </w:pPr>
      <w:r>
        <w:rPr>
          <w:rFonts w:hint="eastAsia"/>
          <w:sz w:val="24"/>
        </w:rPr>
        <w:t>基金管理人可根据基金发售情况对本基金的发售进行规模控制，具体规定见基金管理人届时发布的公告。</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（十二）投资人对基金份额的认购</w:t>
      </w:r>
    </w:p>
    <w:p w:rsidR="00CA468C" w:rsidRDefault="00CE40AF">
      <w:pPr>
        <w:adjustRightInd w:val="0"/>
        <w:snapToGrid w:val="0"/>
        <w:spacing w:line="360" w:lineRule="auto"/>
        <w:ind w:firstLineChars="200" w:firstLine="480"/>
        <w:rPr>
          <w:rFonts w:ascii="宋体" w:hAnsi="宋体" w:cs="宋体"/>
          <w:kern w:val="0"/>
          <w:sz w:val="24"/>
        </w:rPr>
      </w:pPr>
      <w:r>
        <w:rPr>
          <w:rFonts w:ascii="宋体" w:hAnsi="宋体"/>
          <w:sz w:val="24"/>
        </w:rPr>
        <w:t>1</w:t>
      </w:r>
      <w:r>
        <w:rPr>
          <w:rFonts w:ascii="宋体" w:hAnsi="宋体" w:hint="eastAsia"/>
          <w:sz w:val="24"/>
        </w:rPr>
        <w:t>、认购时间安排：</w:t>
      </w:r>
    </w:p>
    <w:p w:rsidR="00CA468C" w:rsidRDefault="00CE40AF">
      <w:pPr>
        <w:pStyle w:val="20"/>
        <w:adjustRightInd w:val="0"/>
        <w:snapToGrid w:val="0"/>
        <w:ind w:firstLine="480"/>
        <w:rPr>
          <w:sz w:val="24"/>
        </w:rPr>
      </w:pPr>
      <w:r>
        <w:rPr>
          <w:rFonts w:hint="eastAsia"/>
          <w:sz w:val="24"/>
        </w:rPr>
        <w:t>本基金认购时间为</w:t>
      </w:r>
      <w:r w:rsidR="00617516">
        <w:rPr>
          <w:rFonts w:hint="eastAsia"/>
          <w:sz w:val="24"/>
        </w:rPr>
        <w:t>202</w:t>
      </w:r>
      <w:r w:rsidR="00617516">
        <w:rPr>
          <w:sz w:val="24"/>
        </w:rPr>
        <w:t>5</w:t>
      </w:r>
      <w:r>
        <w:rPr>
          <w:rFonts w:hint="eastAsia"/>
          <w:sz w:val="24"/>
        </w:rPr>
        <w:t>年</w:t>
      </w:r>
      <w:r w:rsidR="00282E79">
        <w:rPr>
          <w:sz w:val="24"/>
        </w:rPr>
        <w:t>4</w:t>
      </w:r>
      <w:r>
        <w:rPr>
          <w:rFonts w:hint="eastAsia"/>
          <w:sz w:val="24"/>
        </w:rPr>
        <w:t>月</w:t>
      </w:r>
      <w:r w:rsidR="00282E79">
        <w:rPr>
          <w:sz w:val="24"/>
        </w:rPr>
        <w:t>1</w:t>
      </w:r>
      <w:r>
        <w:rPr>
          <w:rFonts w:hint="eastAsia"/>
          <w:sz w:val="24"/>
        </w:rPr>
        <w:t>日至</w:t>
      </w:r>
      <w:r w:rsidR="00617516">
        <w:rPr>
          <w:rFonts w:hint="eastAsia"/>
          <w:sz w:val="24"/>
        </w:rPr>
        <w:t>202</w:t>
      </w:r>
      <w:r w:rsidR="00617516">
        <w:rPr>
          <w:sz w:val="24"/>
        </w:rPr>
        <w:t>5</w:t>
      </w:r>
      <w:r>
        <w:rPr>
          <w:rFonts w:hint="eastAsia"/>
          <w:sz w:val="24"/>
        </w:rPr>
        <w:t>年</w:t>
      </w:r>
      <w:r w:rsidR="00282E79">
        <w:rPr>
          <w:sz w:val="24"/>
        </w:rPr>
        <w:t>4</w:t>
      </w:r>
      <w:r>
        <w:rPr>
          <w:rFonts w:hint="eastAsia"/>
          <w:sz w:val="24"/>
        </w:rPr>
        <w:t>月</w:t>
      </w:r>
      <w:r w:rsidR="00282E79">
        <w:rPr>
          <w:sz w:val="24"/>
        </w:rPr>
        <w:t>10</w:t>
      </w:r>
      <w:r>
        <w:rPr>
          <w:rFonts w:hint="eastAsia"/>
          <w:sz w:val="24"/>
        </w:rPr>
        <w:t>日。如遇突发事件，发售时间可适当调整，并进行公告。</w:t>
      </w:r>
    </w:p>
    <w:p w:rsidR="00CA468C" w:rsidRDefault="00CE40AF">
      <w:pPr>
        <w:pStyle w:val="20"/>
        <w:adjustRightInd w:val="0"/>
        <w:snapToGrid w:val="0"/>
        <w:ind w:firstLine="480"/>
        <w:rPr>
          <w:sz w:val="24"/>
        </w:rPr>
      </w:pPr>
      <w:r>
        <w:rPr>
          <w:rFonts w:hint="eastAsia"/>
          <w:sz w:val="24"/>
        </w:rPr>
        <w:t>各个销售机构在本基金发售募集期内对于</w:t>
      </w:r>
      <w:r w:rsidR="00336702">
        <w:rPr>
          <w:rFonts w:hint="eastAsia"/>
          <w:sz w:val="24"/>
        </w:rPr>
        <w:t>不同类型</w:t>
      </w:r>
      <w:r>
        <w:rPr>
          <w:rFonts w:hint="eastAsia"/>
          <w:sz w:val="24"/>
        </w:rPr>
        <w:t>投资者的具体业务办理时间可能不同，若本发售公告没有明确规定，则由各销售机构自行决定每天的业务办理时间。</w:t>
      </w:r>
    </w:p>
    <w:p w:rsidR="00CA468C" w:rsidRDefault="00CE40AF">
      <w:pPr>
        <w:pStyle w:val="20"/>
        <w:adjustRightInd w:val="0"/>
        <w:snapToGrid w:val="0"/>
        <w:ind w:firstLine="480"/>
        <w:rPr>
          <w:sz w:val="24"/>
        </w:rPr>
      </w:pPr>
      <w:r>
        <w:rPr>
          <w:rFonts w:hint="eastAsia"/>
          <w:sz w:val="24"/>
        </w:rPr>
        <w:t>根据法律法规的规定与基金合同的约定，如果基金募集达到基金备案条件，基金合同自基金管理人办理完毕基金备案手续并取得中国证监会书面确认之日起生效。如果未达到前述条件，基金可在上述定明的募集期限内继续销售，直到达到条件并经备案后宣布基金合同生效。基金管理人可根据募集情况，在符合相关法律法规的情况下，在募集期限内调整本基金的发售时间，但最长不超过法定募集期限并及时公告。</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认购原则：</w:t>
      </w:r>
    </w:p>
    <w:p w:rsidR="00CA468C" w:rsidRDefault="00CE40AF">
      <w:pPr>
        <w:pStyle w:val="20"/>
        <w:adjustRightInd w:val="0"/>
        <w:snapToGrid w:val="0"/>
        <w:ind w:firstLine="480"/>
        <w:rPr>
          <w:sz w:val="24"/>
        </w:rPr>
      </w:pPr>
      <w:r>
        <w:rPr>
          <w:rFonts w:hint="eastAsia"/>
          <w:sz w:val="24"/>
        </w:rPr>
        <w:t>（1）基金认购采用“金额认购、份额确认”的方式；</w:t>
      </w:r>
    </w:p>
    <w:p w:rsidR="00CA468C" w:rsidRDefault="00CE40AF">
      <w:pPr>
        <w:pStyle w:val="20"/>
        <w:adjustRightInd w:val="0"/>
        <w:snapToGrid w:val="0"/>
        <w:ind w:firstLine="480"/>
        <w:rPr>
          <w:sz w:val="24"/>
        </w:rPr>
      </w:pPr>
      <w:r>
        <w:rPr>
          <w:rFonts w:hint="eastAsia"/>
          <w:sz w:val="24"/>
        </w:rPr>
        <w:t>（2）投资人认购时，需按销售机构规定的方式全额缴款；</w:t>
      </w:r>
    </w:p>
    <w:p w:rsidR="00CA468C" w:rsidRDefault="00CE40AF">
      <w:pPr>
        <w:pStyle w:val="20"/>
        <w:adjustRightInd w:val="0"/>
        <w:snapToGrid w:val="0"/>
        <w:ind w:firstLine="480"/>
        <w:rPr>
          <w:sz w:val="24"/>
        </w:rPr>
      </w:pPr>
      <w:r>
        <w:rPr>
          <w:rFonts w:hint="eastAsia"/>
          <w:sz w:val="24"/>
        </w:rPr>
        <w:t>（3）投资人在募集期内可以多次认购基金份额，但</w:t>
      </w:r>
      <w:r>
        <w:rPr>
          <w:rFonts w:hint="eastAsia"/>
          <w:bCs/>
          <w:sz w:val="24"/>
        </w:rPr>
        <w:t>已受理的认购申请不允许撤销，A类基金份额的</w:t>
      </w:r>
      <w:r>
        <w:rPr>
          <w:rFonts w:hint="eastAsia"/>
          <w:sz w:val="24"/>
        </w:rPr>
        <w:t>认购费率按每笔</w:t>
      </w:r>
      <w:r>
        <w:rPr>
          <w:rFonts w:hint="eastAsia"/>
          <w:bCs/>
          <w:sz w:val="24"/>
        </w:rPr>
        <w:t>A类基金份额的</w:t>
      </w:r>
      <w:r>
        <w:rPr>
          <w:rFonts w:hint="eastAsia"/>
          <w:sz w:val="24"/>
        </w:rPr>
        <w:t>认购申请单独计算；</w:t>
      </w:r>
    </w:p>
    <w:p w:rsidR="00CA468C" w:rsidRDefault="00CE40AF">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）认购期间本基金</w:t>
      </w:r>
      <w:r>
        <w:rPr>
          <w:sz w:val="24"/>
        </w:rPr>
        <w:t>管理人有权</w:t>
      </w:r>
      <w:r>
        <w:rPr>
          <w:rFonts w:hint="eastAsia"/>
          <w:sz w:val="24"/>
        </w:rPr>
        <w:t>对单个投资人的累计认购规模设置上限，且需满足本基金关于募集上限和基金备案条件的相关规定。</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bCs/>
          <w:sz w:val="24"/>
        </w:rPr>
        <w:t>3、认购限额：</w:t>
      </w:r>
    </w:p>
    <w:p w:rsidR="00CA468C" w:rsidRDefault="00CE40AF">
      <w:pPr>
        <w:adjustRightInd w:val="0"/>
        <w:snapToGrid w:val="0"/>
        <w:spacing w:line="360" w:lineRule="auto"/>
        <w:ind w:firstLineChars="200" w:firstLine="480"/>
        <w:rPr>
          <w:rFonts w:ascii="宋体" w:hAnsi="宋体"/>
          <w:kern w:val="0"/>
          <w:sz w:val="24"/>
          <w:szCs w:val="20"/>
        </w:rPr>
      </w:pPr>
      <w:r>
        <w:rPr>
          <w:rFonts w:hint="eastAsia"/>
          <w:sz w:val="24"/>
        </w:rPr>
        <w:t>在本基金销售机构的销售网点及网上直销交易系统进行认购时，投资人以金额申请，每个基金账户首笔认购的最低金额为人民币</w:t>
      </w:r>
      <w:r>
        <w:rPr>
          <w:rFonts w:hint="eastAsia"/>
          <w:sz w:val="24"/>
        </w:rPr>
        <w:t>1</w:t>
      </w:r>
      <w:r>
        <w:rPr>
          <w:rFonts w:hint="eastAsia"/>
          <w:sz w:val="24"/>
        </w:rPr>
        <w:t>元，每笔追加认购的最低金额为人民币</w:t>
      </w:r>
      <w:r>
        <w:rPr>
          <w:sz w:val="24"/>
        </w:rPr>
        <w:t>1</w:t>
      </w:r>
      <w:r>
        <w:rPr>
          <w:rFonts w:hint="eastAsia"/>
          <w:sz w:val="24"/>
        </w:rPr>
        <w:t>元。直销中心办理业务时以其相关规则为准。基金管理人直销机构或各销售机构对最低认购限额及交易级差另有规定的，从其规定，但不得低于上述最低认购金额。基金管理人可根据市场情况，调整本基金首笔认购和每笔追加认购的最低金额</w:t>
      </w:r>
      <w:r>
        <w:rPr>
          <w:rFonts w:ascii="宋体" w:hAnsi="宋体" w:hint="eastAsia"/>
          <w:kern w:val="0"/>
          <w:sz w:val="24"/>
          <w:szCs w:val="20"/>
        </w:rPr>
        <w:t>。</w:t>
      </w:r>
    </w:p>
    <w:p w:rsidR="00CA468C" w:rsidRDefault="00CE40AF">
      <w:pPr>
        <w:adjustRightInd w:val="0"/>
        <w:snapToGrid w:val="0"/>
        <w:spacing w:line="360" w:lineRule="auto"/>
        <w:ind w:firstLineChars="200" w:firstLine="480"/>
        <w:rPr>
          <w:rFonts w:ascii="宋体" w:hAnsi="宋体"/>
          <w:kern w:val="0"/>
          <w:sz w:val="24"/>
          <w:szCs w:val="20"/>
        </w:rPr>
      </w:pPr>
      <w:r>
        <w:rPr>
          <w:rFonts w:hint="eastAsia"/>
          <w:sz w:val="24"/>
        </w:rPr>
        <w:t>本基金单一投资人单日认购金额不超过</w:t>
      </w:r>
      <w:r>
        <w:rPr>
          <w:rFonts w:hint="eastAsia"/>
          <w:sz w:val="24"/>
        </w:rPr>
        <w:t>1000</w:t>
      </w:r>
      <w:r>
        <w:rPr>
          <w:rFonts w:hint="eastAsia"/>
          <w:sz w:val="24"/>
        </w:rPr>
        <w:t>万元（个人投资者、公募资产管理产品、职业年金、企业年金计划、养老金产品和基金管理人自有资金除外）。基金管理人可以调整单一投资人单日认购金额上限，具体规定请参见本发售公告或相关公告，公募资产管理产品、职业年金、企业年金计划、养老金产品的具体范围以基金管理人认定为准</w:t>
      </w:r>
      <w:r>
        <w:rPr>
          <w:rFonts w:ascii="宋体" w:hAnsi="宋体" w:hint="eastAsia"/>
          <w:kern w:val="0"/>
          <w:sz w:val="24"/>
          <w:szCs w:val="20"/>
        </w:rPr>
        <w:t>。</w:t>
      </w:r>
    </w:p>
    <w:p w:rsidR="00CA468C" w:rsidRDefault="00CE40AF">
      <w:pPr>
        <w:adjustRightInd w:val="0"/>
        <w:snapToGrid w:val="0"/>
        <w:spacing w:line="360" w:lineRule="auto"/>
        <w:ind w:firstLineChars="200" w:firstLine="480"/>
        <w:rPr>
          <w:rFonts w:ascii="宋体" w:hAnsi="宋体"/>
          <w:kern w:val="0"/>
          <w:sz w:val="24"/>
          <w:szCs w:val="20"/>
        </w:rPr>
      </w:pPr>
      <w:r>
        <w:rPr>
          <w:rFonts w:ascii="宋体" w:hAnsi="宋体" w:hint="eastAsia"/>
          <w:kern w:val="0"/>
          <w:sz w:val="24"/>
          <w:szCs w:val="20"/>
        </w:rPr>
        <w:t>若超过1000万元，本基金管理人有权部分或全部拒绝本基金的认购申请。如单日某基金账户单笔认购本基金的金额超过1000万元，本基金有权确认该笔认购失败；如单日某基金账户多笔累计认购本基金的金额超过1000万元，本基金将按认购金额大小排序，对逐笔累加至符合不超过1000万元限额的申请确认成功，对其余申请有权确认失败。针对单笔认购业务申请，仅有确认和不予确认两种处理方式，不存在对单笔申请的部分确认。敬请投资者留意。</w:t>
      </w:r>
    </w:p>
    <w:p w:rsidR="00CA468C" w:rsidRDefault="00CE40AF">
      <w:pPr>
        <w:adjustRightInd w:val="0"/>
        <w:snapToGrid w:val="0"/>
        <w:spacing w:line="360" w:lineRule="auto"/>
        <w:ind w:firstLineChars="200" w:firstLine="480"/>
        <w:rPr>
          <w:rFonts w:ascii="宋体" w:hAnsi="宋体"/>
          <w:kern w:val="0"/>
          <w:sz w:val="24"/>
          <w:szCs w:val="20"/>
        </w:rPr>
      </w:pPr>
      <w:r>
        <w:rPr>
          <w:rFonts w:hint="eastAsia"/>
          <w:bCs/>
          <w:sz w:val="24"/>
        </w:rPr>
        <w:t>如果本基金单一投资人累计认购的基金份额数达到或者超过基金总份额的</w:t>
      </w:r>
      <w:r>
        <w:rPr>
          <w:rFonts w:hint="eastAsia"/>
          <w:bCs/>
          <w:sz w:val="24"/>
        </w:rPr>
        <w:t>50%</w:t>
      </w:r>
      <w:r>
        <w:rPr>
          <w:rFonts w:hint="eastAsia"/>
          <w:bCs/>
          <w:sz w:val="24"/>
        </w:rPr>
        <w:t>，基金管理人有权对该投资人的认购申请进行限制。基金管理人接受某笔或者某些认购申请有可能导致单一投资人持有基金份额的比例达到或者超过</w:t>
      </w:r>
      <w:r>
        <w:rPr>
          <w:rFonts w:hint="eastAsia"/>
          <w:bCs/>
          <w:sz w:val="24"/>
        </w:rPr>
        <w:t>50%</w:t>
      </w:r>
      <w:r>
        <w:rPr>
          <w:rFonts w:hint="eastAsia"/>
          <w:bCs/>
          <w:sz w:val="24"/>
        </w:rPr>
        <w:t>，或者变相规避前述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比例要求的，基金管理人有权拒绝该等全部或者部分认购申请。投资人认购的基金份额数以基金合同生效后登记机构的确认结果为准</w:t>
      </w:r>
      <w:r>
        <w:rPr>
          <w:rFonts w:ascii="宋体" w:hAnsi="宋体" w:hint="eastAsia"/>
          <w:kern w:val="0"/>
          <w:sz w:val="24"/>
          <w:szCs w:val="20"/>
        </w:rPr>
        <w:t>。</w:t>
      </w:r>
    </w:p>
    <w:p w:rsidR="00CA468C" w:rsidRDefault="00CE40AF">
      <w:pPr>
        <w:adjustRightInd w:val="0"/>
        <w:snapToGrid w:val="0"/>
        <w:spacing w:line="360" w:lineRule="auto"/>
        <w:ind w:firstLineChars="200" w:firstLine="480"/>
        <w:rPr>
          <w:sz w:val="24"/>
        </w:rPr>
      </w:pPr>
      <w:r>
        <w:rPr>
          <w:rFonts w:hint="eastAsia"/>
          <w:sz w:val="24"/>
        </w:rPr>
        <w:t>基金管理人可根据基金发售情况对本基金的发售进行规模控制，具体规定见基金管理人届时发布的公告。</w:t>
      </w:r>
    </w:p>
    <w:p w:rsidR="00CA468C" w:rsidRDefault="00CE40AF">
      <w:pPr>
        <w:adjustRightInd w:val="0"/>
        <w:snapToGrid w:val="0"/>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w:t>
      </w:r>
      <w:r>
        <w:rPr>
          <w:rFonts w:hint="eastAsia"/>
          <w:sz w:val="24"/>
        </w:rPr>
        <w:t>销售机构认购业务的办理网点、办理日期和时间等事项参照各销售机构的具体规定。</w:t>
      </w:r>
    </w:p>
    <w:p w:rsidR="00CA468C" w:rsidRDefault="00CE40AF">
      <w:pPr>
        <w:adjustRightInd w:val="0"/>
        <w:snapToGrid w:val="0"/>
        <w:spacing w:line="360" w:lineRule="auto"/>
        <w:ind w:firstLineChars="200" w:firstLine="480"/>
        <w:rPr>
          <w:sz w:val="24"/>
        </w:rPr>
      </w:pPr>
      <w:r>
        <w:rPr>
          <w:rFonts w:ascii="宋体" w:hAnsi="宋体"/>
          <w:bCs/>
          <w:sz w:val="24"/>
        </w:rPr>
        <w:t>5</w:t>
      </w:r>
      <w:r>
        <w:rPr>
          <w:rFonts w:ascii="宋体" w:hAnsi="宋体" w:hint="eastAsia"/>
          <w:bCs/>
          <w:sz w:val="24"/>
        </w:rPr>
        <w:t>、</w:t>
      </w:r>
      <w:r>
        <w:rPr>
          <w:rFonts w:hint="eastAsia"/>
          <w:sz w:val="24"/>
        </w:rPr>
        <w:t>投资人认购应提交的文件和办理的手续：</w:t>
      </w:r>
    </w:p>
    <w:p w:rsidR="00CA468C" w:rsidRDefault="00CE40AF">
      <w:pPr>
        <w:pStyle w:val="20"/>
        <w:adjustRightInd w:val="0"/>
        <w:snapToGrid w:val="0"/>
        <w:ind w:firstLine="480"/>
        <w:rPr>
          <w:sz w:val="24"/>
        </w:rPr>
      </w:pPr>
      <w:r>
        <w:rPr>
          <w:rFonts w:hint="eastAsia"/>
          <w:sz w:val="24"/>
        </w:rPr>
        <w:t>投资人认购本基金应首先办理开户手续，开立基金账户（已开立银华基金管理股份有限公司基金账户的投资人无需重新开户），然后办理基金认购手续，本基金发售期内，本基金直销机构和其他销售机构的销售网点同时为投资人办理开立基金账户的手续。投资人的开户和认购申请可同时办理。</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bCs/>
          <w:sz w:val="24"/>
        </w:rPr>
        <w:t>除法律法规另有规定外，一个投资人只能开设和使用一个本公司基金账户。</w:t>
      </w:r>
    </w:p>
    <w:p w:rsidR="00CA468C" w:rsidRDefault="00CE40AF">
      <w:pPr>
        <w:adjustRightInd w:val="0"/>
        <w:snapToGrid w:val="0"/>
        <w:spacing w:line="360" w:lineRule="auto"/>
        <w:ind w:firstLineChars="200" w:firstLine="480"/>
        <w:rPr>
          <w:rFonts w:ascii="宋体" w:hAnsi="宋体"/>
          <w:bCs/>
          <w:sz w:val="24"/>
        </w:rPr>
      </w:pPr>
      <w:r>
        <w:rPr>
          <w:rFonts w:ascii="宋体" w:hAnsi="宋体" w:hint="eastAsia"/>
          <w:bCs/>
          <w:sz w:val="24"/>
        </w:rPr>
        <w:t>（十三）销售机构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1、直销机构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银华基金管理</w:t>
      </w:r>
      <w:r>
        <w:rPr>
          <w:rFonts w:ascii="宋体" w:hAnsi="宋体" w:hint="eastAsia"/>
          <w:sz w:val="24"/>
        </w:rPr>
        <w:t>股份</w:t>
      </w:r>
      <w:r>
        <w:rPr>
          <w:rFonts w:ascii="宋体" w:hAnsi="宋体"/>
          <w:sz w:val="24"/>
        </w:rPr>
        <w:t>有限公司</w:t>
      </w:r>
      <w:r>
        <w:rPr>
          <w:rFonts w:ascii="宋体" w:hAnsi="宋体" w:hint="eastAsia"/>
          <w:sz w:val="24"/>
        </w:rPr>
        <w:t>北京</w:t>
      </w:r>
      <w:r>
        <w:rPr>
          <w:rFonts w:ascii="宋体" w:hAnsi="宋体"/>
          <w:sz w:val="24"/>
        </w:rPr>
        <w:t>直销中心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2705"/>
        <w:gridCol w:w="1093"/>
        <w:gridCol w:w="3403"/>
      </w:tblGrid>
      <w:tr w:rsidR="00CA468C">
        <w:tc>
          <w:tcPr>
            <w:tcW w:w="1021" w:type="dxa"/>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地址</w:t>
            </w:r>
          </w:p>
        </w:tc>
        <w:tc>
          <w:tcPr>
            <w:tcW w:w="7201" w:type="dxa"/>
            <w:gridSpan w:val="3"/>
            <w:vAlign w:val="center"/>
          </w:tcPr>
          <w:p w:rsidR="00CA468C" w:rsidRDefault="00CE40AF" w:rsidP="003E6F3D">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北京市东城区东长安街1号东方广场东方经贸城C2办公楼</w:t>
            </w:r>
            <w:r w:rsidR="003E6F3D">
              <w:rPr>
                <w:rFonts w:ascii="宋体" w:hAnsi="宋体" w:cs="宋体"/>
                <w:color w:val="000000"/>
                <w:kern w:val="0"/>
                <w:sz w:val="24"/>
              </w:rPr>
              <w:t>3</w:t>
            </w:r>
            <w:r>
              <w:rPr>
                <w:rFonts w:ascii="宋体" w:hAnsi="宋体" w:cs="宋体" w:hint="eastAsia"/>
                <w:color w:val="000000"/>
                <w:kern w:val="0"/>
                <w:sz w:val="24"/>
              </w:rPr>
              <w:t>层</w:t>
            </w:r>
          </w:p>
        </w:tc>
      </w:tr>
      <w:tr w:rsidR="00CA468C">
        <w:tc>
          <w:tcPr>
            <w:tcW w:w="1021" w:type="dxa"/>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电话</w:t>
            </w:r>
          </w:p>
        </w:tc>
        <w:tc>
          <w:tcPr>
            <w:tcW w:w="2705" w:type="dxa"/>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010-58162950</w:t>
            </w:r>
          </w:p>
        </w:tc>
        <w:tc>
          <w:tcPr>
            <w:tcW w:w="1093" w:type="dxa"/>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传真</w:t>
            </w:r>
          </w:p>
        </w:tc>
        <w:tc>
          <w:tcPr>
            <w:tcW w:w="3403" w:type="dxa"/>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010-58162951</w:t>
            </w:r>
          </w:p>
        </w:tc>
      </w:tr>
      <w:tr w:rsidR="00CA468C">
        <w:tc>
          <w:tcPr>
            <w:tcW w:w="1021" w:type="dxa"/>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联系人</w:t>
            </w:r>
          </w:p>
        </w:tc>
        <w:tc>
          <w:tcPr>
            <w:tcW w:w="7201" w:type="dxa"/>
            <w:gridSpan w:val="3"/>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展璐</w:t>
            </w:r>
          </w:p>
        </w:tc>
      </w:tr>
    </w:tbl>
    <w:p w:rsidR="00CA468C" w:rsidRDefault="00CE40AF" w:rsidP="009921C9">
      <w:pPr>
        <w:adjustRightInd w:val="0"/>
        <w:snapToGrid w:val="0"/>
        <w:spacing w:beforeLines="50" w:line="312" w:lineRule="auto"/>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银华基金管理股份有限公司网上直销交易系统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6521"/>
      </w:tblGrid>
      <w:tr w:rsidR="00CA468C">
        <w:tc>
          <w:tcPr>
            <w:tcW w:w="1701" w:type="dxa"/>
          </w:tcPr>
          <w:p w:rsidR="00CA468C" w:rsidRDefault="00CE40AF">
            <w:pPr>
              <w:widowControl/>
              <w:spacing w:line="360" w:lineRule="auto"/>
              <w:jc w:val="left"/>
              <w:rPr>
                <w:rFonts w:ascii="宋体" w:hAnsi="宋体" w:cs="宋体"/>
                <w:color w:val="000000"/>
                <w:kern w:val="0"/>
                <w:sz w:val="24"/>
              </w:rPr>
            </w:pPr>
            <w:r>
              <w:rPr>
                <w:rFonts w:ascii="宋体" w:hAnsi="宋体" w:hint="eastAsia"/>
                <w:sz w:val="24"/>
              </w:rPr>
              <w:t>网上交易网址</w:t>
            </w:r>
          </w:p>
        </w:tc>
        <w:tc>
          <w:tcPr>
            <w:tcW w:w="6521" w:type="dxa"/>
          </w:tcPr>
          <w:p w:rsidR="00CA468C" w:rsidRDefault="00CE40AF">
            <w:pPr>
              <w:widowControl/>
              <w:spacing w:line="360" w:lineRule="auto"/>
              <w:jc w:val="left"/>
              <w:rPr>
                <w:rFonts w:ascii="宋体" w:hAnsi="宋体" w:cs="宋体"/>
                <w:color w:val="000000"/>
                <w:kern w:val="0"/>
                <w:sz w:val="24"/>
              </w:rPr>
            </w:pPr>
            <w:r>
              <w:rPr>
                <w:rFonts w:ascii="宋体" w:hAnsi="宋体" w:hint="eastAsia"/>
                <w:sz w:val="24"/>
              </w:rPr>
              <w:t>https://trade.yhfund.com.cn/yhxntrade</w:t>
            </w:r>
          </w:p>
        </w:tc>
      </w:tr>
      <w:tr w:rsidR="00CA468C">
        <w:tc>
          <w:tcPr>
            <w:tcW w:w="1701" w:type="dxa"/>
          </w:tcPr>
          <w:p w:rsidR="00CA468C" w:rsidRDefault="00CE40AF">
            <w:pPr>
              <w:widowControl/>
              <w:spacing w:line="360" w:lineRule="auto"/>
              <w:jc w:val="left"/>
              <w:rPr>
                <w:rFonts w:ascii="宋体" w:hAnsi="宋体" w:cs="宋体"/>
                <w:color w:val="000000"/>
                <w:kern w:val="0"/>
                <w:sz w:val="24"/>
              </w:rPr>
            </w:pPr>
            <w:r>
              <w:rPr>
                <w:rFonts w:ascii="宋体" w:hAnsi="宋体" w:hint="eastAsia"/>
                <w:sz w:val="24"/>
              </w:rPr>
              <w:t>移动端站点</w:t>
            </w:r>
          </w:p>
        </w:tc>
        <w:tc>
          <w:tcPr>
            <w:tcW w:w="6521" w:type="dxa"/>
          </w:tcPr>
          <w:p w:rsidR="00CA468C" w:rsidRDefault="00CE40AF">
            <w:pPr>
              <w:widowControl/>
              <w:spacing w:line="360" w:lineRule="auto"/>
              <w:jc w:val="left"/>
              <w:rPr>
                <w:rFonts w:ascii="宋体" w:hAnsi="宋体" w:cs="宋体"/>
                <w:color w:val="000000"/>
                <w:kern w:val="0"/>
                <w:sz w:val="24"/>
              </w:rPr>
            </w:pPr>
            <w:r>
              <w:rPr>
                <w:rFonts w:ascii="宋体" w:hAnsi="宋体" w:hint="eastAsia"/>
                <w:sz w:val="24"/>
              </w:rPr>
              <w:t>请到本公司官方网站或各大移动应用市场下载“银华生利宝”手机APP或关注“银华基金”官方微信</w:t>
            </w:r>
            <w:r w:rsidR="003D799A">
              <w:rPr>
                <w:rFonts w:ascii="宋体" w:hAnsi="宋体" w:hint="eastAsia"/>
                <w:sz w:val="24"/>
              </w:rPr>
              <w:t>公众号</w:t>
            </w:r>
          </w:p>
        </w:tc>
      </w:tr>
      <w:tr w:rsidR="00CA468C">
        <w:tc>
          <w:tcPr>
            <w:tcW w:w="1701" w:type="dxa"/>
          </w:tcPr>
          <w:p w:rsidR="00CA468C" w:rsidRDefault="00CE40AF">
            <w:pPr>
              <w:widowControl/>
              <w:spacing w:line="360" w:lineRule="auto"/>
              <w:jc w:val="left"/>
              <w:rPr>
                <w:rFonts w:ascii="宋体" w:hAnsi="宋体" w:cs="宋体"/>
                <w:color w:val="000000"/>
                <w:kern w:val="0"/>
                <w:sz w:val="24"/>
              </w:rPr>
            </w:pPr>
            <w:r>
              <w:rPr>
                <w:rFonts w:ascii="宋体" w:hAnsi="宋体" w:hint="eastAsia"/>
                <w:sz w:val="24"/>
              </w:rPr>
              <w:t>客户服务电话</w:t>
            </w:r>
          </w:p>
        </w:tc>
        <w:tc>
          <w:tcPr>
            <w:tcW w:w="6521" w:type="dxa"/>
          </w:tcPr>
          <w:p w:rsidR="00CA468C" w:rsidRDefault="00CE40AF">
            <w:pPr>
              <w:widowControl/>
              <w:spacing w:line="360" w:lineRule="auto"/>
              <w:jc w:val="left"/>
              <w:rPr>
                <w:rFonts w:ascii="宋体" w:hAnsi="宋体" w:cs="宋体"/>
                <w:color w:val="000000"/>
                <w:kern w:val="0"/>
                <w:sz w:val="24"/>
              </w:rPr>
            </w:pPr>
            <w:r>
              <w:rPr>
                <w:rFonts w:ascii="宋体" w:hAnsi="宋体"/>
                <w:sz w:val="24"/>
              </w:rPr>
              <w:t>010-85186558,4006783333</w:t>
            </w:r>
          </w:p>
        </w:tc>
      </w:tr>
    </w:tbl>
    <w:p w:rsidR="00CA468C" w:rsidRDefault="00CE40A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投资人可以通过基金管理人网上直销交易系统办理本基金的开户和认购手续，具体交易细则请参阅基金管理人网站公告。网址：www.yhfund.com.cn。</w:t>
      </w:r>
    </w:p>
    <w:p w:rsidR="00CA468C" w:rsidRDefault="00CE40A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2、其他销售机构（以下排名不分先后）</w:t>
      </w:r>
    </w:p>
    <w:p w:rsidR="00E877CD" w:rsidRDefault="005C0E96">
      <w:pPr>
        <w:adjustRightInd w:val="0"/>
        <w:snapToGrid w:val="0"/>
        <w:spacing w:line="360" w:lineRule="auto"/>
        <w:ind w:firstLineChars="200" w:firstLine="480"/>
        <w:rPr>
          <w:rFonts w:ascii="宋体" w:hAnsi="宋体"/>
          <w:sz w:val="24"/>
        </w:rPr>
      </w:pPr>
      <w:r w:rsidRPr="005C0E96">
        <w:rPr>
          <w:rFonts w:ascii="宋体" w:hAnsi="宋体" w:hint="eastAsia"/>
          <w:sz w:val="24"/>
        </w:rPr>
        <w:t>蚂蚁（杭州）基金销售有限公司、上海好买基金销售有限公司、上海天天基金销售有限公司、珠海盈米基金销售有限公司、京东肯特瑞基金销售有限公司、南京苏宁基金销售有限公司、北京雪球基金销售有限公司、浙江同花顺基金销售有限公司、北京度小满基金销售有限</w:t>
      </w:r>
      <w:r>
        <w:rPr>
          <w:rFonts w:ascii="宋体" w:hAnsi="宋体" w:hint="eastAsia"/>
          <w:sz w:val="24"/>
        </w:rPr>
        <w:t>公司、上海万得基金销售有限公司、腾安基金销售（深圳）有限公司、北京新浪仓石基金销售有限公司、</w:t>
      </w:r>
      <w:r w:rsidRPr="005C0E96">
        <w:rPr>
          <w:rFonts w:ascii="宋体" w:hAnsi="宋体" w:hint="eastAsia"/>
          <w:sz w:val="24"/>
        </w:rPr>
        <w:t>玄元保险代理有限公司、上海挖财基金销售有限公司、东方财富证券股份有限公司、上海华夏财富投资管理有限公司、上海大智慧基金销售有限公司</w:t>
      </w:r>
      <w:r>
        <w:rPr>
          <w:rFonts w:ascii="宋体" w:hAnsi="宋体" w:hint="eastAsia"/>
          <w:sz w:val="24"/>
        </w:rPr>
        <w:t>、</w:t>
      </w:r>
      <w:bookmarkStart w:id="2" w:name="_GoBack"/>
      <w:bookmarkEnd w:id="2"/>
      <w:r w:rsidR="00E877CD">
        <w:rPr>
          <w:rFonts w:ascii="宋体" w:hAnsi="宋体"/>
          <w:sz w:val="24"/>
        </w:rPr>
        <w:t>上海浦东发展银行股份有限公司</w:t>
      </w:r>
    </w:p>
    <w:p w:rsidR="00CA468C" w:rsidRDefault="00CE40A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本基金各类基金份额的具体销售情况请参照各销售机构的具体规定。</w:t>
      </w:r>
    </w:p>
    <w:p w:rsidR="00CA468C" w:rsidRDefault="00CE40A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根据《中华人民共和国证券投资基金法》、《公开募集证券投资基金运作管理办法》、《公开募集证券投资基金销售机构监督管理办法》和《基金合同》等的规定，选择其他符合要求的机构销售本基金，并在基金</w:t>
      </w:r>
      <w:r>
        <w:rPr>
          <w:rFonts w:ascii="宋体" w:hAnsi="宋体" w:cs="宋体"/>
          <w:color w:val="000000"/>
          <w:kern w:val="0"/>
          <w:sz w:val="24"/>
        </w:rPr>
        <w:t>管理人网站公示</w:t>
      </w:r>
      <w:r>
        <w:rPr>
          <w:rFonts w:ascii="宋体" w:hAnsi="宋体" w:cs="宋体" w:hint="eastAsia"/>
          <w:color w:val="000000"/>
          <w:kern w:val="0"/>
          <w:sz w:val="24"/>
        </w:rPr>
        <w:t>。</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（十四）基金的存续</w:t>
      </w:r>
    </w:p>
    <w:p w:rsidR="00CA468C" w:rsidRDefault="00CE40AF" w:rsidP="00617516">
      <w:pPr>
        <w:adjustRightInd w:val="0"/>
        <w:snapToGrid w:val="0"/>
        <w:spacing w:line="360" w:lineRule="auto"/>
        <w:ind w:firstLineChars="200" w:firstLine="480"/>
        <w:rPr>
          <w:rFonts w:ascii="宋体" w:hAnsi="宋体"/>
          <w:bCs/>
          <w:color w:val="000000"/>
          <w:kern w:val="0"/>
          <w:sz w:val="24"/>
        </w:rPr>
      </w:pPr>
      <w:r>
        <w:rPr>
          <w:rFonts w:ascii="宋体" w:hAnsi="宋体"/>
          <w:bCs/>
          <w:sz w:val="24"/>
        </w:rPr>
        <w:t>不定期</w:t>
      </w:r>
      <w:r>
        <w:rPr>
          <w:rFonts w:ascii="宋体" w:hAnsi="宋体" w:hint="eastAsia"/>
          <w:bCs/>
          <w:sz w:val="24"/>
        </w:rPr>
        <w:t>。</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（十五）基金的认购费用</w:t>
      </w:r>
    </w:p>
    <w:p w:rsidR="00CA468C" w:rsidRDefault="00CE40AF">
      <w:pPr>
        <w:pStyle w:val="20"/>
        <w:adjustRightInd w:val="0"/>
        <w:snapToGrid w:val="0"/>
        <w:ind w:firstLine="480"/>
        <w:rPr>
          <w:sz w:val="24"/>
        </w:rPr>
      </w:pPr>
      <w:r>
        <w:rPr>
          <w:rFonts w:hint="eastAsia"/>
          <w:sz w:val="24"/>
        </w:rPr>
        <w:t>本基金的A类基金份额在认购时收取认购费用，C类基金份额不收取认购费用。</w:t>
      </w:r>
    </w:p>
    <w:p w:rsidR="00CA468C" w:rsidRDefault="00CE40AF">
      <w:pPr>
        <w:pStyle w:val="20"/>
        <w:adjustRightInd w:val="0"/>
        <w:snapToGrid w:val="0"/>
        <w:ind w:firstLine="480"/>
        <w:rPr>
          <w:sz w:val="24"/>
        </w:rPr>
      </w:pPr>
      <w:r>
        <w:rPr>
          <w:rFonts w:hint="eastAsia"/>
          <w:sz w:val="24"/>
        </w:rPr>
        <w:t>投资人认购本基金A类基金份额时所适用认购费率如下表所示：</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257"/>
        <w:gridCol w:w="3696"/>
        <w:gridCol w:w="2552"/>
      </w:tblGrid>
      <w:tr w:rsidR="00CA468C">
        <w:trPr>
          <w:trHeight w:val="285"/>
          <w:jc w:val="center"/>
        </w:trPr>
        <w:tc>
          <w:tcPr>
            <w:tcW w:w="1257" w:type="dxa"/>
            <w:vMerge w:val="restart"/>
            <w:tcMar>
              <w:top w:w="15" w:type="dxa"/>
              <w:left w:w="15" w:type="dxa"/>
              <w:bottom w:w="0" w:type="dxa"/>
              <w:right w:w="15" w:type="dxa"/>
            </w:tcMar>
            <w:vAlign w:val="center"/>
          </w:tcPr>
          <w:p w:rsidR="00CA468C" w:rsidRDefault="00CE40AF">
            <w:pPr>
              <w:pStyle w:val="080318"/>
              <w:adjustRightInd/>
              <w:snapToGrid/>
              <w:ind w:firstLineChars="0" w:firstLine="0"/>
              <w:jc w:val="center"/>
              <w:rPr>
                <w:rFonts w:hAnsi="宋体"/>
                <w:b/>
                <w:sz w:val="24"/>
                <w:szCs w:val="24"/>
              </w:rPr>
            </w:pPr>
            <w:r>
              <w:rPr>
                <w:rFonts w:hAnsi="宋体" w:hint="eastAsia"/>
                <w:b/>
                <w:sz w:val="24"/>
                <w:szCs w:val="24"/>
              </w:rPr>
              <w:t>A类基金份额认购费率</w:t>
            </w:r>
          </w:p>
        </w:tc>
        <w:tc>
          <w:tcPr>
            <w:tcW w:w="3696" w:type="dxa"/>
            <w:tcMar>
              <w:top w:w="15" w:type="dxa"/>
              <w:left w:w="15" w:type="dxa"/>
              <w:bottom w:w="0" w:type="dxa"/>
              <w:right w:w="15" w:type="dxa"/>
            </w:tcMar>
            <w:vAlign w:val="center"/>
          </w:tcPr>
          <w:p w:rsidR="00CA468C" w:rsidRDefault="00CE40AF">
            <w:pPr>
              <w:widowControl/>
              <w:spacing w:line="360" w:lineRule="auto"/>
              <w:jc w:val="center"/>
              <w:rPr>
                <w:rFonts w:ascii="宋体" w:hAnsi="宋体"/>
                <w:b/>
                <w:kern w:val="0"/>
                <w:sz w:val="24"/>
              </w:rPr>
            </w:pPr>
            <w:r>
              <w:rPr>
                <w:rFonts w:ascii="宋体" w:hAnsi="宋体" w:hint="eastAsia"/>
                <w:b/>
                <w:sz w:val="24"/>
              </w:rPr>
              <w:t>认购金额（M,含认购费）</w:t>
            </w:r>
          </w:p>
        </w:tc>
        <w:tc>
          <w:tcPr>
            <w:tcW w:w="2552" w:type="dxa"/>
            <w:vAlign w:val="center"/>
          </w:tcPr>
          <w:p w:rsidR="00CA468C" w:rsidRDefault="00CE40AF">
            <w:pPr>
              <w:widowControl/>
              <w:spacing w:line="360" w:lineRule="auto"/>
              <w:jc w:val="center"/>
              <w:rPr>
                <w:rFonts w:ascii="宋体" w:hAnsi="宋体"/>
                <w:b/>
                <w:kern w:val="0"/>
                <w:sz w:val="24"/>
              </w:rPr>
            </w:pPr>
            <w:r>
              <w:rPr>
                <w:rFonts w:ascii="宋体" w:hAnsi="宋体" w:hint="eastAsia"/>
                <w:b/>
                <w:kern w:val="0"/>
                <w:sz w:val="24"/>
              </w:rPr>
              <w:t>认购费率</w:t>
            </w:r>
          </w:p>
        </w:tc>
      </w:tr>
      <w:tr w:rsidR="00CA468C">
        <w:trPr>
          <w:trHeight w:val="268"/>
          <w:jc w:val="center"/>
        </w:trPr>
        <w:tc>
          <w:tcPr>
            <w:tcW w:w="1257" w:type="dxa"/>
            <w:vMerge/>
            <w:tcMar>
              <w:top w:w="15" w:type="dxa"/>
              <w:left w:w="15" w:type="dxa"/>
              <w:bottom w:w="0" w:type="dxa"/>
              <w:right w:w="15" w:type="dxa"/>
            </w:tcMar>
            <w:vAlign w:val="center"/>
          </w:tcPr>
          <w:p w:rsidR="00CA468C" w:rsidRDefault="00CA468C">
            <w:pPr>
              <w:autoSpaceDE w:val="0"/>
              <w:autoSpaceDN w:val="0"/>
              <w:spacing w:line="360" w:lineRule="auto"/>
              <w:jc w:val="center"/>
              <w:rPr>
                <w:rFonts w:ascii="宋体" w:hAnsi="宋体" w:cs="宋体"/>
                <w:b/>
                <w:sz w:val="24"/>
                <w:lang w:val="zh-CN"/>
              </w:rPr>
            </w:pPr>
          </w:p>
        </w:tc>
        <w:tc>
          <w:tcPr>
            <w:tcW w:w="3696" w:type="dxa"/>
            <w:tcMar>
              <w:top w:w="15" w:type="dxa"/>
              <w:left w:w="15" w:type="dxa"/>
              <w:bottom w:w="0" w:type="dxa"/>
              <w:right w:w="15" w:type="dxa"/>
            </w:tcMar>
            <w:vAlign w:val="center"/>
          </w:tcPr>
          <w:p w:rsidR="00CA468C" w:rsidRDefault="00CE40AF">
            <w:pPr>
              <w:spacing w:line="360" w:lineRule="auto"/>
              <w:ind w:leftChars="-7" w:left="2" w:hangingChars="7" w:hanging="17"/>
              <w:jc w:val="center"/>
              <w:rPr>
                <w:rFonts w:ascii="宋体" w:hAnsi="宋体"/>
                <w:sz w:val="24"/>
              </w:rPr>
            </w:pPr>
            <w:r>
              <w:rPr>
                <w:rFonts w:ascii="宋体" w:hAnsi="宋体" w:hint="eastAsia"/>
                <w:sz w:val="24"/>
              </w:rPr>
              <w:t>M＜</w:t>
            </w:r>
            <w:r>
              <w:rPr>
                <w:rFonts w:ascii="宋体" w:hAnsi="宋体"/>
                <w:sz w:val="24"/>
              </w:rPr>
              <w:t>100</w:t>
            </w:r>
            <w:r>
              <w:rPr>
                <w:rFonts w:ascii="宋体" w:hAnsi="宋体" w:hint="eastAsia"/>
                <w:sz w:val="24"/>
              </w:rPr>
              <w:t>万元</w:t>
            </w:r>
          </w:p>
        </w:tc>
        <w:tc>
          <w:tcPr>
            <w:tcW w:w="2552" w:type="dxa"/>
            <w:vAlign w:val="center"/>
          </w:tcPr>
          <w:p w:rsidR="00CA468C" w:rsidRDefault="00CE40AF">
            <w:pPr>
              <w:spacing w:line="360" w:lineRule="auto"/>
              <w:ind w:leftChars="-7" w:left="2" w:hangingChars="7" w:hanging="17"/>
              <w:jc w:val="center"/>
              <w:rPr>
                <w:rFonts w:ascii="宋体" w:hAnsi="宋体"/>
                <w:sz w:val="24"/>
              </w:rPr>
            </w:pPr>
            <w:r>
              <w:rPr>
                <w:rFonts w:ascii="宋体" w:hAnsi="宋体"/>
                <w:sz w:val="24"/>
              </w:rPr>
              <w:t>0.30</w:t>
            </w:r>
            <w:r>
              <w:rPr>
                <w:rFonts w:ascii="宋体" w:hAnsi="宋体" w:hint="eastAsia"/>
                <w:sz w:val="24"/>
              </w:rPr>
              <w:t>%</w:t>
            </w:r>
          </w:p>
        </w:tc>
      </w:tr>
      <w:tr w:rsidR="00CA468C">
        <w:trPr>
          <w:trHeight w:val="45"/>
          <w:jc w:val="center"/>
        </w:trPr>
        <w:tc>
          <w:tcPr>
            <w:tcW w:w="1257" w:type="dxa"/>
            <w:vMerge/>
            <w:tcMar>
              <w:top w:w="15" w:type="dxa"/>
              <w:left w:w="15" w:type="dxa"/>
              <w:bottom w:w="0" w:type="dxa"/>
              <w:right w:w="15" w:type="dxa"/>
            </w:tcMar>
            <w:vAlign w:val="center"/>
          </w:tcPr>
          <w:p w:rsidR="00CA468C" w:rsidRDefault="00CA468C">
            <w:pPr>
              <w:autoSpaceDE w:val="0"/>
              <w:autoSpaceDN w:val="0"/>
              <w:spacing w:line="360" w:lineRule="auto"/>
              <w:jc w:val="center"/>
              <w:rPr>
                <w:rFonts w:ascii="宋体" w:hAnsi="宋体" w:cs="宋体"/>
                <w:b/>
                <w:sz w:val="24"/>
                <w:lang w:val="zh-CN"/>
              </w:rPr>
            </w:pPr>
          </w:p>
        </w:tc>
        <w:tc>
          <w:tcPr>
            <w:tcW w:w="3696" w:type="dxa"/>
            <w:tcMar>
              <w:top w:w="15" w:type="dxa"/>
              <w:left w:w="15" w:type="dxa"/>
              <w:bottom w:w="0" w:type="dxa"/>
              <w:right w:w="15" w:type="dxa"/>
            </w:tcMar>
            <w:vAlign w:val="center"/>
          </w:tcPr>
          <w:p w:rsidR="00CA468C" w:rsidRDefault="00CE40AF">
            <w:pPr>
              <w:spacing w:line="360" w:lineRule="auto"/>
              <w:ind w:leftChars="-7" w:left="2" w:hangingChars="7" w:hanging="17"/>
              <w:jc w:val="center"/>
              <w:rPr>
                <w:rFonts w:ascii="宋体" w:hAnsi="宋体"/>
                <w:sz w:val="24"/>
              </w:rPr>
            </w:pPr>
            <w:r>
              <w:rPr>
                <w:rFonts w:ascii="宋体" w:hAnsi="宋体" w:hint="eastAsia"/>
                <w:sz w:val="24"/>
              </w:rPr>
              <w:t>100万元≤M＜</w:t>
            </w:r>
            <w:r>
              <w:rPr>
                <w:rFonts w:ascii="宋体" w:hAnsi="宋体"/>
                <w:sz w:val="24"/>
              </w:rPr>
              <w:t>5</w:t>
            </w:r>
            <w:r>
              <w:rPr>
                <w:rFonts w:ascii="宋体" w:hAnsi="宋体" w:hint="eastAsia"/>
                <w:sz w:val="24"/>
              </w:rPr>
              <w:t>00万元</w:t>
            </w:r>
          </w:p>
        </w:tc>
        <w:tc>
          <w:tcPr>
            <w:tcW w:w="2552" w:type="dxa"/>
            <w:vAlign w:val="center"/>
          </w:tcPr>
          <w:p w:rsidR="00CA468C" w:rsidRDefault="00CE40AF">
            <w:pPr>
              <w:spacing w:line="360" w:lineRule="auto"/>
              <w:ind w:leftChars="-7" w:left="2" w:hangingChars="7" w:hanging="17"/>
              <w:jc w:val="center"/>
              <w:rPr>
                <w:rFonts w:ascii="宋体" w:hAnsi="宋体"/>
                <w:sz w:val="24"/>
              </w:rPr>
            </w:pPr>
            <w:r>
              <w:rPr>
                <w:rFonts w:ascii="宋体" w:hAnsi="宋体"/>
                <w:sz w:val="24"/>
              </w:rPr>
              <w:t>0.1</w:t>
            </w:r>
            <w:r>
              <w:rPr>
                <w:rFonts w:ascii="宋体" w:hAnsi="宋体" w:hint="eastAsia"/>
                <w:sz w:val="24"/>
              </w:rPr>
              <w:t>0%</w:t>
            </w:r>
          </w:p>
        </w:tc>
      </w:tr>
      <w:tr w:rsidR="00CA468C">
        <w:trPr>
          <w:trHeight w:val="285"/>
          <w:jc w:val="center"/>
        </w:trPr>
        <w:tc>
          <w:tcPr>
            <w:tcW w:w="1257" w:type="dxa"/>
            <w:vMerge/>
            <w:tcMar>
              <w:top w:w="15" w:type="dxa"/>
              <w:left w:w="15" w:type="dxa"/>
              <w:bottom w:w="0" w:type="dxa"/>
              <w:right w:w="15" w:type="dxa"/>
            </w:tcMar>
            <w:vAlign w:val="center"/>
          </w:tcPr>
          <w:p w:rsidR="00CA468C" w:rsidRDefault="00CA468C">
            <w:pPr>
              <w:autoSpaceDE w:val="0"/>
              <w:autoSpaceDN w:val="0"/>
              <w:spacing w:line="360" w:lineRule="auto"/>
              <w:jc w:val="center"/>
              <w:rPr>
                <w:rFonts w:ascii="宋体" w:hAnsi="宋体" w:cs="宋体"/>
                <w:b/>
                <w:sz w:val="24"/>
                <w:lang w:val="zh-CN"/>
              </w:rPr>
            </w:pPr>
          </w:p>
        </w:tc>
        <w:tc>
          <w:tcPr>
            <w:tcW w:w="3696" w:type="dxa"/>
            <w:tcMar>
              <w:top w:w="15" w:type="dxa"/>
              <w:left w:w="15" w:type="dxa"/>
              <w:bottom w:w="0" w:type="dxa"/>
              <w:right w:w="15" w:type="dxa"/>
            </w:tcMar>
            <w:vAlign w:val="center"/>
          </w:tcPr>
          <w:p w:rsidR="00CA468C" w:rsidRDefault="00CE40AF">
            <w:pPr>
              <w:spacing w:line="360" w:lineRule="auto"/>
              <w:ind w:leftChars="-7" w:left="2" w:hangingChars="7" w:hanging="17"/>
              <w:jc w:val="center"/>
              <w:rPr>
                <w:rFonts w:ascii="宋体" w:hAnsi="宋体"/>
                <w:sz w:val="24"/>
              </w:rPr>
            </w:pPr>
            <w:r>
              <w:rPr>
                <w:rFonts w:ascii="宋体" w:hAnsi="宋体" w:hint="eastAsia"/>
                <w:sz w:val="24"/>
              </w:rPr>
              <w:t>M≥500万元</w:t>
            </w:r>
          </w:p>
        </w:tc>
        <w:tc>
          <w:tcPr>
            <w:tcW w:w="2552" w:type="dxa"/>
            <w:vAlign w:val="center"/>
          </w:tcPr>
          <w:p w:rsidR="00CA468C" w:rsidRDefault="00CE40AF">
            <w:pPr>
              <w:spacing w:line="360" w:lineRule="auto"/>
              <w:jc w:val="center"/>
              <w:rPr>
                <w:rFonts w:ascii="宋体" w:hAnsi="宋体"/>
                <w:kern w:val="0"/>
                <w:sz w:val="24"/>
              </w:rPr>
            </w:pPr>
            <w:r>
              <w:rPr>
                <w:rFonts w:ascii="宋体" w:hAnsi="宋体" w:hint="eastAsia"/>
                <w:kern w:val="0"/>
                <w:sz w:val="24"/>
              </w:rPr>
              <w:t>按笔收取，1,000元/笔</w:t>
            </w:r>
          </w:p>
        </w:tc>
      </w:tr>
    </w:tbl>
    <w:p w:rsidR="00CA468C" w:rsidRDefault="00CE40AF">
      <w:pPr>
        <w:pStyle w:val="20"/>
        <w:adjustRightInd w:val="0"/>
        <w:snapToGrid w:val="0"/>
        <w:ind w:firstLine="480"/>
        <w:rPr>
          <w:sz w:val="24"/>
        </w:rPr>
      </w:pPr>
      <w:r>
        <w:rPr>
          <w:rFonts w:hint="eastAsia"/>
          <w:sz w:val="24"/>
        </w:rPr>
        <w:t>如果基金管理人实行新的费率优惠政策时，以基金管理人届时的公告为准。</w:t>
      </w:r>
    </w:p>
    <w:p w:rsidR="00CA468C" w:rsidRDefault="00CE40AF">
      <w:pPr>
        <w:pStyle w:val="20"/>
        <w:adjustRightInd w:val="0"/>
        <w:snapToGrid w:val="0"/>
        <w:ind w:firstLine="480"/>
        <w:rPr>
          <w:sz w:val="24"/>
        </w:rPr>
      </w:pPr>
      <w:r>
        <w:rPr>
          <w:rFonts w:hint="eastAsia"/>
          <w:sz w:val="24"/>
        </w:rPr>
        <w:t>本基金</w:t>
      </w:r>
      <w:r w:rsidR="006722EE" w:rsidRPr="006722EE">
        <w:rPr>
          <w:rFonts w:hint="eastAsia"/>
          <w:sz w:val="24"/>
        </w:rPr>
        <w:t>A类基金份额</w:t>
      </w:r>
      <w:r>
        <w:rPr>
          <w:rFonts w:hint="eastAsia"/>
          <w:sz w:val="24"/>
        </w:rPr>
        <w:t>的认购费由提出认购本基金A类基金份额申请并成功确认的投资人承担。基金认购费用不列入基金财产，主要用于本基金的市场推广、销售、登记等募集期间发生的各项费用。募集期间发生的信息披露费、会计师费和律师费等各项费用，不从基金财产中列支。若投资人重复认购本基金A类基金份额时，需按单笔认购金额对应的认购费率分别计算认购费用。</w:t>
      </w:r>
    </w:p>
    <w:p w:rsidR="00CA468C" w:rsidRDefault="00CE40AF">
      <w:pPr>
        <w:pStyle w:val="20"/>
        <w:adjustRightInd w:val="0"/>
        <w:snapToGrid w:val="0"/>
        <w:ind w:firstLine="480"/>
        <w:rPr>
          <w:sz w:val="24"/>
          <w:szCs w:val="24"/>
        </w:rPr>
      </w:pPr>
      <w:r>
        <w:rPr>
          <w:rFonts w:hint="eastAsia"/>
          <w:sz w:val="24"/>
          <w:szCs w:val="24"/>
        </w:rPr>
        <w:t>（十六）认购份额的计算</w:t>
      </w:r>
    </w:p>
    <w:p w:rsidR="00CA468C" w:rsidRDefault="00CE40AF">
      <w:pPr>
        <w:pStyle w:val="20"/>
        <w:adjustRightInd w:val="0"/>
        <w:snapToGrid w:val="0"/>
        <w:ind w:firstLine="480"/>
        <w:rPr>
          <w:sz w:val="24"/>
        </w:rPr>
      </w:pPr>
      <w:r>
        <w:rPr>
          <w:rFonts w:hint="eastAsia"/>
          <w:sz w:val="24"/>
        </w:rPr>
        <w:t>认购份额计算结果保留到小数点后两位，小数点后两位以后的部分舍去，舍去部分所代表的资产归基金财产所有。</w:t>
      </w:r>
    </w:p>
    <w:p w:rsidR="00CA468C" w:rsidRDefault="00CE40AF">
      <w:pPr>
        <w:pStyle w:val="20"/>
        <w:adjustRightInd w:val="0"/>
        <w:snapToGrid w:val="0"/>
        <w:ind w:firstLine="480"/>
        <w:rPr>
          <w:sz w:val="24"/>
        </w:rPr>
      </w:pPr>
      <w:r>
        <w:rPr>
          <w:rFonts w:hint="eastAsia"/>
          <w:sz w:val="24"/>
        </w:rPr>
        <w:t>1、本基金认购A类基金份额的计算公式如下：</w:t>
      </w:r>
    </w:p>
    <w:p w:rsidR="00CA468C" w:rsidRDefault="00CE40AF">
      <w:pPr>
        <w:pStyle w:val="20"/>
        <w:adjustRightInd w:val="0"/>
        <w:snapToGrid w:val="0"/>
        <w:ind w:firstLine="480"/>
        <w:rPr>
          <w:sz w:val="24"/>
        </w:rPr>
      </w:pPr>
      <w:r>
        <w:rPr>
          <w:rFonts w:hint="eastAsia"/>
          <w:sz w:val="24"/>
        </w:rPr>
        <w:t>净认购金额=认购金额/（1＋认购费率）</w:t>
      </w:r>
    </w:p>
    <w:p w:rsidR="00CA468C" w:rsidRDefault="00CE40AF">
      <w:pPr>
        <w:pStyle w:val="20"/>
        <w:adjustRightInd w:val="0"/>
        <w:snapToGrid w:val="0"/>
        <w:ind w:firstLine="480"/>
        <w:rPr>
          <w:sz w:val="24"/>
        </w:rPr>
      </w:pPr>
      <w:r>
        <w:rPr>
          <w:rFonts w:hint="eastAsia"/>
          <w:sz w:val="24"/>
        </w:rPr>
        <w:t>（注：对于适用固定金额认购费的认购，净认购金额=认购金额-固定认购费金额）</w:t>
      </w:r>
    </w:p>
    <w:p w:rsidR="00CA468C" w:rsidRDefault="00CE40AF">
      <w:pPr>
        <w:pStyle w:val="20"/>
        <w:adjustRightInd w:val="0"/>
        <w:snapToGrid w:val="0"/>
        <w:ind w:firstLine="480"/>
        <w:rPr>
          <w:sz w:val="24"/>
        </w:rPr>
      </w:pPr>
      <w:r>
        <w:rPr>
          <w:rFonts w:hint="eastAsia"/>
          <w:sz w:val="24"/>
        </w:rPr>
        <w:t>认购费用=认购金额-净认购金额</w:t>
      </w:r>
    </w:p>
    <w:p w:rsidR="00CA468C" w:rsidRDefault="00CE40AF">
      <w:pPr>
        <w:pStyle w:val="20"/>
        <w:adjustRightInd w:val="0"/>
        <w:snapToGrid w:val="0"/>
        <w:ind w:firstLine="480"/>
        <w:rPr>
          <w:sz w:val="24"/>
        </w:rPr>
      </w:pPr>
      <w:r>
        <w:rPr>
          <w:rFonts w:hint="eastAsia"/>
          <w:sz w:val="24"/>
        </w:rPr>
        <w:t>（注：对于适用固定金额认购费的认购，认购费用=固定认购费金额）</w:t>
      </w:r>
    </w:p>
    <w:p w:rsidR="00CA468C" w:rsidRDefault="00CE40AF">
      <w:pPr>
        <w:pStyle w:val="20"/>
        <w:adjustRightInd w:val="0"/>
        <w:snapToGrid w:val="0"/>
        <w:ind w:firstLine="480"/>
        <w:rPr>
          <w:sz w:val="24"/>
        </w:rPr>
      </w:pPr>
      <w:r>
        <w:rPr>
          <w:rFonts w:hint="eastAsia"/>
          <w:sz w:val="24"/>
        </w:rPr>
        <w:t>认购份额=（净认购金额＋利息）/基金份额发售面值</w:t>
      </w:r>
    </w:p>
    <w:p w:rsidR="00617516" w:rsidRDefault="00617516" w:rsidP="00617516">
      <w:pPr>
        <w:pStyle w:val="20"/>
        <w:adjustRightInd w:val="0"/>
        <w:snapToGrid w:val="0"/>
        <w:ind w:firstLine="480"/>
        <w:rPr>
          <w:sz w:val="24"/>
        </w:rPr>
      </w:pPr>
      <w:r>
        <w:rPr>
          <w:rFonts w:hint="eastAsia"/>
          <w:sz w:val="24"/>
        </w:rPr>
        <w:t>例</w:t>
      </w:r>
      <w:r>
        <w:rPr>
          <w:sz w:val="24"/>
        </w:rPr>
        <w:t>1</w:t>
      </w:r>
      <w:r>
        <w:rPr>
          <w:rFonts w:hint="eastAsia"/>
          <w:sz w:val="24"/>
        </w:rPr>
        <w:t>：某投资人在认购期内投资</w:t>
      </w:r>
      <w:r>
        <w:rPr>
          <w:sz w:val="24"/>
        </w:rPr>
        <w:t>3</w:t>
      </w:r>
      <w:r>
        <w:rPr>
          <w:rFonts w:hint="eastAsia"/>
          <w:sz w:val="24"/>
        </w:rPr>
        <w:t>00,000.00元认购本基金A类</w:t>
      </w:r>
      <w:r>
        <w:rPr>
          <w:sz w:val="24"/>
        </w:rPr>
        <w:t>基金</w:t>
      </w:r>
      <w:r>
        <w:rPr>
          <w:rFonts w:hint="eastAsia"/>
          <w:sz w:val="24"/>
        </w:rPr>
        <w:t>份额，认购费率为</w:t>
      </w:r>
      <w:r>
        <w:rPr>
          <w:sz w:val="24"/>
        </w:rPr>
        <w:t>0.30</w:t>
      </w:r>
      <w:r>
        <w:rPr>
          <w:rFonts w:hint="eastAsia"/>
          <w:sz w:val="24"/>
        </w:rPr>
        <w:t>%，假设这</w:t>
      </w:r>
      <w:r>
        <w:rPr>
          <w:sz w:val="24"/>
        </w:rPr>
        <w:t>3</w:t>
      </w:r>
      <w:r>
        <w:rPr>
          <w:rFonts w:hint="eastAsia"/>
          <w:sz w:val="24"/>
        </w:rPr>
        <w:t>00,000.00元在认购期间产生的利息为90.00元，则其可得到的认购份额计算方法为：</w:t>
      </w:r>
    </w:p>
    <w:p w:rsidR="00617516" w:rsidRDefault="00617516" w:rsidP="00617516">
      <w:pPr>
        <w:pStyle w:val="20"/>
        <w:adjustRightInd w:val="0"/>
        <w:snapToGrid w:val="0"/>
        <w:ind w:firstLine="480"/>
        <w:rPr>
          <w:sz w:val="24"/>
        </w:rPr>
      </w:pPr>
      <w:r>
        <w:rPr>
          <w:rFonts w:hint="eastAsia"/>
          <w:sz w:val="24"/>
        </w:rPr>
        <w:t>净认购金额＝</w:t>
      </w:r>
      <w:r>
        <w:rPr>
          <w:sz w:val="24"/>
        </w:rPr>
        <w:t>3</w:t>
      </w:r>
      <w:r>
        <w:rPr>
          <w:rFonts w:hint="eastAsia"/>
          <w:sz w:val="24"/>
        </w:rPr>
        <w:t>00,000.00/（1＋</w:t>
      </w:r>
      <w:r>
        <w:rPr>
          <w:sz w:val="24"/>
        </w:rPr>
        <w:t>0.30</w:t>
      </w:r>
      <w:r>
        <w:rPr>
          <w:rFonts w:hint="eastAsia"/>
          <w:sz w:val="24"/>
        </w:rPr>
        <w:t>%）＝</w:t>
      </w:r>
      <w:r>
        <w:rPr>
          <w:sz w:val="24"/>
        </w:rPr>
        <w:t>299,102.69</w:t>
      </w:r>
      <w:r>
        <w:rPr>
          <w:rFonts w:hint="eastAsia"/>
          <w:sz w:val="24"/>
        </w:rPr>
        <w:t>元</w:t>
      </w:r>
    </w:p>
    <w:p w:rsidR="00617516" w:rsidRDefault="00617516" w:rsidP="00617516">
      <w:pPr>
        <w:pStyle w:val="20"/>
        <w:adjustRightInd w:val="0"/>
        <w:snapToGrid w:val="0"/>
        <w:ind w:firstLine="480"/>
        <w:rPr>
          <w:sz w:val="24"/>
        </w:rPr>
      </w:pPr>
      <w:r>
        <w:rPr>
          <w:rFonts w:hint="eastAsia"/>
          <w:sz w:val="24"/>
        </w:rPr>
        <w:t>认购费用＝</w:t>
      </w:r>
      <w:r>
        <w:rPr>
          <w:sz w:val="24"/>
        </w:rPr>
        <w:t>3</w:t>
      </w:r>
      <w:r>
        <w:rPr>
          <w:rFonts w:hint="eastAsia"/>
          <w:sz w:val="24"/>
        </w:rPr>
        <w:t>00,000.00－</w:t>
      </w:r>
      <w:r>
        <w:rPr>
          <w:sz w:val="24"/>
        </w:rPr>
        <w:t>299,102.69</w:t>
      </w:r>
      <w:r>
        <w:rPr>
          <w:rFonts w:hint="eastAsia"/>
          <w:sz w:val="24"/>
        </w:rPr>
        <w:t>＝</w:t>
      </w:r>
      <w:r>
        <w:rPr>
          <w:sz w:val="24"/>
        </w:rPr>
        <w:t>897.31</w:t>
      </w:r>
      <w:r>
        <w:rPr>
          <w:rFonts w:hint="eastAsia"/>
          <w:sz w:val="24"/>
        </w:rPr>
        <w:t>元</w:t>
      </w:r>
    </w:p>
    <w:p w:rsidR="00617516" w:rsidRDefault="00617516" w:rsidP="00617516">
      <w:pPr>
        <w:pStyle w:val="20"/>
        <w:adjustRightInd w:val="0"/>
        <w:snapToGrid w:val="0"/>
        <w:ind w:firstLine="480"/>
        <w:rPr>
          <w:sz w:val="24"/>
        </w:rPr>
      </w:pPr>
      <w:r>
        <w:rPr>
          <w:rFonts w:hint="eastAsia"/>
          <w:sz w:val="24"/>
        </w:rPr>
        <w:t>认购份额＝（</w:t>
      </w:r>
      <w:r>
        <w:rPr>
          <w:sz w:val="24"/>
        </w:rPr>
        <w:t>299,102.69</w:t>
      </w:r>
      <w:r>
        <w:rPr>
          <w:rFonts w:hint="eastAsia"/>
          <w:sz w:val="24"/>
        </w:rPr>
        <w:t>＋90.00）/1.00＝</w:t>
      </w:r>
      <w:r>
        <w:rPr>
          <w:sz w:val="24"/>
        </w:rPr>
        <w:t>299,192.69</w:t>
      </w:r>
      <w:r>
        <w:rPr>
          <w:rFonts w:hint="eastAsia"/>
          <w:sz w:val="24"/>
        </w:rPr>
        <w:t>份</w:t>
      </w:r>
    </w:p>
    <w:p w:rsidR="00CA468C" w:rsidRDefault="00617516">
      <w:pPr>
        <w:pStyle w:val="20"/>
        <w:adjustRightInd w:val="0"/>
        <w:snapToGrid w:val="0"/>
        <w:ind w:firstLine="480"/>
        <w:rPr>
          <w:sz w:val="24"/>
        </w:rPr>
      </w:pPr>
      <w:r>
        <w:rPr>
          <w:rFonts w:hint="eastAsia"/>
          <w:sz w:val="24"/>
        </w:rPr>
        <w:t>即：投资人投资</w:t>
      </w:r>
      <w:r>
        <w:rPr>
          <w:sz w:val="24"/>
        </w:rPr>
        <w:t>3</w:t>
      </w:r>
      <w:r>
        <w:rPr>
          <w:rFonts w:hint="eastAsia"/>
          <w:sz w:val="24"/>
        </w:rPr>
        <w:t>00,000.00元认购本基金A类</w:t>
      </w:r>
      <w:r>
        <w:rPr>
          <w:sz w:val="24"/>
        </w:rPr>
        <w:t>基金</w:t>
      </w:r>
      <w:r>
        <w:rPr>
          <w:rFonts w:hint="eastAsia"/>
          <w:sz w:val="24"/>
        </w:rPr>
        <w:t>份额，加上有效认购款在认购期内获得的利息，基金认购期结束后，投资人经确认的A类基金份额为</w:t>
      </w:r>
      <w:r>
        <w:rPr>
          <w:sz w:val="24"/>
        </w:rPr>
        <w:t>299,192.69</w:t>
      </w:r>
      <w:r>
        <w:rPr>
          <w:rFonts w:hint="eastAsia"/>
          <w:sz w:val="24"/>
        </w:rPr>
        <w:t>份。</w:t>
      </w:r>
    </w:p>
    <w:p w:rsidR="00CA468C" w:rsidRDefault="00CE40AF">
      <w:pPr>
        <w:pStyle w:val="20"/>
        <w:adjustRightInd w:val="0"/>
        <w:snapToGrid w:val="0"/>
        <w:ind w:firstLine="480"/>
        <w:rPr>
          <w:sz w:val="24"/>
        </w:rPr>
      </w:pPr>
      <w:r>
        <w:rPr>
          <w:rFonts w:hint="eastAsia"/>
          <w:sz w:val="24"/>
        </w:rPr>
        <w:t>2、本基金认购C类基金份额的计算公式如下：</w:t>
      </w:r>
    </w:p>
    <w:p w:rsidR="00CA468C" w:rsidRDefault="00CE40AF">
      <w:pPr>
        <w:pStyle w:val="20"/>
        <w:adjustRightInd w:val="0"/>
        <w:snapToGrid w:val="0"/>
        <w:ind w:firstLine="480"/>
        <w:rPr>
          <w:sz w:val="24"/>
        </w:rPr>
      </w:pPr>
      <w:r>
        <w:rPr>
          <w:rFonts w:hint="eastAsia"/>
          <w:sz w:val="24"/>
        </w:rPr>
        <w:t>认购份额=（认购金额+利息）/基金份额发售面值</w:t>
      </w:r>
    </w:p>
    <w:p w:rsidR="00617516" w:rsidRDefault="00617516" w:rsidP="00617516">
      <w:pPr>
        <w:pStyle w:val="20"/>
        <w:adjustRightInd w:val="0"/>
        <w:snapToGrid w:val="0"/>
        <w:ind w:firstLine="480"/>
        <w:rPr>
          <w:sz w:val="24"/>
        </w:rPr>
      </w:pPr>
      <w:r>
        <w:rPr>
          <w:rFonts w:hint="eastAsia"/>
          <w:sz w:val="24"/>
        </w:rPr>
        <w:t>例</w:t>
      </w:r>
      <w:r>
        <w:rPr>
          <w:sz w:val="24"/>
        </w:rPr>
        <w:t>2</w:t>
      </w:r>
      <w:r>
        <w:rPr>
          <w:rFonts w:hint="eastAsia"/>
          <w:sz w:val="24"/>
        </w:rPr>
        <w:t>：某投资人在认购期内投资300,000.00元认购本基金</w:t>
      </w:r>
      <w:r>
        <w:rPr>
          <w:sz w:val="24"/>
        </w:rPr>
        <w:t>C类</w:t>
      </w:r>
      <w:r>
        <w:rPr>
          <w:rFonts w:hint="eastAsia"/>
          <w:sz w:val="24"/>
        </w:rPr>
        <w:t>基金份额，假设这300,000.00元在认购期间产生的利息为90.00元，则其可得到的</w:t>
      </w:r>
      <w:r>
        <w:rPr>
          <w:sz w:val="24"/>
        </w:rPr>
        <w:t>C类</w:t>
      </w:r>
      <w:r>
        <w:rPr>
          <w:rFonts w:hint="eastAsia"/>
          <w:sz w:val="24"/>
        </w:rPr>
        <w:t>基金份额计算方法为：</w:t>
      </w:r>
    </w:p>
    <w:p w:rsidR="00617516" w:rsidRDefault="00617516" w:rsidP="00617516">
      <w:pPr>
        <w:pStyle w:val="20"/>
        <w:adjustRightInd w:val="0"/>
        <w:snapToGrid w:val="0"/>
        <w:ind w:firstLine="480"/>
        <w:rPr>
          <w:sz w:val="24"/>
        </w:rPr>
      </w:pPr>
      <w:r>
        <w:rPr>
          <w:rFonts w:hint="eastAsia"/>
          <w:sz w:val="24"/>
        </w:rPr>
        <w:t>认购</w:t>
      </w:r>
      <w:r>
        <w:rPr>
          <w:sz w:val="24"/>
        </w:rPr>
        <w:t>份额=（</w:t>
      </w:r>
      <w:r>
        <w:rPr>
          <w:rFonts w:hint="eastAsia"/>
          <w:sz w:val="24"/>
        </w:rPr>
        <w:t>300,000.00</w:t>
      </w:r>
      <w:r>
        <w:rPr>
          <w:sz w:val="24"/>
        </w:rPr>
        <w:t>+</w:t>
      </w:r>
      <w:r>
        <w:rPr>
          <w:rFonts w:hint="eastAsia"/>
          <w:sz w:val="24"/>
        </w:rPr>
        <w:t>90</w:t>
      </w:r>
      <w:r>
        <w:rPr>
          <w:sz w:val="24"/>
        </w:rPr>
        <w:t>.00）</w:t>
      </w:r>
      <w:r>
        <w:rPr>
          <w:rFonts w:hint="eastAsia"/>
          <w:sz w:val="24"/>
        </w:rPr>
        <w:t>/1.00=300,090.00份</w:t>
      </w:r>
    </w:p>
    <w:p w:rsidR="00CA468C" w:rsidRDefault="00617516">
      <w:pPr>
        <w:pStyle w:val="20"/>
        <w:adjustRightInd w:val="0"/>
        <w:snapToGrid w:val="0"/>
        <w:ind w:firstLine="480"/>
        <w:rPr>
          <w:sz w:val="24"/>
        </w:rPr>
      </w:pPr>
      <w:r>
        <w:rPr>
          <w:rFonts w:hint="eastAsia"/>
          <w:sz w:val="24"/>
        </w:rPr>
        <w:t>即：某投资人投资300,000</w:t>
      </w:r>
      <w:r>
        <w:rPr>
          <w:sz w:val="24"/>
        </w:rPr>
        <w:t>.00</w:t>
      </w:r>
      <w:r>
        <w:rPr>
          <w:rFonts w:hint="eastAsia"/>
          <w:sz w:val="24"/>
        </w:rPr>
        <w:t>元认购本基金</w:t>
      </w:r>
      <w:r>
        <w:rPr>
          <w:sz w:val="24"/>
        </w:rPr>
        <w:t>C类</w:t>
      </w:r>
      <w:r>
        <w:rPr>
          <w:rFonts w:hint="eastAsia"/>
          <w:sz w:val="24"/>
        </w:rPr>
        <w:t>基金</w:t>
      </w:r>
      <w:r>
        <w:rPr>
          <w:sz w:val="24"/>
        </w:rPr>
        <w:t>份额</w:t>
      </w:r>
      <w:r>
        <w:rPr>
          <w:rFonts w:hint="eastAsia"/>
          <w:sz w:val="24"/>
        </w:rPr>
        <w:t>，加上有效认购款在认购期内获得的利息，基金认购期结束后，该投资人经确认的</w:t>
      </w:r>
      <w:r>
        <w:rPr>
          <w:sz w:val="24"/>
        </w:rPr>
        <w:t>C类</w:t>
      </w:r>
      <w:r>
        <w:rPr>
          <w:rFonts w:hint="eastAsia"/>
          <w:sz w:val="24"/>
        </w:rPr>
        <w:t>基金份额为300,</w:t>
      </w:r>
      <w:r>
        <w:rPr>
          <w:sz w:val="24"/>
        </w:rPr>
        <w:t>0</w:t>
      </w:r>
      <w:r>
        <w:rPr>
          <w:rFonts w:hint="eastAsia"/>
          <w:sz w:val="24"/>
        </w:rPr>
        <w:t>90.00份。</w:t>
      </w:r>
    </w:p>
    <w:p w:rsidR="00CA468C" w:rsidRDefault="00CE40AF">
      <w:pPr>
        <w:pStyle w:val="20"/>
        <w:adjustRightInd w:val="0"/>
        <w:snapToGrid w:val="0"/>
        <w:ind w:firstLine="480"/>
        <w:rPr>
          <w:sz w:val="24"/>
        </w:rPr>
      </w:pPr>
      <w:r>
        <w:rPr>
          <w:rFonts w:hint="eastAsia"/>
          <w:sz w:val="24"/>
        </w:rPr>
        <w:t>（十七）认购的确认</w:t>
      </w:r>
    </w:p>
    <w:p w:rsidR="00CA468C" w:rsidRDefault="00CE40AF">
      <w:pPr>
        <w:pStyle w:val="20"/>
        <w:adjustRightInd w:val="0"/>
        <w:snapToGrid w:val="0"/>
        <w:ind w:firstLine="480"/>
        <w:rPr>
          <w:sz w:val="24"/>
        </w:rPr>
      </w:pPr>
      <w:r>
        <w:rPr>
          <w:rFonts w:hint="eastAsia"/>
          <w:sz w:val="24"/>
        </w:rPr>
        <w:t>对于T日交易时间内受理的认购申请，登记机构将在T+1日就申请的有效性进行确认，投资人应在T+2日后（包括该日）及时到销售网点柜台或以销售机构规定的其他方式查询认购申请有效性的确认情况。</w:t>
      </w:r>
    </w:p>
    <w:p w:rsidR="00CA468C" w:rsidRDefault="00CE40AF">
      <w:pPr>
        <w:pStyle w:val="20"/>
        <w:adjustRightInd w:val="0"/>
        <w:snapToGrid w:val="0"/>
        <w:ind w:firstLine="480"/>
        <w:rPr>
          <w:sz w:val="24"/>
        </w:rPr>
      </w:pPr>
      <w:r>
        <w:rPr>
          <w:rFonts w:hint="eastAsia"/>
          <w:bCs/>
          <w:sz w:val="24"/>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于投资人怠于查询而产生的投资人任何损失由投资人自行承担</w:t>
      </w:r>
      <w:r>
        <w:rPr>
          <w:rFonts w:hint="eastAsia"/>
          <w:sz w:val="24"/>
        </w:rPr>
        <w:t>。</w:t>
      </w:r>
    </w:p>
    <w:p w:rsidR="00CA468C" w:rsidRDefault="00CE40AF">
      <w:pPr>
        <w:pStyle w:val="20"/>
        <w:adjustRightInd w:val="0"/>
        <w:snapToGrid w:val="0"/>
        <w:ind w:firstLine="480"/>
        <w:rPr>
          <w:sz w:val="24"/>
        </w:rPr>
      </w:pPr>
      <w:r>
        <w:rPr>
          <w:rFonts w:hint="eastAsia"/>
          <w:sz w:val="24"/>
        </w:rPr>
        <w:t>（十八</w:t>
      </w:r>
      <w:r>
        <w:rPr>
          <w:sz w:val="24"/>
        </w:rPr>
        <w:t>）</w:t>
      </w:r>
      <w:r>
        <w:rPr>
          <w:rFonts w:hint="eastAsia"/>
          <w:sz w:val="24"/>
        </w:rPr>
        <w:t>募集期利息的处理方式</w:t>
      </w:r>
    </w:p>
    <w:p w:rsidR="00CA468C" w:rsidRDefault="00CE40AF">
      <w:pPr>
        <w:pStyle w:val="20"/>
        <w:adjustRightInd w:val="0"/>
        <w:snapToGrid w:val="0"/>
        <w:ind w:firstLine="480"/>
        <w:rPr>
          <w:sz w:val="24"/>
        </w:rPr>
      </w:pPr>
      <w:r>
        <w:rPr>
          <w:rFonts w:hint="eastAsia"/>
          <w:sz w:val="24"/>
        </w:rPr>
        <w:t>有效认购款项在募集期间产生的利息将折算为基金份额归基金份额持有人所有，计入基金份额持有人的基金账户，其中利息转份额的具体数额以登记机构的记录为准。有效认购款项利息折算的份额保留到小数点后两位，小数点两位以后的部分舍去，舍去部分所代表的资产归基金财产所有。</w:t>
      </w:r>
    </w:p>
    <w:p w:rsidR="00CA468C" w:rsidRDefault="00CE40AF">
      <w:pPr>
        <w:pStyle w:val="20"/>
        <w:adjustRightInd w:val="0"/>
        <w:snapToGrid w:val="0"/>
        <w:ind w:firstLine="480"/>
        <w:rPr>
          <w:sz w:val="24"/>
        </w:rPr>
      </w:pPr>
      <w:r>
        <w:rPr>
          <w:rFonts w:hint="eastAsia"/>
          <w:sz w:val="24"/>
        </w:rPr>
        <w:t>（十九）募集资金的管理</w:t>
      </w:r>
    </w:p>
    <w:p w:rsidR="00CA468C" w:rsidRDefault="00CE40AF">
      <w:pPr>
        <w:adjustRightInd w:val="0"/>
        <w:snapToGrid w:val="0"/>
        <w:spacing w:line="360" w:lineRule="auto"/>
        <w:ind w:firstLineChars="200" w:firstLine="480"/>
        <w:rPr>
          <w:rFonts w:ascii="宋体" w:hAnsi="宋体"/>
          <w:sz w:val="24"/>
        </w:rPr>
      </w:pPr>
      <w:r>
        <w:rPr>
          <w:sz w:val="24"/>
        </w:rPr>
        <w:t>本基金</w:t>
      </w:r>
      <w:r>
        <w:rPr>
          <w:rFonts w:hint="eastAsia"/>
          <w:sz w:val="24"/>
        </w:rPr>
        <w:t>募集行为结束前，投资人的认购款项只能存入募集账户，任何人不得动用。认购期结束后，由登记机构计算投资人认购应获得的基金份额，基金管理人应在</w:t>
      </w:r>
      <w:r>
        <w:rPr>
          <w:rFonts w:hint="eastAsia"/>
          <w:sz w:val="24"/>
        </w:rPr>
        <w:t>10</w:t>
      </w:r>
      <w:r>
        <w:rPr>
          <w:rFonts w:hint="eastAsia"/>
          <w:sz w:val="24"/>
        </w:rPr>
        <w:t>日内聘请法定验资机构进行认购款项的验资</w:t>
      </w:r>
      <w:r>
        <w:rPr>
          <w:rFonts w:ascii="宋体" w:hAnsi="宋体" w:hint="eastAsia"/>
          <w:kern w:val="0"/>
          <w:sz w:val="24"/>
          <w:szCs w:val="20"/>
        </w:rPr>
        <w:t>。</w:t>
      </w:r>
    </w:p>
    <w:p w:rsidR="00CA468C" w:rsidRDefault="00CE40AF">
      <w:pPr>
        <w:pStyle w:val="1"/>
        <w:jc w:val="center"/>
        <w:rPr>
          <w:rFonts w:ascii="宋体" w:hAnsi="宋体"/>
        </w:rPr>
      </w:pPr>
      <w:bookmarkStart w:id="3" w:name="_Toc513102410"/>
      <w:bookmarkStart w:id="4" w:name="_Toc294776263"/>
      <w:r>
        <w:rPr>
          <w:rFonts w:ascii="宋体" w:hAnsi="宋体"/>
        </w:rPr>
        <w:br w:type="page"/>
      </w:r>
      <w:r>
        <w:rPr>
          <w:rFonts w:ascii="宋体" w:hAnsi="宋体" w:hint="eastAsia"/>
        </w:rPr>
        <w:t>二、个人投资者办理认购的开户与认购流程</w:t>
      </w:r>
      <w:bookmarkEnd w:id="3"/>
      <w:bookmarkEnd w:id="4"/>
    </w:p>
    <w:p w:rsidR="00CA468C" w:rsidRDefault="00CA468C">
      <w:pPr>
        <w:adjustRightInd w:val="0"/>
        <w:snapToGrid w:val="0"/>
        <w:spacing w:line="360" w:lineRule="auto"/>
        <w:ind w:firstLineChars="200" w:firstLine="480"/>
        <w:rPr>
          <w:rFonts w:ascii="宋体" w:hAnsi="宋体"/>
          <w:sz w:val="24"/>
        </w:rPr>
      </w:pP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（一）通过本公司网站办理开户与认购的程序</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1、业务办理时间</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募集期内，工作日24小时全天接收基金份额认购申请，其中工作日</w:t>
      </w:r>
      <w:r>
        <w:rPr>
          <w:rFonts w:ascii="宋体" w:hAnsi="宋体"/>
          <w:sz w:val="24"/>
        </w:rPr>
        <w:t>15:00</w:t>
      </w:r>
      <w:r>
        <w:rPr>
          <w:rFonts w:ascii="宋体" w:hAnsi="宋体" w:hint="eastAsia"/>
          <w:sz w:val="24"/>
        </w:rPr>
        <w:t>后提交的申请按下一个工作日交易结算。募集期内节假日提交的申请按节假日后第一个工作日交易结算。募集期末日仅受理</w:t>
      </w:r>
      <w:r>
        <w:rPr>
          <w:rFonts w:ascii="宋体" w:hAnsi="宋体"/>
          <w:sz w:val="24"/>
        </w:rPr>
        <w:t>15:00</w:t>
      </w:r>
      <w:r>
        <w:rPr>
          <w:rFonts w:ascii="宋体" w:hAnsi="宋体" w:hint="eastAsia"/>
          <w:sz w:val="24"/>
        </w:rPr>
        <w:t>之前提交的申请。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2、开户和认购程序</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（1）开立基金账户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1）办理相应的银行支付卡。</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支持本基金网上交易的银行有中国建设银行股份有限公司、中国工商银行股份有限公司、中国农业银行股份有限公司、招商银行股份有限公司、中国民生银行股份有限公司、</w:t>
      </w:r>
      <w:r w:rsidR="003D799A" w:rsidRPr="003D799A">
        <w:rPr>
          <w:rFonts w:ascii="宋体" w:hAnsi="宋体" w:hint="eastAsia"/>
          <w:sz w:val="24"/>
        </w:rPr>
        <w:t>交通银行股份有限公司、</w:t>
      </w:r>
      <w:r>
        <w:rPr>
          <w:rFonts w:ascii="宋体" w:hAnsi="宋体" w:hint="eastAsia"/>
          <w:sz w:val="24"/>
        </w:rPr>
        <w:t>通联支付渠道及银联通支持的银行卡。</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2）登录本公司网站开户。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本公司网站：www.yhfund.com.cn。</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3）选择客户类型。</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4）选择银行卡。</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5）通过银行身份验证或开通基金业务。</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6）阅读《投资者权益须知》并签订网上交易委托服务协议。</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7）填写《风险调查问卷》。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8）开户成功。</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（2）提出认购申请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1）进入本公司网站www.yhfund.com.cn，登录网上交易。</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2）选择认购基金。</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3）通过银行支付渠道支付认购金额。</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投资人可同时办理开户和认购手续。投资人应在办理认购申请日（T日）后的第2个工作日（T+2日）起在本公司网站网上直销交易系统中打印认购业务确认书。但此次确认是对认购申请接受的确认，认购的最终结果要待认购期结束后才能够确认，对于本基金的已经受理的认购申请不能进行撤单交易。以上网上直销开户与认购程序请以本公司网站最新的说明为准。</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特别提示：</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如果投资人在开户时没有填写过《风险调查问卷》，在首次办理认/申购手续时需要填写《风险调查问卷》。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（二）个人投资者在本公司直销柜台开户及认购程序以直销柜台具体业务规则为准。</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（三）个人投资者在其他销售机构（如有）的开户与认购程序以各销售机构的规定为准。</w:t>
      </w:r>
    </w:p>
    <w:p w:rsidR="00CA468C" w:rsidRDefault="00CE40AF">
      <w:pPr>
        <w:pStyle w:val="1"/>
        <w:jc w:val="center"/>
        <w:rPr>
          <w:rFonts w:ascii="宋体" w:hAnsi="宋体"/>
        </w:rPr>
      </w:pPr>
      <w:bookmarkStart w:id="5" w:name="_Toc513102411"/>
      <w:bookmarkStart w:id="6" w:name="_Toc294776264"/>
      <w:r>
        <w:rPr>
          <w:rFonts w:ascii="宋体" w:hAnsi="宋体"/>
        </w:rPr>
        <w:br w:type="page"/>
      </w:r>
      <w:r>
        <w:rPr>
          <w:rFonts w:ascii="宋体" w:hAnsi="宋体" w:hint="eastAsia"/>
        </w:rPr>
        <w:t>三、机构投资者办理认购的开户与认购流程</w:t>
      </w:r>
      <w:bookmarkEnd w:id="5"/>
      <w:bookmarkEnd w:id="6"/>
    </w:p>
    <w:p w:rsidR="00CA468C" w:rsidRDefault="00CA468C">
      <w:pPr>
        <w:adjustRightInd w:val="0"/>
        <w:snapToGrid w:val="0"/>
        <w:spacing w:line="312" w:lineRule="auto"/>
        <w:ind w:firstLineChars="200" w:firstLine="480"/>
        <w:rPr>
          <w:rFonts w:ascii="宋体" w:hAnsi="宋体"/>
          <w:sz w:val="24"/>
        </w:rPr>
      </w:pP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（一）本基金通过直销机构的直销中心办理开户和认购的程序</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1、本公司的北京直销中心受理机构投资者的开户和认购申请。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2、认购业务办理时间</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募集期内，办理时间为认购日的9:30-15:00（周六、周日及法定节假日不办理认购业务）；募集期末日办理时间延长为9:30-17:00。</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3、机构投资者办理开户与认购手续</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（1）机构投资者办理基金交易账户和基金账户开户申请时须提交的材料：</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）填妥并加盖预留印鉴的《直销账户业务申请表》；</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2）工商行政管理机关颁发的有效营业执照（三证合一）复印件并加盖单位公章（事业法人、社会团体或其他组织提供民政部门或主管部门颁发的注册登记证书复印件）；</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3）指定银行账户的银行《开户许可证》复印件加盖单位公章（或出示指定银行出具的开户证明复印件）；</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4）《基金业务授权委托书》一式两份（加盖公章及法定代表人/负责人章）；</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5）《预留印鉴卡》一式三份；</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6）法定代表人/负责人及经办人身份证件复印件加盖单位公章（如是二代身份证，请提供正反两面的复印件）；</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7）《传真交易协议书》一式两份（加盖公章及法定代表人/负责人章）；</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8）《机构投资者风险承受能力测试问卷》（加盖预留印鉴）；</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9）</w:t>
      </w:r>
      <w:r>
        <w:rPr>
          <w:rFonts w:ascii="宋体" w:hAnsi="宋体"/>
          <w:sz w:val="24"/>
        </w:rPr>
        <w:t>《证券投资基金投资</w:t>
      </w:r>
      <w:r>
        <w:rPr>
          <w:rFonts w:ascii="宋体" w:hAnsi="宋体" w:hint="eastAsia"/>
          <w:sz w:val="24"/>
        </w:rPr>
        <w:t>者</w:t>
      </w:r>
      <w:r>
        <w:rPr>
          <w:rFonts w:ascii="宋体" w:hAnsi="宋体"/>
          <w:sz w:val="24"/>
        </w:rPr>
        <w:t>权益须知》</w:t>
      </w:r>
      <w:r>
        <w:rPr>
          <w:rFonts w:ascii="宋体" w:hAnsi="宋体" w:hint="eastAsia"/>
          <w:sz w:val="24"/>
        </w:rPr>
        <w:t>（加盖公章及法定代表人/负责人章）；</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10</w:t>
      </w:r>
      <w:r>
        <w:rPr>
          <w:rFonts w:ascii="宋体" w:hAnsi="宋体" w:hint="eastAsia"/>
          <w:sz w:val="24"/>
        </w:rPr>
        <w:t>）机构投资者如有控股股东或实际控制人，还应核对并留存控股股东或实际控制人的身份证件或者身份证明文件（如是二代身份证，请提供正反两面的复印件）。</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特别提示：</w:t>
      </w:r>
    </w:p>
    <w:p w:rsidR="00CA468C" w:rsidRDefault="004C14BC">
      <w:pPr>
        <w:adjustRightInd w:val="0"/>
        <w:snapToGrid w:val="0"/>
        <w:spacing w:line="360" w:lineRule="auto"/>
        <w:ind w:firstLineChars="200" w:firstLine="480"/>
        <w:rPr>
          <w:rFonts w:ascii="宋体" w:hAnsi="宋体"/>
          <w:sz w:val="24"/>
        </w:rPr>
      </w:pPr>
      <w:r>
        <w:rPr>
          <w:rFonts w:ascii="宋体" w:hAnsi="宋体"/>
          <w:sz w:val="24"/>
        </w:rPr>
        <w:fldChar w:fldCharType="begin"/>
      </w:r>
      <w:r w:rsidR="00CE40AF">
        <w:rPr>
          <w:rFonts w:ascii="宋体" w:hAnsi="宋体"/>
          <w:sz w:val="24"/>
        </w:rPr>
        <w:instrText xml:space="preserve"> </w:instrText>
      </w:r>
      <w:r w:rsidR="00CE40AF">
        <w:rPr>
          <w:rFonts w:ascii="宋体" w:hAnsi="宋体" w:hint="eastAsia"/>
          <w:sz w:val="24"/>
        </w:rPr>
        <w:instrText>= 1 \* GB3</w:instrText>
      </w:r>
      <w:r w:rsidR="00CE40AF">
        <w:rPr>
          <w:rFonts w:ascii="宋体" w:hAnsi="宋体"/>
          <w:sz w:val="24"/>
        </w:rPr>
        <w:instrText xml:space="preserve"> </w:instrText>
      </w:r>
      <w:r>
        <w:rPr>
          <w:rFonts w:ascii="宋体" w:hAnsi="宋体"/>
          <w:sz w:val="24"/>
        </w:rPr>
        <w:fldChar w:fldCharType="separate"/>
      </w:r>
      <w:r w:rsidR="00CE40AF">
        <w:rPr>
          <w:rFonts w:ascii="宋体" w:hAnsi="宋体" w:hint="eastAsia"/>
          <w:sz w:val="24"/>
        </w:rPr>
        <w:t>①</w:t>
      </w:r>
      <w:r>
        <w:rPr>
          <w:rFonts w:ascii="宋体" w:hAnsi="宋体"/>
          <w:sz w:val="24"/>
        </w:rPr>
        <w:fldChar w:fldCharType="end"/>
      </w:r>
      <w:r w:rsidR="00CE40AF">
        <w:rPr>
          <w:rFonts w:ascii="宋体" w:hAnsi="宋体" w:hint="eastAsia"/>
          <w:sz w:val="24"/>
        </w:rPr>
        <w:t>其中指定银行账户是指投资人开户时预留的作为赎回、分红、退款的结算账户，银行账户名称必须同投资人基金账户的户名一致。</w:t>
      </w:r>
    </w:p>
    <w:p w:rsidR="00CA468C" w:rsidRDefault="004C14BC">
      <w:pPr>
        <w:adjustRightInd w:val="0"/>
        <w:snapToGrid w:val="0"/>
        <w:spacing w:line="360" w:lineRule="auto"/>
        <w:ind w:firstLineChars="200" w:firstLine="480"/>
        <w:rPr>
          <w:rFonts w:ascii="宋体" w:hAnsi="宋体"/>
          <w:sz w:val="24"/>
        </w:rPr>
      </w:pPr>
      <w:r>
        <w:rPr>
          <w:rFonts w:ascii="宋体" w:hAnsi="宋体"/>
          <w:sz w:val="24"/>
        </w:rPr>
        <w:fldChar w:fldCharType="begin"/>
      </w:r>
      <w:r w:rsidR="00CE40AF">
        <w:rPr>
          <w:rFonts w:ascii="宋体" w:hAnsi="宋体"/>
          <w:sz w:val="24"/>
        </w:rPr>
        <w:instrText xml:space="preserve"> </w:instrText>
      </w:r>
      <w:r w:rsidR="00CE40AF">
        <w:rPr>
          <w:rFonts w:ascii="宋体" w:hAnsi="宋体" w:hint="eastAsia"/>
          <w:sz w:val="24"/>
        </w:rPr>
        <w:instrText>= 2 \* GB3</w:instrText>
      </w:r>
      <w:r w:rsidR="00CE40AF">
        <w:rPr>
          <w:rFonts w:ascii="宋体" w:hAnsi="宋体"/>
          <w:sz w:val="24"/>
        </w:rPr>
        <w:instrText xml:space="preserve"> </w:instrText>
      </w:r>
      <w:r>
        <w:rPr>
          <w:rFonts w:ascii="宋体" w:hAnsi="宋体"/>
          <w:sz w:val="24"/>
        </w:rPr>
        <w:fldChar w:fldCharType="separate"/>
      </w:r>
      <w:r w:rsidR="00CE40AF">
        <w:rPr>
          <w:rFonts w:ascii="宋体" w:hAnsi="宋体" w:hint="eastAsia"/>
          <w:sz w:val="24"/>
        </w:rPr>
        <w:t>②</w:t>
      </w:r>
      <w:r>
        <w:rPr>
          <w:rFonts w:ascii="宋体" w:hAnsi="宋体"/>
          <w:sz w:val="24"/>
        </w:rPr>
        <w:fldChar w:fldCharType="end"/>
      </w:r>
      <w:r w:rsidR="00CE40AF">
        <w:rPr>
          <w:rFonts w:ascii="宋体" w:hAnsi="宋体" w:hint="eastAsia"/>
          <w:sz w:val="24"/>
        </w:rPr>
        <w:t>本公司可根据具体实际情况，对上述业务办理的申请资料进行调整。</w:t>
      </w:r>
    </w:p>
    <w:p w:rsidR="00CA468C" w:rsidRDefault="004C14BC">
      <w:pPr>
        <w:adjustRightInd w:val="0"/>
        <w:snapToGrid w:val="0"/>
        <w:spacing w:line="360" w:lineRule="auto"/>
        <w:ind w:firstLineChars="200" w:firstLine="480"/>
        <w:rPr>
          <w:rFonts w:ascii="宋体" w:hAnsi="宋体"/>
          <w:sz w:val="24"/>
        </w:rPr>
      </w:pPr>
      <w:r>
        <w:rPr>
          <w:rFonts w:ascii="宋体" w:hAnsi="宋体"/>
          <w:sz w:val="24"/>
        </w:rPr>
        <w:fldChar w:fldCharType="begin"/>
      </w:r>
      <w:r w:rsidR="00CE40AF">
        <w:rPr>
          <w:rFonts w:ascii="宋体" w:hAnsi="宋体"/>
          <w:sz w:val="24"/>
        </w:rPr>
        <w:instrText xml:space="preserve"> </w:instrText>
      </w:r>
      <w:r w:rsidR="00CE40AF">
        <w:rPr>
          <w:rFonts w:ascii="宋体" w:hAnsi="宋体" w:hint="eastAsia"/>
          <w:sz w:val="24"/>
        </w:rPr>
        <w:instrText>= 3 \* GB3</w:instrText>
      </w:r>
      <w:r w:rsidR="00CE40AF">
        <w:rPr>
          <w:rFonts w:ascii="宋体" w:hAnsi="宋体"/>
          <w:sz w:val="24"/>
        </w:rPr>
        <w:instrText xml:space="preserve"> </w:instrText>
      </w:r>
      <w:r>
        <w:rPr>
          <w:rFonts w:ascii="宋体" w:hAnsi="宋体"/>
          <w:sz w:val="24"/>
        </w:rPr>
        <w:fldChar w:fldCharType="separate"/>
      </w:r>
      <w:r w:rsidR="00CE40AF">
        <w:rPr>
          <w:rFonts w:ascii="宋体" w:hAnsi="宋体" w:hint="eastAsia"/>
          <w:sz w:val="24"/>
        </w:rPr>
        <w:t>③</w:t>
      </w:r>
      <w:r>
        <w:rPr>
          <w:rFonts w:ascii="宋体" w:hAnsi="宋体"/>
          <w:sz w:val="24"/>
        </w:rPr>
        <w:fldChar w:fldCharType="end"/>
      </w:r>
      <w:r w:rsidR="00CE40AF">
        <w:rPr>
          <w:rFonts w:ascii="宋体" w:hAnsi="宋体" w:hint="eastAsia"/>
          <w:sz w:val="24"/>
        </w:rPr>
        <w:t>如果投资人在开户时没有填写过《机构投资者风险承受能力测试问卷》，在首次办理认/申购手续时需要填写《机构投资者风险承受能力测试问卷》。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（2）机构投资者办理认购申请时须提交填妥的《直销认/申购申请表》（加盖预留交易印鉴）、银行付款凭证复印件。</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4、认购资金的划拨</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投资人办理认购前应将足额认购资金通过银行转账汇入本公司指定的直销专户。</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直销专户一：中国建设银行</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账户名称：银华基金管理股份有限公司</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开户银行：中国建设银行北京建国支行</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银行账号：11001042500059261889</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直销专户二：中国工商银行</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账户名称：银华基金管理股份有限公司</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开户银行：中国工商银行北京东长安街支行</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银行账号：0200053429027302269</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直销专户三：兴业银行</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账户名称：银华基金管理股份有限公司</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开户银行：兴业银行股份有限公司北京分行营业部</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银行账号：</w:t>
      </w:r>
      <w:r>
        <w:rPr>
          <w:rFonts w:ascii="宋体" w:hAnsi="宋体"/>
          <w:sz w:val="24"/>
        </w:rPr>
        <w:t>321010100100258802</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在办理认购业务时，需要按照《直销业务办理指南》的要求提供划款凭证，并且建议在“汇款用途”中注明款项的用途。</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5、注意事项</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）投资人认购时要注明所购买的基金名称或基金代码。</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）投资人</w:t>
      </w:r>
      <w:r>
        <w:rPr>
          <w:rFonts w:ascii="宋体" w:hAnsi="宋体"/>
          <w:sz w:val="24"/>
        </w:rPr>
        <w:t>T</w:t>
      </w:r>
      <w:r>
        <w:rPr>
          <w:rFonts w:ascii="宋体" w:hAnsi="宋体" w:hint="eastAsia"/>
          <w:sz w:val="24"/>
        </w:rPr>
        <w:t>日提交开户申请后，应于</w:t>
      </w:r>
      <w:r>
        <w:rPr>
          <w:rFonts w:ascii="宋体" w:hAnsi="宋体"/>
          <w:sz w:val="24"/>
        </w:rPr>
        <w:t>T+</w:t>
      </w:r>
      <w:r>
        <w:rPr>
          <w:rFonts w:ascii="宋体" w:hAnsi="宋体" w:hint="eastAsia"/>
          <w:sz w:val="24"/>
        </w:rPr>
        <w:t>2日后（包括该日）到本公司直销中心查询确认结果，或通过本公司客户服务中心、网上直销交易系统查询。本公司将为开户成功的投资人寄送开户确认书。</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）投资人</w:t>
      </w:r>
      <w:r>
        <w:rPr>
          <w:rFonts w:ascii="宋体" w:hAnsi="宋体"/>
          <w:sz w:val="24"/>
        </w:rPr>
        <w:t>T</w:t>
      </w:r>
      <w:r>
        <w:rPr>
          <w:rFonts w:ascii="宋体" w:hAnsi="宋体" w:hint="eastAsia"/>
          <w:sz w:val="24"/>
        </w:rPr>
        <w:t>日提交认购申请后，应于</w:t>
      </w:r>
      <w:r>
        <w:rPr>
          <w:rFonts w:ascii="宋体" w:hAnsi="宋体"/>
          <w:sz w:val="24"/>
        </w:rPr>
        <w:t>T+</w:t>
      </w:r>
      <w:r>
        <w:rPr>
          <w:rFonts w:ascii="宋体" w:hAnsi="宋体" w:hint="eastAsia"/>
          <w:sz w:val="24"/>
        </w:rPr>
        <w:t>2日后（包括该日）到本公司直销中心查询认购申请有效性的确认结果，或通过本公司客户服务中心、网上直销交易系统查询。但此次确认是对认购申请接受的确认，认购的最终结果要待认购期结束后自本公司发布《基金合同》生效公告之日起到本公司直销中心查询，或通过本公司客户服务中心、网上直销交易系统查询。</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（4）基金认购期期间，以下将被认定为无效认购：</w:t>
      </w:r>
    </w:p>
    <w:p w:rsidR="00CA468C" w:rsidRDefault="00CE40AF">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）投资人划来资金，但逾期未办理开户手续或开户不成功的；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2）投资人划来资金，但逾期未办理认购手续的；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3）投资人划来的认购资金少于其申请的认购金额的；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4）在认购期截止日下午</w:t>
      </w:r>
      <w:r>
        <w:rPr>
          <w:rFonts w:ascii="宋体" w:hAnsi="宋体"/>
          <w:sz w:val="24"/>
        </w:rPr>
        <w:t>5:00</w:t>
      </w:r>
      <w:r>
        <w:rPr>
          <w:rFonts w:ascii="宋体" w:hAnsi="宋体" w:hint="eastAsia"/>
          <w:sz w:val="24"/>
        </w:rPr>
        <w:t>之前资金未到指定基金销售专户的；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5）本公司确认的其它无效资金或认购失败资金。</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机构投资者通过本公司网上直销交易系统办理开户和认购的程序详见本公司网站</w:t>
      </w:r>
      <w:hyperlink r:id="rId10" w:history="1">
        <w:r>
          <w:rPr>
            <w:rStyle w:val="af4"/>
            <w:rFonts w:ascii="宋体" w:hAnsi="宋体" w:hint="eastAsia"/>
            <w:color w:val="auto"/>
            <w:sz w:val="24"/>
            <w:u w:val="none"/>
          </w:rPr>
          <w:t>www.yhfund.com.cn</w:t>
        </w:r>
      </w:hyperlink>
      <w:r>
        <w:rPr>
          <w:rFonts w:ascii="宋体" w:hAnsi="宋体" w:hint="eastAsia"/>
          <w:sz w:val="24"/>
        </w:rPr>
        <w:t>。</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（二）机构投资者在其他销售机构（如有）的开户与认购程序以各销售机构的规定为准。</w:t>
      </w:r>
    </w:p>
    <w:p w:rsidR="00CA468C" w:rsidRDefault="00CA468C">
      <w:pPr>
        <w:adjustRightInd w:val="0"/>
        <w:snapToGrid w:val="0"/>
        <w:spacing w:line="360" w:lineRule="auto"/>
        <w:ind w:firstLineChars="200" w:firstLine="480"/>
        <w:rPr>
          <w:rFonts w:ascii="宋体" w:hAnsi="宋体"/>
          <w:sz w:val="24"/>
        </w:rPr>
      </w:pPr>
    </w:p>
    <w:p w:rsidR="00CA468C" w:rsidRDefault="00CE40AF">
      <w:pPr>
        <w:pStyle w:val="1"/>
        <w:jc w:val="center"/>
        <w:rPr>
          <w:rFonts w:ascii="宋体" w:hAnsi="宋体"/>
        </w:rPr>
      </w:pPr>
      <w:bookmarkStart w:id="7" w:name="_Toc294776265"/>
      <w:bookmarkStart w:id="8" w:name="_Toc513102412"/>
      <w:r>
        <w:rPr>
          <w:rFonts w:ascii="宋体" w:hAnsi="宋体"/>
        </w:rPr>
        <w:br w:type="page"/>
      </w:r>
      <w:r>
        <w:rPr>
          <w:rFonts w:ascii="宋体" w:hAnsi="宋体" w:hint="eastAsia"/>
        </w:rPr>
        <w:t>四、清算与交割</w:t>
      </w:r>
      <w:bookmarkEnd w:id="7"/>
      <w:bookmarkEnd w:id="8"/>
    </w:p>
    <w:p w:rsidR="00CA468C" w:rsidRDefault="00CA468C">
      <w:pPr>
        <w:adjustRightInd w:val="0"/>
        <w:snapToGrid w:val="0"/>
        <w:spacing w:line="312" w:lineRule="auto"/>
        <w:ind w:firstLineChars="200" w:firstLine="480"/>
        <w:rPr>
          <w:rFonts w:ascii="宋体" w:hAnsi="宋体"/>
          <w:sz w:val="24"/>
        </w:rPr>
      </w:pPr>
    </w:p>
    <w:p w:rsidR="00CA468C" w:rsidRDefault="00CE40AF">
      <w:pPr>
        <w:pStyle w:val="20"/>
        <w:adjustRightInd w:val="0"/>
        <w:snapToGrid w:val="0"/>
        <w:ind w:firstLine="480"/>
        <w:rPr>
          <w:sz w:val="24"/>
        </w:rPr>
      </w:pPr>
      <w:r>
        <w:rPr>
          <w:rFonts w:hint="eastAsia"/>
          <w:sz w:val="24"/>
        </w:rPr>
        <w:t>有效认购款项在募集期间产生的利息将折算为基金份额归基金份额持有人所有，计入基金份额持有人的基金账户，其中利息转份额的具体数额以登记机构的记录为准。有效认购款项利息折算的份额保留到小数点后两位，小数点两位以后的部分舍去，舍去部分所代表的资产归基金财产所有。</w:t>
      </w:r>
    </w:p>
    <w:p w:rsidR="00CA468C" w:rsidRDefault="00CA468C">
      <w:pPr>
        <w:adjustRightInd w:val="0"/>
        <w:snapToGrid w:val="0"/>
        <w:spacing w:line="312" w:lineRule="auto"/>
        <w:rPr>
          <w:rFonts w:ascii="宋体" w:hAnsi="宋体"/>
          <w:sz w:val="24"/>
        </w:rPr>
      </w:pPr>
    </w:p>
    <w:p w:rsidR="00CA468C" w:rsidRDefault="00CE40AF">
      <w:pPr>
        <w:pStyle w:val="1"/>
        <w:jc w:val="center"/>
        <w:rPr>
          <w:rFonts w:ascii="宋体" w:hAnsi="宋体"/>
        </w:rPr>
      </w:pPr>
      <w:bookmarkStart w:id="9" w:name="_Toc294776267"/>
      <w:bookmarkStart w:id="10" w:name="_Toc513102413"/>
      <w:r>
        <w:rPr>
          <w:rFonts w:ascii="宋体" w:hAnsi="宋体"/>
        </w:rPr>
        <w:br w:type="page"/>
      </w:r>
      <w:r>
        <w:rPr>
          <w:rFonts w:ascii="宋体" w:hAnsi="宋体" w:hint="eastAsia"/>
        </w:rPr>
        <w:t>五、基金的验资</w:t>
      </w:r>
      <w:bookmarkEnd w:id="9"/>
      <w:bookmarkEnd w:id="10"/>
    </w:p>
    <w:p w:rsidR="00CA468C" w:rsidRDefault="00CA468C">
      <w:pPr>
        <w:adjustRightInd w:val="0"/>
        <w:snapToGrid w:val="0"/>
        <w:spacing w:line="312" w:lineRule="auto"/>
        <w:ind w:firstLineChars="200" w:firstLine="480"/>
        <w:rPr>
          <w:rFonts w:ascii="宋体" w:hAnsi="宋体"/>
          <w:sz w:val="24"/>
        </w:rPr>
      </w:pPr>
    </w:p>
    <w:p w:rsidR="00CA468C" w:rsidRDefault="00CE40AF">
      <w:pPr>
        <w:pStyle w:val="20"/>
        <w:adjustRightInd w:val="0"/>
        <w:snapToGrid w:val="0"/>
        <w:ind w:firstLine="480"/>
        <w:rPr>
          <w:sz w:val="24"/>
        </w:rPr>
      </w:pPr>
      <w:r>
        <w:rPr>
          <w:sz w:val="24"/>
        </w:rPr>
        <w:t>本基金</w:t>
      </w:r>
      <w:r>
        <w:rPr>
          <w:rFonts w:hint="eastAsia"/>
          <w:sz w:val="24"/>
        </w:rPr>
        <w:t>募集行为结束前，投资人的认购款项只能存入募集账户，任何人不得动用。认购期结束后，由登记机构计算投资人认购应获得的基金份额，基金管理人应在10日内聘请法定验资机构进行认购款项的验资。</w:t>
      </w:r>
    </w:p>
    <w:p w:rsidR="00CA468C" w:rsidRDefault="00CA468C">
      <w:pPr>
        <w:pStyle w:val="080318"/>
        <w:spacing w:line="312" w:lineRule="auto"/>
        <w:ind w:firstLineChars="0" w:firstLine="0"/>
        <w:rPr>
          <w:rFonts w:hAnsi="宋体"/>
          <w:kern w:val="0"/>
          <w:sz w:val="24"/>
          <w:szCs w:val="24"/>
        </w:rPr>
      </w:pPr>
    </w:p>
    <w:p w:rsidR="00CA468C" w:rsidRDefault="00CE40AF">
      <w:pPr>
        <w:pStyle w:val="1"/>
        <w:jc w:val="center"/>
        <w:rPr>
          <w:rFonts w:ascii="宋体" w:hAnsi="宋体"/>
        </w:rPr>
      </w:pPr>
      <w:bookmarkStart w:id="11" w:name="_Toc294776268"/>
      <w:bookmarkStart w:id="12" w:name="_Toc513102414"/>
      <w:r>
        <w:rPr>
          <w:rFonts w:ascii="宋体" w:hAnsi="宋体"/>
        </w:rPr>
        <w:br w:type="page"/>
      </w:r>
      <w:r>
        <w:rPr>
          <w:rFonts w:ascii="宋体" w:hAnsi="宋体" w:hint="eastAsia"/>
        </w:rPr>
        <w:t>六、基金合同的生效</w:t>
      </w:r>
      <w:bookmarkEnd w:id="11"/>
      <w:bookmarkEnd w:id="12"/>
    </w:p>
    <w:p w:rsidR="00CA468C" w:rsidRDefault="00CA468C">
      <w:pPr>
        <w:pStyle w:val="080318"/>
        <w:spacing w:line="312" w:lineRule="auto"/>
        <w:ind w:firstLine="480"/>
        <w:rPr>
          <w:rFonts w:hAnsi="宋体"/>
          <w:bCs/>
          <w:sz w:val="24"/>
          <w:szCs w:val="24"/>
          <w:lang w:val="en-US"/>
        </w:rPr>
      </w:pPr>
    </w:p>
    <w:p w:rsidR="00CA468C" w:rsidRDefault="00CE40AF">
      <w:pPr>
        <w:adjustRightInd w:val="0"/>
        <w:snapToGrid w:val="0"/>
        <w:spacing w:line="360" w:lineRule="auto"/>
        <w:ind w:firstLineChars="200" w:firstLine="480"/>
        <w:rPr>
          <w:rFonts w:ascii="宋体" w:hAnsi="宋体"/>
          <w:bCs/>
          <w:sz w:val="24"/>
        </w:rPr>
      </w:pPr>
      <w:r>
        <w:rPr>
          <w:rFonts w:ascii="宋体" w:hAnsi="宋体"/>
          <w:bCs/>
          <w:sz w:val="24"/>
        </w:rPr>
        <w:t>本基金自基金份额发售之日起</w:t>
      </w:r>
      <w:r>
        <w:rPr>
          <w:rFonts w:ascii="宋体" w:hAnsi="宋体" w:hint="eastAsia"/>
          <w:bCs/>
          <w:sz w:val="24"/>
        </w:rPr>
        <w:t>3</w:t>
      </w:r>
      <w:r>
        <w:rPr>
          <w:rFonts w:ascii="宋体" w:hAnsi="宋体"/>
          <w:bCs/>
          <w:sz w:val="24"/>
        </w:rPr>
        <w:t>个月内，在基金募集份额总额不少于</w:t>
      </w:r>
      <w:r>
        <w:rPr>
          <w:rFonts w:ascii="宋体" w:hAnsi="宋体" w:hint="eastAsia"/>
          <w:bCs/>
          <w:sz w:val="24"/>
        </w:rPr>
        <w:t>2</w:t>
      </w:r>
      <w:r>
        <w:rPr>
          <w:rFonts w:ascii="宋体" w:hAnsi="宋体"/>
          <w:bCs/>
          <w:sz w:val="24"/>
        </w:rPr>
        <w:t>亿份，基金募集金额不少于</w:t>
      </w:r>
      <w:r>
        <w:rPr>
          <w:rFonts w:ascii="宋体" w:hAnsi="宋体" w:hint="eastAsia"/>
          <w:bCs/>
          <w:sz w:val="24"/>
        </w:rPr>
        <w:t>2</w:t>
      </w:r>
      <w:r>
        <w:rPr>
          <w:rFonts w:ascii="宋体" w:hAnsi="宋体"/>
          <w:bCs/>
          <w:sz w:val="24"/>
        </w:rPr>
        <w:t>亿元人民币且基金认购人数不少于</w:t>
      </w:r>
      <w:r>
        <w:rPr>
          <w:rFonts w:ascii="宋体" w:hAnsi="宋体" w:hint="eastAsia"/>
          <w:bCs/>
          <w:sz w:val="24"/>
        </w:rPr>
        <w:t>200</w:t>
      </w:r>
      <w:r>
        <w:rPr>
          <w:rFonts w:ascii="宋体" w:hAnsi="宋体"/>
          <w:bCs/>
          <w:sz w:val="24"/>
        </w:rPr>
        <w:t>人的条件下，</w:t>
      </w:r>
      <w:r>
        <w:rPr>
          <w:rFonts w:ascii="宋体" w:hAnsi="宋体" w:hint="eastAsia"/>
          <w:bCs/>
          <w:sz w:val="24"/>
        </w:rPr>
        <w:t>基金募集期届满或</w:t>
      </w:r>
      <w:r>
        <w:rPr>
          <w:rFonts w:ascii="宋体" w:hAnsi="宋体"/>
          <w:bCs/>
          <w:sz w:val="24"/>
        </w:rPr>
        <w:t>基金管理人依据法律法规及招募说明书可以决定停止基金发售，并在</w:t>
      </w:r>
      <w:r>
        <w:rPr>
          <w:rFonts w:ascii="宋体" w:hAnsi="宋体" w:hint="eastAsia"/>
          <w:bCs/>
          <w:sz w:val="24"/>
        </w:rPr>
        <w:t>10</w:t>
      </w:r>
      <w:r>
        <w:rPr>
          <w:rFonts w:ascii="宋体" w:hAnsi="宋体"/>
          <w:bCs/>
          <w:sz w:val="24"/>
        </w:rPr>
        <w:t>日内聘请法定验资机构验资，自收到验资报告之日起</w:t>
      </w:r>
      <w:r>
        <w:rPr>
          <w:rFonts w:ascii="宋体" w:hAnsi="宋体" w:hint="eastAsia"/>
          <w:bCs/>
          <w:sz w:val="24"/>
        </w:rPr>
        <w:t>10</w:t>
      </w:r>
      <w:r>
        <w:rPr>
          <w:rFonts w:ascii="宋体" w:hAnsi="宋体"/>
          <w:bCs/>
          <w:sz w:val="24"/>
        </w:rPr>
        <w:t>日内，向中国证监会办理基金备案手续。</w:t>
      </w:r>
    </w:p>
    <w:p w:rsidR="00CA468C" w:rsidRDefault="00CE40AF">
      <w:pPr>
        <w:adjustRightInd w:val="0"/>
        <w:snapToGrid w:val="0"/>
        <w:spacing w:line="360" w:lineRule="auto"/>
        <w:ind w:firstLineChars="200" w:firstLine="480"/>
        <w:rPr>
          <w:rFonts w:ascii="宋体" w:hAnsi="宋体"/>
          <w:bCs/>
          <w:sz w:val="24"/>
        </w:rPr>
      </w:pPr>
      <w:r>
        <w:rPr>
          <w:rFonts w:ascii="宋体" w:hAnsi="宋体"/>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Pr>
          <w:rFonts w:ascii="宋体" w:hAnsi="宋体" w:hint="eastAsia"/>
          <w:bCs/>
          <w:sz w:val="24"/>
        </w:rPr>
        <w:t>。</w:t>
      </w:r>
    </w:p>
    <w:p w:rsidR="00CA468C" w:rsidRDefault="00CA468C">
      <w:pPr>
        <w:pStyle w:val="080318"/>
        <w:spacing w:line="312" w:lineRule="auto"/>
        <w:ind w:firstLineChars="0" w:firstLine="0"/>
        <w:rPr>
          <w:rFonts w:hAnsi="宋体"/>
          <w:kern w:val="0"/>
          <w:sz w:val="24"/>
          <w:szCs w:val="24"/>
        </w:rPr>
      </w:pPr>
    </w:p>
    <w:p w:rsidR="00CA468C" w:rsidRDefault="00CE40AF">
      <w:pPr>
        <w:pStyle w:val="1"/>
        <w:jc w:val="center"/>
        <w:rPr>
          <w:rFonts w:ascii="宋体" w:hAnsi="宋体"/>
        </w:rPr>
      </w:pPr>
      <w:bookmarkStart w:id="13" w:name="_Toc294776269"/>
      <w:bookmarkStart w:id="14" w:name="_Toc513102415"/>
      <w:r>
        <w:rPr>
          <w:rFonts w:ascii="宋体" w:hAnsi="宋体"/>
        </w:rPr>
        <w:br w:type="page"/>
      </w:r>
      <w:r>
        <w:rPr>
          <w:rFonts w:ascii="宋体" w:hAnsi="宋体" w:hint="eastAsia"/>
        </w:rPr>
        <w:t>七、本次认购当事人及中介机构</w:t>
      </w:r>
      <w:bookmarkEnd w:id="13"/>
      <w:bookmarkEnd w:id="14"/>
    </w:p>
    <w:p w:rsidR="00CA468C" w:rsidRDefault="00CA468C">
      <w:pPr>
        <w:adjustRightInd w:val="0"/>
        <w:snapToGrid w:val="0"/>
        <w:spacing w:line="312" w:lineRule="auto"/>
        <w:ind w:firstLineChars="200" w:firstLine="480"/>
        <w:rPr>
          <w:rFonts w:ascii="宋体" w:hAnsi="宋体"/>
          <w:sz w:val="24"/>
        </w:rPr>
      </w:pPr>
    </w:p>
    <w:p w:rsidR="00CA468C" w:rsidRDefault="00CE40AF">
      <w:pPr>
        <w:adjustRightInd w:val="0"/>
        <w:snapToGrid w:val="0"/>
        <w:spacing w:line="312" w:lineRule="auto"/>
        <w:ind w:firstLineChars="200" w:firstLine="480"/>
        <w:rPr>
          <w:rFonts w:ascii="宋体" w:hAnsi="宋体"/>
          <w:sz w:val="24"/>
        </w:rPr>
      </w:pPr>
      <w:r>
        <w:rPr>
          <w:rFonts w:ascii="宋体" w:hAnsi="宋体" w:hint="eastAsia"/>
          <w:sz w:val="24"/>
        </w:rPr>
        <w:t>（一）基金管理人</w:t>
      </w:r>
    </w:p>
    <w:tbl>
      <w:tblPr>
        <w:tblW w:w="8364" w:type="dxa"/>
        <w:tblInd w:w="-10" w:type="dxa"/>
        <w:tblLayout w:type="fixed"/>
        <w:tblCellMar>
          <w:left w:w="0" w:type="dxa"/>
          <w:right w:w="0" w:type="dxa"/>
        </w:tblCellMar>
        <w:tblLook w:val="04A0"/>
      </w:tblPr>
      <w:tblGrid>
        <w:gridCol w:w="1701"/>
        <w:gridCol w:w="1985"/>
        <w:gridCol w:w="1276"/>
        <w:gridCol w:w="3402"/>
      </w:tblGrid>
      <w:tr w:rsidR="00CA468C" w:rsidTr="00617516">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名称</w:t>
            </w:r>
          </w:p>
        </w:tc>
        <w:tc>
          <w:tcPr>
            <w:tcW w:w="6663"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银华基金管理股份有限公司</w:t>
            </w:r>
          </w:p>
        </w:tc>
      </w:tr>
      <w:tr w:rsidR="00CA468C" w:rsidTr="00617516">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住所</w:t>
            </w:r>
          </w:p>
        </w:tc>
        <w:tc>
          <w:tcPr>
            <w:tcW w:w="6663"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深圳市福田区深南大道6008号特区报业大厦19层</w:t>
            </w:r>
          </w:p>
        </w:tc>
      </w:tr>
      <w:tr w:rsidR="00CA468C" w:rsidTr="00617516">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办公地址</w:t>
            </w:r>
          </w:p>
        </w:tc>
        <w:tc>
          <w:tcPr>
            <w:tcW w:w="666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bCs/>
                <w:kern w:val="0"/>
                <w:sz w:val="24"/>
              </w:rPr>
              <w:t>北京市东城区东长安街1号东方广场东方经贸城C2办公楼15层</w:t>
            </w:r>
          </w:p>
        </w:tc>
      </w:tr>
      <w:tr w:rsidR="00CA468C" w:rsidTr="00617516">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法定代表人</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王珠林</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设立日期</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kern w:val="0"/>
                <w:sz w:val="24"/>
              </w:rPr>
              <w:t>2001年5月28日</w:t>
            </w:r>
          </w:p>
        </w:tc>
      </w:tr>
      <w:tr w:rsidR="00CA468C" w:rsidTr="00617516">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批准设立机关</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中国证监会</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批准设立文号</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中国证监会证监基金字</w:t>
            </w:r>
            <w:r>
              <w:rPr>
                <w:rFonts w:ascii="宋体" w:hAnsi="宋体" w:cs="宋体"/>
                <w:kern w:val="0"/>
                <w:sz w:val="24"/>
              </w:rPr>
              <w:t>[2001]7号</w:t>
            </w:r>
          </w:p>
        </w:tc>
      </w:tr>
      <w:tr w:rsidR="00CA468C" w:rsidTr="00617516">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组织形式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股份有限公司</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注册资本</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bCs/>
                <w:kern w:val="0"/>
                <w:sz w:val="24"/>
              </w:rPr>
              <w:t>2.222亿元人民币</w:t>
            </w:r>
          </w:p>
        </w:tc>
      </w:tr>
      <w:tr w:rsidR="00CA468C" w:rsidTr="00617516">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存续期间</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持续经营</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联系人</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兰健</w:t>
            </w:r>
          </w:p>
        </w:tc>
      </w:tr>
      <w:tr w:rsidR="00CA468C" w:rsidTr="00617516">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电话</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kern w:val="0"/>
                <w:sz w:val="24"/>
              </w:rPr>
              <w:t>010-</w:t>
            </w:r>
            <w:r>
              <w:rPr>
                <w:rFonts w:ascii="宋体" w:hAnsi="宋体" w:cs="宋体" w:hint="eastAsia"/>
                <w:kern w:val="0"/>
                <w:sz w:val="24"/>
              </w:rPr>
              <w:t>58163000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传真</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kern w:val="0"/>
                <w:sz w:val="24"/>
              </w:rPr>
              <w:t>010-58163090</w:t>
            </w:r>
          </w:p>
        </w:tc>
      </w:tr>
    </w:tbl>
    <w:p w:rsidR="00617516" w:rsidRPr="00617516" w:rsidRDefault="00617516" w:rsidP="00617516">
      <w:pPr>
        <w:widowControl/>
        <w:spacing w:line="360" w:lineRule="auto"/>
        <w:ind w:firstLineChars="200" w:firstLine="480"/>
        <w:rPr>
          <w:rFonts w:ascii="宋体" w:hAnsi="宋体"/>
          <w:bCs/>
          <w:sz w:val="24"/>
        </w:rPr>
      </w:pPr>
      <w:r w:rsidRPr="00617516">
        <w:rPr>
          <w:rFonts w:ascii="宋体" w:hAnsi="宋体" w:hint="eastAsia"/>
          <w:bCs/>
          <w:sz w:val="24"/>
        </w:rPr>
        <w:t>银华基金管理有限公司成立于2001年5月28日，是经中国证监会批准（证监基金字[2001]7号文）设立的全国性资产管理公司。公司注册资本为2.222亿元人民币，公司的股权结构为西南证券股份有限公司（出资比例44.10%）、第一创业证券股份有限公司（出资比例26.10%）、东北证券股份有限公司（出资比例18.90%）、山西海鑫实业有限公司（出资比例0.90%）、珠海银华聚义投资合伙企业（有限合伙）（出资比例3.57%）、珠海银华致信投资合伙企业（有限合伙）（出资比例3.20%）及珠海银华汇玥投资合伙企业（有限合伙）（出资比例3.22%）。公司的主要业务是基金募集、基金销售、资产管理及中国证监会许可的其他业务。公司注册地为广东省深圳市。银华基金管理有限公司的法定名称已于2016年8月9日起变更为“银华基金管理股份有限公司”。</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（二）基金托管人</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名称：上海浦东发展银行股份有限公司</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注册地址：上海市中山东一路12号</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办公地址：上海市博成路1388号浦银中心A栋</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法定代表人：张为忠</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成立时间：1992年10月19日</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经营范围：经中国人民银行和中国银行业监督管理委员会批准，公司主营业务主要包括：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经中国人民银行和中国银行业监督管理委员会批准经营的其他业务。</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组织形式：股份有限公司（上市）</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注册资本：293.52亿元人民币</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存续期间：持续经营</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基金托管资格批文及文号：中国证监会证监基金字[2003]105号</w:t>
      </w:r>
    </w:p>
    <w:p w:rsidR="00617516" w:rsidRPr="00617516" w:rsidRDefault="00617516" w:rsidP="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联系人：朱萍</w:t>
      </w:r>
    </w:p>
    <w:p w:rsidR="00CA468C" w:rsidRDefault="00617516">
      <w:pPr>
        <w:adjustRightInd w:val="0"/>
        <w:snapToGrid w:val="0"/>
        <w:spacing w:line="360" w:lineRule="auto"/>
        <w:ind w:firstLineChars="200" w:firstLine="480"/>
        <w:rPr>
          <w:rFonts w:ascii="宋体" w:hAnsi="宋体"/>
          <w:kern w:val="0"/>
          <w:sz w:val="24"/>
          <w:szCs w:val="20"/>
        </w:rPr>
      </w:pPr>
      <w:r w:rsidRPr="00617516">
        <w:rPr>
          <w:rFonts w:ascii="宋体" w:hAnsi="宋体" w:hint="eastAsia"/>
          <w:kern w:val="0"/>
          <w:sz w:val="24"/>
          <w:szCs w:val="20"/>
        </w:rPr>
        <w:t>联系电话：（021）31888888</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（三）销售机构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直销机构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本基金直销机构详见本发售公告“一、基金认购的基本情况”之“（十三）销售机构”。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其他销售机构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本基金其他销售机构详见本发售公告“一、基金认购的基本情况”之“（十三）销售机构”。</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基金管理人可根据《中华人民共和国证券投资基金法》、《公开募集证券投资基金运作管理办法》、《公开募集证券投资基金销售机构监督管理办法》和基金合同等的规定，选择其他符合要求的机构销售本基金，并在</w:t>
      </w:r>
      <w:r>
        <w:rPr>
          <w:rFonts w:ascii="宋体" w:hAnsi="宋体"/>
          <w:sz w:val="24"/>
        </w:rPr>
        <w:t>基金管理人网站公示</w:t>
      </w:r>
      <w:r>
        <w:rPr>
          <w:rFonts w:ascii="宋体" w:hAnsi="宋体" w:hint="eastAsia"/>
          <w:sz w:val="24"/>
        </w:rPr>
        <w:t>。</w:t>
      </w:r>
    </w:p>
    <w:p w:rsidR="00CA468C" w:rsidRDefault="00CE40AF">
      <w:pPr>
        <w:adjustRightInd w:val="0"/>
        <w:snapToGrid w:val="0"/>
        <w:spacing w:line="360" w:lineRule="auto"/>
        <w:ind w:firstLineChars="200" w:firstLine="480"/>
        <w:rPr>
          <w:rFonts w:ascii="宋体" w:hAnsi="宋体"/>
          <w:sz w:val="24"/>
        </w:rPr>
      </w:pPr>
      <w:r>
        <w:rPr>
          <w:rFonts w:ascii="宋体" w:hAnsi="宋体" w:hint="eastAsia"/>
          <w:sz w:val="24"/>
        </w:rPr>
        <w:t>（四）登记机构</w:t>
      </w:r>
    </w:p>
    <w:tbl>
      <w:tblPr>
        <w:tblW w:w="0" w:type="auto"/>
        <w:tblInd w:w="-10" w:type="dxa"/>
        <w:tblLayout w:type="fixed"/>
        <w:tblCellMar>
          <w:left w:w="0" w:type="dxa"/>
          <w:right w:w="0" w:type="dxa"/>
        </w:tblCellMar>
        <w:tblLook w:val="04A0"/>
      </w:tblPr>
      <w:tblGrid>
        <w:gridCol w:w="1418"/>
        <w:gridCol w:w="3542"/>
        <w:gridCol w:w="1135"/>
        <w:gridCol w:w="2269"/>
      </w:tblGrid>
      <w:tr w:rsidR="00CA468C">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名称</w:t>
            </w:r>
          </w:p>
        </w:tc>
        <w:tc>
          <w:tcPr>
            <w:tcW w:w="6946" w:type="dxa"/>
            <w:gridSpan w:val="3"/>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hint="eastAsia"/>
                <w:sz w:val="24"/>
              </w:rPr>
              <w:t>银华基金管理股份有限公司</w:t>
            </w:r>
          </w:p>
        </w:tc>
      </w:tr>
      <w:tr w:rsidR="00CA468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A468C" w:rsidRDefault="00CE40AF">
            <w:pPr>
              <w:widowControl/>
              <w:autoSpaceDE w:val="0"/>
              <w:autoSpaceDN w:val="0"/>
              <w:spacing w:line="360" w:lineRule="auto"/>
              <w:rPr>
                <w:rFonts w:ascii="宋体" w:hAnsi="宋体"/>
                <w:sz w:val="24"/>
              </w:rPr>
            </w:pPr>
            <w:r>
              <w:rPr>
                <w:rFonts w:ascii="宋体" w:hAnsi="宋体" w:hint="eastAsia"/>
                <w:sz w:val="24"/>
              </w:rPr>
              <w:t>住所</w:t>
            </w:r>
          </w:p>
        </w:tc>
        <w:tc>
          <w:tcPr>
            <w:tcW w:w="6946"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tcPr>
          <w:p w:rsidR="00CA468C" w:rsidRDefault="00CE40AF">
            <w:pPr>
              <w:widowControl/>
              <w:autoSpaceDE w:val="0"/>
              <w:autoSpaceDN w:val="0"/>
              <w:spacing w:line="360" w:lineRule="auto"/>
              <w:rPr>
                <w:rFonts w:ascii="宋体" w:hAnsi="宋体"/>
                <w:sz w:val="24"/>
              </w:rPr>
            </w:pPr>
            <w:r>
              <w:rPr>
                <w:rFonts w:ascii="宋体" w:hAnsi="宋体" w:hint="eastAsia"/>
                <w:sz w:val="24"/>
              </w:rPr>
              <w:t>深圳市福田区深南大道6008号特区报业大厦19层</w:t>
            </w:r>
          </w:p>
        </w:tc>
      </w:tr>
      <w:tr w:rsidR="00CA468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办公地址</w:t>
            </w:r>
          </w:p>
        </w:tc>
        <w:tc>
          <w:tcPr>
            <w:tcW w:w="6946"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北京市东城区东长安街1号东方广场东方经贸城C2办公楼15层</w:t>
            </w:r>
          </w:p>
        </w:tc>
      </w:tr>
      <w:tr w:rsidR="00CA468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法定代表人</w:t>
            </w:r>
          </w:p>
        </w:tc>
        <w:tc>
          <w:tcPr>
            <w:tcW w:w="3542"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sz w:val="24"/>
              </w:rPr>
            </w:pPr>
            <w:r>
              <w:rPr>
                <w:rFonts w:ascii="宋体" w:hAnsi="宋体" w:hint="eastAsia"/>
                <w:sz w:val="24"/>
              </w:rPr>
              <w:t>王珠林</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联系人</w:t>
            </w:r>
          </w:p>
        </w:tc>
        <w:tc>
          <w:tcPr>
            <w:tcW w:w="22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color w:val="000000"/>
                <w:sz w:val="24"/>
              </w:rPr>
              <w:t>伍军辉</w:t>
            </w:r>
          </w:p>
        </w:tc>
      </w:tr>
      <w:tr w:rsidR="00CA468C">
        <w:tc>
          <w:tcPr>
            <w:tcW w:w="14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电话</w:t>
            </w:r>
          </w:p>
        </w:tc>
        <w:tc>
          <w:tcPr>
            <w:tcW w:w="3542"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sz w:val="24"/>
              </w:rPr>
            </w:pPr>
            <w:r>
              <w:rPr>
                <w:rFonts w:ascii="宋体" w:hAnsi="宋体" w:hint="eastAsia"/>
                <w:sz w:val="24"/>
              </w:rPr>
              <w:t>010</w:t>
            </w:r>
            <w:r>
              <w:rPr>
                <w:rFonts w:ascii="宋体" w:hAnsi="宋体"/>
                <w:sz w:val="24"/>
              </w:rPr>
              <w:t>-58163000</w:t>
            </w:r>
          </w:p>
        </w:tc>
        <w:tc>
          <w:tcPr>
            <w:tcW w:w="1135"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autoSpaceDE w:val="0"/>
              <w:autoSpaceDN w:val="0"/>
              <w:spacing w:line="360" w:lineRule="auto"/>
              <w:rPr>
                <w:rFonts w:ascii="宋体" w:hAnsi="宋体" w:cs="宋体"/>
                <w:kern w:val="0"/>
                <w:sz w:val="24"/>
              </w:rPr>
            </w:pPr>
            <w:r>
              <w:rPr>
                <w:rFonts w:ascii="宋体" w:hAnsi="宋体" w:cs="宋体" w:hint="eastAsia"/>
                <w:kern w:val="0"/>
                <w:sz w:val="24"/>
              </w:rPr>
              <w:t>传真</w:t>
            </w:r>
          </w:p>
        </w:tc>
        <w:tc>
          <w:tcPr>
            <w:tcW w:w="2269" w:type="dxa"/>
            <w:tcBorders>
              <w:top w:val="nil"/>
              <w:left w:val="nil"/>
              <w:bottom w:val="single" w:sz="8" w:space="0" w:color="auto"/>
              <w:right w:val="single" w:sz="8" w:space="0" w:color="auto"/>
            </w:tcBorders>
            <w:tcMar>
              <w:top w:w="0" w:type="dxa"/>
              <w:left w:w="108" w:type="dxa"/>
              <w:bottom w:w="0" w:type="dxa"/>
              <w:right w:w="108" w:type="dxa"/>
            </w:tcMar>
          </w:tcPr>
          <w:p w:rsidR="00CA468C" w:rsidRDefault="00CE40AF">
            <w:pPr>
              <w:widowControl/>
              <w:autoSpaceDE w:val="0"/>
              <w:autoSpaceDN w:val="0"/>
              <w:spacing w:line="360" w:lineRule="auto"/>
              <w:rPr>
                <w:rFonts w:ascii="宋体" w:hAnsi="宋体" w:cs="宋体"/>
                <w:kern w:val="0"/>
                <w:sz w:val="24"/>
              </w:rPr>
            </w:pPr>
            <w:r>
              <w:rPr>
                <w:rFonts w:ascii="宋体" w:hAnsi="宋体" w:hint="eastAsia"/>
                <w:sz w:val="24"/>
              </w:rPr>
              <w:t>010-</w:t>
            </w:r>
            <w:r>
              <w:rPr>
                <w:rFonts w:ascii="宋体" w:hAnsi="宋体"/>
                <w:sz w:val="24"/>
              </w:rPr>
              <w:t>58162824</w:t>
            </w:r>
          </w:p>
        </w:tc>
      </w:tr>
    </w:tbl>
    <w:p w:rsidR="00CA468C" w:rsidRDefault="00CE40AF" w:rsidP="009921C9">
      <w:pPr>
        <w:adjustRightInd w:val="0"/>
        <w:snapToGrid w:val="0"/>
        <w:spacing w:beforeLines="50" w:line="360" w:lineRule="auto"/>
        <w:ind w:firstLineChars="200" w:firstLine="480"/>
        <w:rPr>
          <w:rFonts w:ascii="宋体" w:hAnsi="宋体"/>
          <w:sz w:val="24"/>
        </w:rPr>
      </w:pPr>
      <w:r>
        <w:rPr>
          <w:rFonts w:ascii="宋体" w:hAnsi="宋体" w:hint="eastAsia"/>
          <w:sz w:val="24"/>
        </w:rPr>
        <w:t>（五）出具法律意见书的律师事务所</w:t>
      </w:r>
    </w:p>
    <w:tbl>
      <w:tblPr>
        <w:tblW w:w="8482" w:type="dxa"/>
        <w:tblInd w:w="-10" w:type="dxa"/>
        <w:tblLayout w:type="fixed"/>
        <w:tblCellMar>
          <w:left w:w="0" w:type="dxa"/>
          <w:right w:w="0" w:type="dxa"/>
        </w:tblCellMar>
        <w:tblLook w:val="04A0"/>
      </w:tblPr>
      <w:tblGrid>
        <w:gridCol w:w="2120"/>
        <w:gridCol w:w="2402"/>
        <w:gridCol w:w="1081"/>
        <w:gridCol w:w="2879"/>
      </w:tblGrid>
      <w:tr w:rsidR="00CA468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名称</w:t>
            </w:r>
          </w:p>
        </w:tc>
        <w:tc>
          <w:tcPr>
            <w:tcW w:w="595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上海源泰律师事务所</w:t>
            </w:r>
          </w:p>
        </w:tc>
      </w:tr>
      <w:tr w:rsidR="00CA468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住所及办公地址</w:t>
            </w:r>
          </w:p>
        </w:tc>
        <w:tc>
          <w:tcPr>
            <w:tcW w:w="595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rsidP="00121E36">
            <w:pPr>
              <w:widowControl/>
              <w:spacing w:line="360" w:lineRule="auto"/>
              <w:jc w:val="left"/>
              <w:rPr>
                <w:rFonts w:ascii="宋体" w:hAnsi="宋体"/>
                <w:sz w:val="24"/>
              </w:rPr>
            </w:pPr>
            <w:r>
              <w:rPr>
                <w:rFonts w:ascii="宋体" w:hAnsi="宋体" w:hint="eastAsia"/>
                <w:sz w:val="24"/>
              </w:rPr>
              <w:t>上海市浦东新区浦东南路256号华夏银行大厦14</w:t>
            </w:r>
            <w:r w:rsidR="00121E36">
              <w:rPr>
                <w:rFonts w:ascii="宋体" w:hAnsi="宋体"/>
                <w:sz w:val="24"/>
              </w:rPr>
              <w:t>05室</w:t>
            </w:r>
          </w:p>
        </w:tc>
      </w:tr>
      <w:tr w:rsidR="00CA468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负责人</w:t>
            </w:r>
          </w:p>
        </w:tc>
        <w:tc>
          <w:tcPr>
            <w:tcW w:w="2248"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廖海</w:t>
            </w:r>
          </w:p>
        </w:tc>
        <w:tc>
          <w:tcPr>
            <w:tcW w:w="10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联系人</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刘佳</w:t>
            </w:r>
          </w:p>
        </w:tc>
      </w:tr>
      <w:tr w:rsidR="00CA468C">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电话</w:t>
            </w:r>
          </w:p>
        </w:tc>
        <w:tc>
          <w:tcPr>
            <w:tcW w:w="2248"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sz w:val="24"/>
              </w:rPr>
              <w:t>021-51150298</w:t>
            </w:r>
          </w:p>
        </w:tc>
        <w:tc>
          <w:tcPr>
            <w:tcW w:w="1012"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传真</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sz w:val="24"/>
              </w:rPr>
              <w:t>021-51150398</w:t>
            </w:r>
          </w:p>
        </w:tc>
      </w:tr>
      <w:tr w:rsidR="00CA468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经办律师</w:t>
            </w:r>
          </w:p>
        </w:tc>
        <w:tc>
          <w:tcPr>
            <w:tcW w:w="595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A468C" w:rsidRDefault="00CE40AF">
            <w:pPr>
              <w:widowControl/>
              <w:spacing w:line="360" w:lineRule="auto"/>
              <w:jc w:val="left"/>
              <w:rPr>
                <w:rFonts w:ascii="宋体" w:hAnsi="宋体"/>
                <w:sz w:val="24"/>
              </w:rPr>
            </w:pPr>
            <w:r>
              <w:rPr>
                <w:rFonts w:ascii="宋体" w:hAnsi="宋体" w:hint="eastAsia"/>
                <w:sz w:val="24"/>
              </w:rPr>
              <w:t>刘佳、姜亚萍</w:t>
            </w:r>
          </w:p>
        </w:tc>
      </w:tr>
    </w:tbl>
    <w:p w:rsidR="00CA468C" w:rsidRDefault="00CE40AF" w:rsidP="009921C9">
      <w:pPr>
        <w:adjustRightInd w:val="0"/>
        <w:snapToGrid w:val="0"/>
        <w:spacing w:beforeLines="50" w:line="360" w:lineRule="auto"/>
        <w:ind w:firstLineChars="200" w:firstLine="480"/>
        <w:rPr>
          <w:rFonts w:ascii="宋体" w:hAnsi="宋体"/>
          <w:sz w:val="24"/>
        </w:rPr>
      </w:pPr>
      <w:r>
        <w:rPr>
          <w:rFonts w:ascii="宋体" w:hAnsi="宋体" w:hint="eastAsia"/>
          <w:sz w:val="24"/>
        </w:rPr>
        <w:t>（六）审计基金财产的会计师事务所及经办注册会计师</w:t>
      </w:r>
    </w:p>
    <w:tbl>
      <w:tblPr>
        <w:tblW w:w="8416" w:type="dxa"/>
        <w:tblInd w:w="-10" w:type="dxa"/>
        <w:tblLayout w:type="fixed"/>
        <w:tblCellMar>
          <w:left w:w="0" w:type="dxa"/>
          <w:right w:w="0" w:type="dxa"/>
        </w:tblCellMar>
        <w:tblLook w:val="0000"/>
      </w:tblPr>
      <w:tblGrid>
        <w:gridCol w:w="2268"/>
        <w:gridCol w:w="2696"/>
        <w:gridCol w:w="992"/>
        <w:gridCol w:w="2460"/>
      </w:tblGrid>
      <w:tr w:rsidR="00CF22C2" w:rsidTr="00CF22C2">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名称</w:t>
            </w:r>
          </w:p>
        </w:tc>
        <w:tc>
          <w:tcPr>
            <w:tcW w:w="614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22C2" w:rsidRDefault="004C14BC" w:rsidP="00E312A3">
            <w:pPr>
              <w:widowControl/>
              <w:spacing w:line="360" w:lineRule="auto"/>
              <w:jc w:val="left"/>
              <w:rPr>
                <w:rFonts w:ascii="宋体" w:hAnsi="宋体"/>
                <w:sz w:val="24"/>
              </w:rPr>
            </w:pPr>
            <w:hyperlink r:id="rId11" w:tgtFrame="https://cn.bing.com/_blank" w:history="1">
              <w:r w:rsidR="00CF22C2">
                <w:rPr>
                  <w:rFonts w:ascii="宋体" w:hAnsi="宋体" w:hint="eastAsia"/>
                  <w:sz w:val="24"/>
                </w:rPr>
                <w:t>安永华明会计师事务所</w:t>
              </w:r>
            </w:hyperlink>
            <w:r w:rsidR="00CF22C2">
              <w:rPr>
                <w:rFonts w:ascii="宋体" w:hAnsi="宋体" w:hint="eastAsia"/>
                <w:sz w:val="24"/>
              </w:rPr>
              <w:t>（特殊普通合伙）</w:t>
            </w:r>
          </w:p>
        </w:tc>
      </w:tr>
      <w:tr w:rsidR="00CF22C2" w:rsidTr="00CF22C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住所及办公地址</w:t>
            </w:r>
          </w:p>
        </w:tc>
        <w:tc>
          <w:tcPr>
            <w:tcW w:w="614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sz w:val="24"/>
              </w:rPr>
              <w:t>北京市东城区东长安街1号东方广场安永大楼17层01-12室</w:t>
            </w:r>
          </w:p>
        </w:tc>
      </w:tr>
      <w:tr w:rsidR="00CF22C2" w:rsidTr="00CF22C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法定代表人</w:t>
            </w:r>
          </w:p>
        </w:tc>
        <w:tc>
          <w:tcPr>
            <w:tcW w:w="2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sz w:val="24"/>
              </w:rPr>
              <w:t>毛鞍宁</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联系人</w:t>
            </w:r>
          </w:p>
        </w:tc>
        <w:tc>
          <w:tcPr>
            <w:tcW w:w="24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蒋燕华</w:t>
            </w:r>
          </w:p>
        </w:tc>
      </w:tr>
      <w:tr w:rsidR="00CF22C2" w:rsidTr="00CF22C2">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电话</w:t>
            </w:r>
          </w:p>
        </w:tc>
        <w:tc>
          <w:tcPr>
            <w:tcW w:w="2696" w:type="dxa"/>
            <w:tcBorders>
              <w:top w:val="nil"/>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sz w:val="24"/>
              </w:rPr>
              <w:t>010-58153000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传真</w:t>
            </w:r>
          </w:p>
        </w:tc>
        <w:tc>
          <w:tcPr>
            <w:tcW w:w="2460" w:type="dxa"/>
            <w:tcBorders>
              <w:top w:val="nil"/>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sz w:val="24"/>
              </w:rPr>
              <w:t>010-85188298</w:t>
            </w:r>
          </w:p>
        </w:tc>
      </w:tr>
      <w:tr w:rsidR="00CF22C2" w:rsidTr="00CF22C2">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经办注册会计师</w:t>
            </w:r>
          </w:p>
        </w:tc>
        <w:tc>
          <w:tcPr>
            <w:tcW w:w="614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F22C2" w:rsidRDefault="00CF22C2" w:rsidP="00E312A3">
            <w:pPr>
              <w:widowControl/>
              <w:spacing w:line="360" w:lineRule="auto"/>
              <w:jc w:val="left"/>
              <w:rPr>
                <w:rFonts w:ascii="宋体" w:hAnsi="宋体"/>
                <w:sz w:val="24"/>
              </w:rPr>
            </w:pPr>
            <w:r>
              <w:rPr>
                <w:rFonts w:ascii="宋体" w:hAnsi="宋体" w:hint="eastAsia"/>
                <w:sz w:val="24"/>
              </w:rPr>
              <w:t>蒋燕华、朱燕</w:t>
            </w:r>
          </w:p>
        </w:tc>
      </w:tr>
    </w:tbl>
    <w:p w:rsidR="00CA468C" w:rsidRDefault="00CA468C">
      <w:pPr>
        <w:adjustRightInd w:val="0"/>
        <w:snapToGrid w:val="0"/>
        <w:spacing w:line="360" w:lineRule="auto"/>
        <w:ind w:firstLineChars="200" w:firstLine="480"/>
        <w:rPr>
          <w:rFonts w:ascii="宋体" w:hAnsi="宋体"/>
          <w:sz w:val="24"/>
        </w:rPr>
      </w:pPr>
    </w:p>
    <w:p w:rsidR="00CA468C" w:rsidRDefault="00CA468C">
      <w:pPr>
        <w:adjustRightInd w:val="0"/>
        <w:snapToGrid w:val="0"/>
        <w:spacing w:line="360" w:lineRule="auto"/>
        <w:ind w:firstLineChars="200" w:firstLine="480"/>
        <w:rPr>
          <w:rFonts w:ascii="宋体" w:hAnsi="宋体"/>
          <w:sz w:val="24"/>
        </w:rPr>
      </w:pPr>
    </w:p>
    <w:p w:rsidR="00CA468C" w:rsidRDefault="00CE40AF">
      <w:pPr>
        <w:adjustRightInd w:val="0"/>
        <w:snapToGrid w:val="0"/>
        <w:spacing w:line="360" w:lineRule="auto"/>
        <w:ind w:firstLineChars="200" w:firstLine="480"/>
        <w:jc w:val="right"/>
        <w:rPr>
          <w:rFonts w:ascii="宋体" w:hAnsi="宋体"/>
          <w:sz w:val="24"/>
        </w:rPr>
      </w:pPr>
      <w:r>
        <w:rPr>
          <w:rFonts w:ascii="宋体" w:hAnsi="宋体" w:hint="eastAsia"/>
          <w:sz w:val="24"/>
        </w:rPr>
        <w:t>银华基金管理股份有限公司</w:t>
      </w:r>
    </w:p>
    <w:p w:rsidR="00CA468C" w:rsidRDefault="00CF22C2">
      <w:pPr>
        <w:adjustRightInd w:val="0"/>
        <w:snapToGrid w:val="0"/>
        <w:spacing w:line="360" w:lineRule="auto"/>
        <w:ind w:firstLineChars="200" w:firstLine="480"/>
        <w:jc w:val="right"/>
        <w:rPr>
          <w:rFonts w:ascii="宋体" w:hAnsi="宋体"/>
          <w:sz w:val="24"/>
        </w:rPr>
      </w:pPr>
      <w:r>
        <w:rPr>
          <w:rFonts w:ascii="宋体" w:hAnsi="宋体" w:hint="eastAsia"/>
          <w:sz w:val="24"/>
        </w:rPr>
        <w:t>20</w:t>
      </w:r>
      <w:r>
        <w:rPr>
          <w:rFonts w:ascii="宋体" w:hAnsi="宋体"/>
          <w:sz w:val="24"/>
        </w:rPr>
        <w:t>25</w:t>
      </w:r>
      <w:r w:rsidR="00CE40AF">
        <w:rPr>
          <w:rFonts w:ascii="宋体" w:hAnsi="宋体" w:hint="eastAsia"/>
          <w:sz w:val="24"/>
        </w:rPr>
        <w:t>年</w:t>
      </w:r>
      <w:r w:rsidR="00282E79">
        <w:rPr>
          <w:rFonts w:ascii="宋体" w:hAnsi="宋体"/>
          <w:sz w:val="24"/>
        </w:rPr>
        <w:t>3</w:t>
      </w:r>
      <w:r w:rsidR="00CE40AF">
        <w:rPr>
          <w:rFonts w:ascii="宋体" w:hAnsi="宋体" w:hint="eastAsia"/>
          <w:sz w:val="24"/>
        </w:rPr>
        <w:t>月</w:t>
      </w:r>
      <w:r w:rsidR="00282E79">
        <w:rPr>
          <w:rFonts w:ascii="宋体" w:hAnsi="宋体"/>
          <w:sz w:val="24"/>
        </w:rPr>
        <w:t>17</w:t>
      </w:r>
      <w:r w:rsidR="00CE40AF">
        <w:rPr>
          <w:rFonts w:ascii="宋体" w:hAnsi="宋体" w:hint="eastAsia"/>
          <w:sz w:val="24"/>
        </w:rPr>
        <w:t>日</w:t>
      </w:r>
    </w:p>
    <w:sectPr w:rsidR="00CA468C" w:rsidSect="004C14BC">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A8CDA9" w16cex:dateUtc="2025-02-27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6362F5" w16cid:durableId="5FA8CDA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2DA" w:rsidRDefault="00C132DA">
      <w:r>
        <w:separator/>
      </w:r>
    </w:p>
  </w:endnote>
  <w:endnote w:type="continuationSeparator" w:id="0">
    <w:p w:rsidR="00C132DA" w:rsidRDefault="00C13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default"/>
    <w:sig w:usb0="00000003" w:usb1="080E0000" w:usb2="00000010" w:usb3="00000000" w:csb0="00040001" w:csb1="00000000"/>
  </w:font>
  <w:font w:name="方正楷体简体">
    <w:charset w:val="86"/>
    <w:family w:val="auto"/>
    <w:pitch w:val="variable"/>
    <w:sig w:usb0="A00002BF" w:usb1="184F6CFA" w:usb2="00000012" w:usb3="00000000" w:csb0="00040001" w:csb1="00000000"/>
  </w:font>
  <w:font w:name="方正大标宋简体">
    <w:altName w:val="Arial Unicode MS"/>
    <w:charset w:val="86"/>
    <w:family w:val="script"/>
    <w:pitch w:val="fixed"/>
    <w:sig w:usb0="00000000" w:usb1="080E0000" w:usb2="00000010" w:usb3="00000000" w:csb0="00040001" w:csb1="00000000"/>
  </w:font>
  <w:font w:name="方正仿宋简体">
    <w:charset w:val="86"/>
    <w:family w:val="auto"/>
    <w:pitch w:val="variable"/>
    <w:sig w:usb0="A00002BF" w:usb1="184F6CFA" w:usb2="00000012" w:usb3="00000000" w:csb0="00040001" w:csb1="00000000"/>
  </w:font>
  <w:font w:name="方正黑体简体">
    <w:charset w:val="86"/>
    <w:family w:val="auto"/>
    <w:pitch w:val="variable"/>
    <w:sig w:usb0="A00002BF" w:usb1="184F6CFA" w:usb2="00000012" w:usb3="00000000" w:csb0="00040001" w:csb1="00000000"/>
  </w:font>
  <w:font w:name="Calibri Light">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8C" w:rsidRDefault="004C14BC">
    <w:pPr>
      <w:pStyle w:val="ab"/>
      <w:jc w:val="center"/>
      <w:rPr>
        <w:rFonts w:ascii="宋体" w:hAnsi="宋体"/>
        <w:sz w:val="21"/>
      </w:rPr>
    </w:pPr>
    <w:r>
      <w:rPr>
        <w:rFonts w:ascii="宋体" w:hAnsi="宋体"/>
        <w:sz w:val="21"/>
      </w:rPr>
      <w:fldChar w:fldCharType="begin"/>
    </w:r>
    <w:r w:rsidR="00CE40AF">
      <w:rPr>
        <w:rFonts w:ascii="宋体" w:hAnsi="宋体"/>
        <w:sz w:val="21"/>
      </w:rPr>
      <w:instrText xml:space="preserve"> PAGE   \* MERGEFORMAT </w:instrText>
    </w:r>
    <w:r>
      <w:rPr>
        <w:rFonts w:ascii="宋体" w:hAnsi="宋体"/>
        <w:sz w:val="21"/>
      </w:rPr>
      <w:fldChar w:fldCharType="separate"/>
    </w:r>
    <w:r w:rsidR="00121E36" w:rsidRPr="00121E36">
      <w:rPr>
        <w:rFonts w:ascii="宋体" w:hAnsi="宋体"/>
        <w:noProof/>
        <w:sz w:val="21"/>
        <w:lang w:val="zh-CN"/>
      </w:rPr>
      <w:t>1</w:t>
    </w:r>
    <w:r>
      <w:rPr>
        <w:rFonts w:ascii="宋体" w:hAnsi="宋体"/>
        <w:sz w:val="21"/>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8C" w:rsidRDefault="00CA468C">
    <w:pPr>
      <w:pStyle w:val="ab"/>
      <w:jc w:val="center"/>
    </w:pPr>
  </w:p>
  <w:p w:rsidR="00CA468C" w:rsidRDefault="00CA468C">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8C" w:rsidRDefault="004C14BC">
    <w:pPr>
      <w:pStyle w:val="ab"/>
      <w:jc w:val="center"/>
    </w:pPr>
    <w:r>
      <w:fldChar w:fldCharType="begin"/>
    </w:r>
    <w:r w:rsidR="00CE40AF">
      <w:instrText>PAGE   \* MERGEFORMAT</w:instrText>
    </w:r>
    <w:r>
      <w:fldChar w:fldCharType="separate"/>
    </w:r>
    <w:r w:rsidR="009921C9" w:rsidRPr="009921C9">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2DA" w:rsidRDefault="00C132DA">
      <w:r>
        <w:separator/>
      </w:r>
    </w:p>
  </w:footnote>
  <w:footnote w:type="continuationSeparator" w:id="0">
    <w:p w:rsidR="00C132DA" w:rsidRDefault="00C13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8C" w:rsidRDefault="00CA468C">
    <w:pPr>
      <w:pStyle w:val="ac"/>
      <w:tabs>
        <w:tab w:val="clear" w:pos="8306"/>
        <w:tab w:val="right" w:pos="8222"/>
      </w:tabs>
      <w:ind w:right="84"/>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68C" w:rsidRDefault="00CE40AF">
    <w:pPr>
      <w:pStyle w:val="ac"/>
      <w:jc w:val="both"/>
    </w:pPr>
    <w:r>
      <w:rPr>
        <w:rFonts w:hint="eastAsia"/>
        <w:color w:val="000000"/>
      </w:rPr>
      <w:t>银华</w:t>
    </w:r>
    <w:r w:rsidR="00065DC3" w:rsidRPr="00065DC3">
      <w:rPr>
        <w:rFonts w:hint="eastAsia"/>
        <w:color w:val="000000"/>
      </w:rPr>
      <w:t>季季丰</w:t>
    </w:r>
    <w:r w:rsidR="00065DC3" w:rsidRPr="00065DC3">
      <w:rPr>
        <w:rFonts w:hint="eastAsia"/>
        <w:color w:val="000000"/>
      </w:rPr>
      <w:t>90</w:t>
    </w:r>
    <w:r w:rsidR="00065DC3" w:rsidRPr="00065DC3">
      <w:rPr>
        <w:rFonts w:hint="eastAsia"/>
        <w:color w:val="000000"/>
      </w:rPr>
      <w:t>天滚动持有</w:t>
    </w:r>
    <w:r>
      <w:rPr>
        <w:rFonts w:hint="eastAsia"/>
        <w:color w:val="000000"/>
      </w:rPr>
      <w:t>债券型证券投资基金</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基金份额</w:t>
    </w:r>
    <w:r>
      <w:t>发售公告</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JjYjA3ZTQ2MTM1MDE2Njk1YjQxMTc0YTg5ODhiMTAifQ=="/>
  </w:docVars>
  <w:rsids>
    <w:rsidRoot w:val="00173925"/>
    <w:rsid w:val="00001806"/>
    <w:rsid w:val="00003446"/>
    <w:rsid w:val="000076C6"/>
    <w:rsid w:val="00015CC9"/>
    <w:rsid w:val="000220CA"/>
    <w:rsid w:val="00022C77"/>
    <w:rsid w:val="00027674"/>
    <w:rsid w:val="000278EC"/>
    <w:rsid w:val="00031DFF"/>
    <w:rsid w:val="000328C3"/>
    <w:rsid w:val="00035EC3"/>
    <w:rsid w:val="000400AA"/>
    <w:rsid w:val="000429F7"/>
    <w:rsid w:val="00050E91"/>
    <w:rsid w:val="00052759"/>
    <w:rsid w:val="00055047"/>
    <w:rsid w:val="000624BE"/>
    <w:rsid w:val="00065DC3"/>
    <w:rsid w:val="00066186"/>
    <w:rsid w:val="00071D42"/>
    <w:rsid w:val="000726F4"/>
    <w:rsid w:val="00074679"/>
    <w:rsid w:val="00075BB2"/>
    <w:rsid w:val="0008088D"/>
    <w:rsid w:val="00080AD9"/>
    <w:rsid w:val="0008210B"/>
    <w:rsid w:val="00082A24"/>
    <w:rsid w:val="00085199"/>
    <w:rsid w:val="00085349"/>
    <w:rsid w:val="00095D00"/>
    <w:rsid w:val="00097654"/>
    <w:rsid w:val="00097EA1"/>
    <w:rsid w:val="000A4732"/>
    <w:rsid w:val="000A47C0"/>
    <w:rsid w:val="000B0BDC"/>
    <w:rsid w:val="000B4D6A"/>
    <w:rsid w:val="000B5082"/>
    <w:rsid w:val="000B64C6"/>
    <w:rsid w:val="000C4B8C"/>
    <w:rsid w:val="000C77DA"/>
    <w:rsid w:val="000C7DBE"/>
    <w:rsid w:val="000E042E"/>
    <w:rsid w:val="000E0E6B"/>
    <w:rsid w:val="000E4057"/>
    <w:rsid w:val="000E4482"/>
    <w:rsid w:val="000E7A74"/>
    <w:rsid w:val="000F128D"/>
    <w:rsid w:val="000F4100"/>
    <w:rsid w:val="001052EE"/>
    <w:rsid w:val="00112B1A"/>
    <w:rsid w:val="00113851"/>
    <w:rsid w:val="0011572E"/>
    <w:rsid w:val="00117533"/>
    <w:rsid w:val="0011790B"/>
    <w:rsid w:val="00120C01"/>
    <w:rsid w:val="00121E36"/>
    <w:rsid w:val="00122AA4"/>
    <w:rsid w:val="00131975"/>
    <w:rsid w:val="00131CA6"/>
    <w:rsid w:val="00131EAB"/>
    <w:rsid w:val="001322D5"/>
    <w:rsid w:val="001350C8"/>
    <w:rsid w:val="001363C7"/>
    <w:rsid w:val="00136E86"/>
    <w:rsid w:val="001404D5"/>
    <w:rsid w:val="00143301"/>
    <w:rsid w:val="001447B5"/>
    <w:rsid w:val="00160BD3"/>
    <w:rsid w:val="00161944"/>
    <w:rsid w:val="0016457F"/>
    <w:rsid w:val="00166D20"/>
    <w:rsid w:val="001671A2"/>
    <w:rsid w:val="001704BD"/>
    <w:rsid w:val="0017380E"/>
    <w:rsid w:val="00173925"/>
    <w:rsid w:val="00173E02"/>
    <w:rsid w:val="00174FBE"/>
    <w:rsid w:val="00175944"/>
    <w:rsid w:val="00180715"/>
    <w:rsid w:val="00180D89"/>
    <w:rsid w:val="00194C49"/>
    <w:rsid w:val="001A2454"/>
    <w:rsid w:val="001A420C"/>
    <w:rsid w:val="001A7C59"/>
    <w:rsid w:val="001B047A"/>
    <w:rsid w:val="001B2A95"/>
    <w:rsid w:val="001C287D"/>
    <w:rsid w:val="001C29C4"/>
    <w:rsid w:val="001C760F"/>
    <w:rsid w:val="001D0219"/>
    <w:rsid w:val="001D556D"/>
    <w:rsid w:val="001D675E"/>
    <w:rsid w:val="001E0D17"/>
    <w:rsid w:val="001E0F58"/>
    <w:rsid w:val="001E1832"/>
    <w:rsid w:val="001E4F50"/>
    <w:rsid w:val="001E731A"/>
    <w:rsid w:val="001E7EB3"/>
    <w:rsid w:val="001F0366"/>
    <w:rsid w:val="001F18E3"/>
    <w:rsid w:val="00200DDA"/>
    <w:rsid w:val="0020686C"/>
    <w:rsid w:val="00212B96"/>
    <w:rsid w:val="002141C2"/>
    <w:rsid w:val="00217AC3"/>
    <w:rsid w:val="00217E7C"/>
    <w:rsid w:val="00217FD6"/>
    <w:rsid w:val="002234E0"/>
    <w:rsid w:val="00224417"/>
    <w:rsid w:val="0022622B"/>
    <w:rsid w:val="00226D83"/>
    <w:rsid w:val="00233606"/>
    <w:rsid w:val="00235EDE"/>
    <w:rsid w:val="00236B56"/>
    <w:rsid w:val="00241631"/>
    <w:rsid w:val="002462CC"/>
    <w:rsid w:val="00252C27"/>
    <w:rsid w:val="002614EB"/>
    <w:rsid w:val="002622F6"/>
    <w:rsid w:val="002658D4"/>
    <w:rsid w:val="00275828"/>
    <w:rsid w:val="00277592"/>
    <w:rsid w:val="00277FAA"/>
    <w:rsid w:val="00282E79"/>
    <w:rsid w:val="002836B6"/>
    <w:rsid w:val="0029055B"/>
    <w:rsid w:val="00292300"/>
    <w:rsid w:val="00295E59"/>
    <w:rsid w:val="002B283C"/>
    <w:rsid w:val="002B5FF0"/>
    <w:rsid w:val="002C0420"/>
    <w:rsid w:val="002C192B"/>
    <w:rsid w:val="002C26A1"/>
    <w:rsid w:val="002C66B9"/>
    <w:rsid w:val="002D1F3B"/>
    <w:rsid w:val="002D3EB9"/>
    <w:rsid w:val="002D743F"/>
    <w:rsid w:val="002E280F"/>
    <w:rsid w:val="002E7A5D"/>
    <w:rsid w:val="002F409C"/>
    <w:rsid w:val="002F7E25"/>
    <w:rsid w:val="00300AC9"/>
    <w:rsid w:val="00304C1D"/>
    <w:rsid w:val="003057BC"/>
    <w:rsid w:val="0030742E"/>
    <w:rsid w:val="00311724"/>
    <w:rsid w:val="0031538F"/>
    <w:rsid w:val="003201AE"/>
    <w:rsid w:val="00321E98"/>
    <w:rsid w:val="003261F6"/>
    <w:rsid w:val="00326341"/>
    <w:rsid w:val="00330AB9"/>
    <w:rsid w:val="003333A5"/>
    <w:rsid w:val="00334561"/>
    <w:rsid w:val="00336702"/>
    <w:rsid w:val="003422C9"/>
    <w:rsid w:val="003511B6"/>
    <w:rsid w:val="00351FBC"/>
    <w:rsid w:val="00353030"/>
    <w:rsid w:val="00355402"/>
    <w:rsid w:val="00362A22"/>
    <w:rsid w:val="0036387E"/>
    <w:rsid w:val="00367D1A"/>
    <w:rsid w:val="00372321"/>
    <w:rsid w:val="003819C8"/>
    <w:rsid w:val="00382707"/>
    <w:rsid w:val="00390C47"/>
    <w:rsid w:val="003933D7"/>
    <w:rsid w:val="003945C1"/>
    <w:rsid w:val="00394DB0"/>
    <w:rsid w:val="0039635B"/>
    <w:rsid w:val="003A24DB"/>
    <w:rsid w:val="003A350F"/>
    <w:rsid w:val="003A418A"/>
    <w:rsid w:val="003A5659"/>
    <w:rsid w:val="003A6866"/>
    <w:rsid w:val="003B0892"/>
    <w:rsid w:val="003B1BB7"/>
    <w:rsid w:val="003B4450"/>
    <w:rsid w:val="003B4909"/>
    <w:rsid w:val="003B5A06"/>
    <w:rsid w:val="003C50A0"/>
    <w:rsid w:val="003D0A03"/>
    <w:rsid w:val="003D5274"/>
    <w:rsid w:val="003D631C"/>
    <w:rsid w:val="003D799A"/>
    <w:rsid w:val="003E0772"/>
    <w:rsid w:val="003E3021"/>
    <w:rsid w:val="003E45C7"/>
    <w:rsid w:val="003E6F3D"/>
    <w:rsid w:val="003E7F58"/>
    <w:rsid w:val="003F1827"/>
    <w:rsid w:val="003F1E05"/>
    <w:rsid w:val="003F3BD8"/>
    <w:rsid w:val="004014B5"/>
    <w:rsid w:val="00403AC3"/>
    <w:rsid w:val="00405C45"/>
    <w:rsid w:val="00406538"/>
    <w:rsid w:val="00411DDF"/>
    <w:rsid w:val="00414BAC"/>
    <w:rsid w:val="00416038"/>
    <w:rsid w:val="00420391"/>
    <w:rsid w:val="00426638"/>
    <w:rsid w:val="00427B52"/>
    <w:rsid w:val="00431068"/>
    <w:rsid w:val="00432CD4"/>
    <w:rsid w:val="00432CE3"/>
    <w:rsid w:val="0043659C"/>
    <w:rsid w:val="00440FCB"/>
    <w:rsid w:val="00443757"/>
    <w:rsid w:val="004550F7"/>
    <w:rsid w:val="00455939"/>
    <w:rsid w:val="004629EB"/>
    <w:rsid w:val="00466033"/>
    <w:rsid w:val="0046753D"/>
    <w:rsid w:val="0047686E"/>
    <w:rsid w:val="00483CAA"/>
    <w:rsid w:val="0049277B"/>
    <w:rsid w:val="00493656"/>
    <w:rsid w:val="004A0877"/>
    <w:rsid w:val="004A0FB0"/>
    <w:rsid w:val="004A40E7"/>
    <w:rsid w:val="004A6123"/>
    <w:rsid w:val="004B0D60"/>
    <w:rsid w:val="004B18F2"/>
    <w:rsid w:val="004B1972"/>
    <w:rsid w:val="004B2130"/>
    <w:rsid w:val="004B2D6A"/>
    <w:rsid w:val="004B7E36"/>
    <w:rsid w:val="004C14BC"/>
    <w:rsid w:val="004C7E41"/>
    <w:rsid w:val="004D0217"/>
    <w:rsid w:val="004D1102"/>
    <w:rsid w:val="004D1A3E"/>
    <w:rsid w:val="004D2A9B"/>
    <w:rsid w:val="004D2F4B"/>
    <w:rsid w:val="004D6FBA"/>
    <w:rsid w:val="004E5BFC"/>
    <w:rsid w:val="004F0636"/>
    <w:rsid w:val="004F0D67"/>
    <w:rsid w:val="005019A8"/>
    <w:rsid w:val="00501E65"/>
    <w:rsid w:val="005107A4"/>
    <w:rsid w:val="00511543"/>
    <w:rsid w:val="005128BC"/>
    <w:rsid w:val="00513364"/>
    <w:rsid w:val="00514073"/>
    <w:rsid w:val="00520C36"/>
    <w:rsid w:val="00520D93"/>
    <w:rsid w:val="00522BC9"/>
    <w:rsid w:val="0052396B"/>
    <w:rsid w:val="005239EE"/>
    <w:rsid w:val="0052594B"/>
    <w:rsid w:val="00525A7E"/>
    <w:rsid w:val="0052715C"/>
    <w:rsid w:val="00527448"/>
    <w:rsid w:val="005312B8"/>
    <w:rsid w:val="005321A7"/>
    <w:rsid w:val="00532D7C"/>
    <w:rsid w:val="0053311E"/>
    <w:rsid w:val="00535ACF"/>
    <w:rsid w:val="00540640"/>
    <w:rsid w:val="005410D6"/>
    <w:rsid w:val="00541501"/>
    <w:rsid w:val="0054195A"/>
    <w:rsid w:val="00544AF4"/>
    <w:rsid w:val="00545128"/>
    <w:rsid w:val="005508A2"/>
    <w:rsid w:val="00551722"/>
    <w:rsid w:val="00553295"/>
    <w:rsid w:val="0055356F"/>
    <w:rsid w:val="005548EE"/>
    <w:rsid w:val="00554E52"/>
    <w:rsid w:val="0055574A"/>
    <w:rsid w:val="00561C59"/>
    <w:rsid w:val="00561E98"/>
    <w:rsid w:val="005659AC"/>
    <w:rsid w:val="005675DD"/>
    <w:rsid w:val="005721F1"/>
    <w:rsid w:val="00573B04"/>
    <w:rsid w:val="00575655"/>
    <w:rsid w:val="00583871"/>
    <w:rsid w:val="0058755E"/>
    <w:rsid w:val="0059738F"/>
    <w:rsid w:val="00597DCF"/>
    <w:rsid w:val="005A2325"/>
    <w:rsid w:val="005A23A1"/>
    <w:rsid w:val="005A5FF3"/>
    <w:rsid w:val="005B1EE2"/>
    <w:rsid w:val="005B29E5"/>
    <w:rsid w:val="005B4072"/>
    <w:rsid w:val="005B6873"/>
    <w:rsid w:val="005C0E96"/>
    <w:rsid w:val="005C0F93"/>
    <w:rsid w:val="005C1AD2"/>
    <w:rsid w:val="005C2857"/>
    <w:rsid w:val="005C35B2"/>
    <w:rsid w:val="005C3C4B"/>
    <w:rsid w:val="005C4B3B"/>
    <w:rsid w:val="005C4E30"/>
    <w:rsid w:val="005D01CB"/>
    <w:rsid w:val="005D7416"/>
    <w:rsid w:val="005D744B"/>
    <w:rsid w:val="005F094F"/>
    <w:rsid w:val="005F3368"/>
    <w:rsid w:val="005F5003"/>
    <w:rsid w:val="005F7BFD"/>
    <w:rsid w:val="00600E89"/>
    <w:rsid w:val="00603B1D"/>
    <w:rsid w:val="00606206"/>
    <w:rsid w:val="00610935"/>
    <w:rsid w:val="00610B4C"/>
    <w:rsid w:val="00617516"/>
    <w:rsid w:val="00622ADE"/>
    <w:rsid w:val="00622F5B"/>
    <w:rsid w:val="00623C3B"/>
    <w:rsid w:val="006243BE"/>
    <w:rsid w:val="006324EE"/>
    <w:rsid w:val="00632B1F"/>
    <w:rsid w:val="00632C48"/>
    <w:rsid w:val="00646646"/>
    <w:rsid w:val="006512FF"/>
    <w:rsid w:val="00653AD4"/>
    <w:rsid w:val="00656244"/>
    <w:rsid w:val="00663E61"/>
    <w:rsid w:val="00664BAD"/>
    <w:rsid w:val="00670D97"/>
    <w:rsid w:val="0067174F"/>
    <w:rsid w:val="006722EE"/>
    <w:rsid w:val="00675B87"/>
    <w:rsid w:val="00677975"/>
    <w:rsid w:val="006817AF"/>
    <w:rsid w:val="00684A14"/>
    <w:rsid w:val="00686B48"/>
    <w:rsid w:val="00694A7B"/>
    <w:rsid w:val="006A5959"/>
    <w:rsid w:val="006A5FA9"/>
    <w:rsid w:val="006B2694"/>
    <w:rsid w:val="006B58FB"/>
    <w:rsid w:val="006C1450"/>
    <w:rsid w:val="006C691F"/>
    <w:rsid w:val="006C76B0"/>
    <w:rsid w:val="006C7C9D"/>
    <w:rsid w:val="006D06BB"/>
    <w:rsid w:val="006D2BFD"/>
    <w:rsid w:val="006D3E38"/>
    <w:rsid w:val="006D5549"/>
    <w:rsid w:val="006E7966"/>
    <w:rsid w:val="006F2025"/>
    <w:rsid w:val="006F43C0"/>
    <w:rsid w:val="006F6822"/>
    <w:rsid w:val="006F7AF7"/>
    <w:rsid w:val="006F7E81"/>
    <w:rsid w:val="00704F4D"/>
    <w:rsid w:val="00704FA8"/>
    <w:rsid w:val="00706908"/>
    <w:rsid w:val="007112AE"/>
    <w:rsid w:val="00716DF7"/>
    <w:rsid w:val="007209D7"/>
    <w:rsid w:val="0072105F"/>
    <w:rsid w:val="0072558C"/>
    <w:rsid w:val="007301F9"/>
    <w:rsid w:val="0073029A"/>
    <w:rsid w:val="00732704"/>
    <w:rsid w:val="00734743"/>
    <w:rsid w:val="00734BA7"/>
    <w:rsid w:val="0073762F"/>
    <w:rsid w:val="00747768"/>
    <w:rsid w:val="0075259E"/>
    <w:rsid w:val="00756AB0"/>
    <w:rsid w:val="00762BD3"/>
    <w:rsid w:val="007759B3"/>
    <w:rsid w:val="00777573"/>
    <w:rsid w:val="007803A6"/>
    <w:rsid w:val="007809BC"/>
    <w:rsid w:val="0078173A"/>
    <w:rsid w:val="00782696"/>
    <w:rsid w:val="00784E30"/>
    <w:rsid w:val="00784EA5"/>
    <w:rsid w:val="00787E9B"/>
    <w:rsid w:val="00796D39"/>
    <w:rsid w:val="007A5577"/>
    <w:rsid w:val="007A589A"/>
    <w:rsid w:val="007A702B"/>
    <w:rsid w:val="007A775D"/>
    <w:rsid w:val="007C2353"/>
    <w:rsid w:val="007C3E93"/>
    <w:rsid w:val="007C4352"/>
    <w:rsid w:val="007C545D"/>
    <w:rsid w:val="007C6427"/>
    <w:rsid w:val="007D0A1E"/>
    <w:rsid w:val="007D1C38"/>
    <w:rsid w:val="007E12A2"/>
    <w:rsid w:val="007E18C0"/>
    <w:rsid w:val="007E3F53"/>
    <w:rsid w:val="007E45CB"/>
    <w:rsid w:val="007E46A1"/>
    <w:rsid w:val="007E737C"/>
    <w:rsid w:val="00800574"/>
    <w:rsid w:val="00800AAB"/>
    <w:rsid w:val="0080165A"/>
    <w:rsid w:val="0080283B"/>
    <w:rsid w:val="0080420D"/>
    <w:rsid w:val="00804309"/>
    <w:rsid w:val="00805D98"/>
    <w:rsid w:val="00807A3E"/>
    <w:rsid w:val="00807CEA"/>
    <w:rsid w:val="00810399"/>
    <w:rsid w:val="00811E18"/>
    <w:rsid w:val="008238C6"/>
    <w:rsid w:val="00823E74"/>
    <w:rsid w:val="008255BA"/>
    <w:rsid w:val="0082714F"/>
    <w:rsid w:val="00831352"/>
    <w:rsid w:val="00832A61"/>
    <w:rsid w:val="00835105"/>
    <w:rsid w:val="0083650A"/>
    <w:rsid w:val="008378D6"/>
    <w:rsid w:val="00840942"/>
    <w:rsid w:val="00841536"/>
    <w:rsid w:val="00841E45"/>
    <w:rsid w:val="00842A6A"/>
    <w:rsid w:val="00842CBE"/>
    <w:rsid w:val="0084500E"/>
    <w:rsid w:val="008465F2"/>
    <w:rsid w:val="00850792"/>
    <w:rsid w:val="00854B3E"/>
    <w:rsid w:val="008554C8"/>
    <w:rsid w:val="00856A51"/>
    <w:rsid w:val="00860D69"/>
    <w:rsid w:val="00862E85"/>
    <w:rsid w:val="00866E88"/>
    <w:rsid w:val="0087237E"/>
    <w:rsid w:val="00875836"/>
    <w:rsid w:val="00877428"/>
    <w:rsid w:val="008824BD"/>
    <w:rsid w:val="00882565"/>
    <w:rsid w:val="008849F2"/>
    <w:rsid w:val="00886225"/>
    <w:rsid w:val="0089412E"/>
    <w:rsid w:val="00894C49"/>
    <w:rsid w:val="0089662F"/>
    <w:rsid w:val="00896A0C"/>
    <w:rsid w:val="008A1EF5"/>
    <w:rsid w:val="008A35B0"/>
    <w:rsid w:val="008A7C24"/>
    <w:rsid w:val="008B01A8"/>
    <w:rsid w:val="008B10E9"/>
    <w:rsid w:val="008B6A68"/>
    <w:rsid w:val="008C0CD1"/>
    <w:rsid w:val="008C3E49"/>
    <w:rsid w:val="008C5833"/>
    <w:rsid w:val="008C6F03"/>
    <w:rsid w:val="008D0BD2"/>
    <w:rsid w:val="008D0DBA"/>
    <w:rsid w:val="008E12D6"/>
    <w:rsid w:val="008E16AF"/>
    <w:rsid w:val="008E2259"/>
    <w:rsid w:val="008E3A88"/>
    <w:rsid w:val="008E5E68"/>
    <w:rsid w:val="008E7F5D"/>
    <w:rsid w:val="008F0D3F"/>
    <w:rsid w:val="008F337D"/>
    <w:rsid w:val="009011E1"/>
    <w:rsid w:val="009137BA"/>
    <w:rsid w:val="0091417D"/>
    <w:rsid w:val="009146F2"/>
    <w:rsid w:val="00916B35"/>
    <w:rsid w:val="00920679"/>
    <w:rsid w:val="0092266F"/>
    <w:rsid w:val="00932EB5"/>
    <w:rsid w:val="0093603B"/>
    <w:rsid w:val="00937DC1"/>
    <w:rsid w:val="00941170"/>
    <w:rsid w:val="00943C46"/>
    <w:rsid w:val="0094521E"/>
    <w:rsid w:val="009505BF"/>
    <w:rsid w:val="00950E2C"/>
    <w:rsid w:val="009520E3"/>
    <w:rsid w:val="00952206"/>
    <w:rsid w:val="009526BC"/>
    <w:rsid w:val="00952EFB"/>
    <w:rsid w:val="00957F9B"/>
    <w:rsid w:val="00965AFD"/>
    <w:rsid w:val="00973CCA"/>
    <w:rsid w:val="00977A42"/>
    <w:rsid w:val="0098054D"/>
    <w:rsid w:val="00981B2A"/>
    <w:rsid w:val="00985620"/>
    <w:rsid w:val="00987E51"/>
    <w:rsid w:val="009921C9"/>
    <w:rsid w:val="00994F03"/>
    <w:rsid w:val="00995AFB"/>
    <w:rsid w:val="0099799A"/>
    <w:rsid w:val="009A1600"/>
    <w:rsid w:val="009A164C"/>
    <w:rsid w:val="009A2E59"/>
    <w:rsid w:val="009A7258"/>
    <w:rsid w:val="009B01EC"/>
    <w:rsid w:val="009C392B"/>
    <w:rsid w:val="009C4926"/>
    <w:rsid w:val="009C65C8"/>
    <w:rsid w:val="009D1285"/>
    <w:rsid w:val="009D2032"/>
    <w:rsid w:val="009D5C5F"/>
    <w:rsid w:val="009D61C9"/>
    <w:rsid w:val="009E4781"/>
    <w:rsid w:val="009E653B"/>
    <w:rsid w:val="009F1604"/>
    <w:rsid w:val="00A02FEE"/>
    <w:rsid w:val="00A03BBB"/>
    <w:rsid w:val="00A040F6"/>
    <w:rsid w:val="00A0421D"/>
    <w:rsid w:val="00A048AD"/>
    <w:rsid w:val="00A11F44"/>
    <w:rsid w:val="00A14F4E"/>
    <w:rsid w:val="00A22867"/>
    <w:rsid w:val="00A41F2A"/>
    <w:rsid w:val="00A505D2"/>
    <w:rsid w:val="00A51897"/>
    <w:rsid w:val="00A56496"/>
    <w:rsid w:val="00A6063E"/>
    <w:rsid w:val="00A606CF"/>
    <w:rsid w:val="00A716B8"/>
    <w:rsid w:val="00A71BAA"/>
    <w:rsid w:val="00A7343C"/>
    <w:rsid w:val="00A73CA3"/>
    <w:rsid w:val="00A8541C"/>
    <w:rsid w:val="00A8637D"/>
    <w:rsid w:val="00A871E2"/>
    <w:rsid w:val="00A87C96"/>
    <w:rsid w:val="00A9269C"/>
    <w:rsid w:val="00AA1C7B"/>
    <w:rsid w:val="00AA4C7A"/>
    <w:rsid w:val="00AA6FA8"/>
    <w:rsid w:val="00AB0720"/>
    <w:rsid w:val="00AB159E"/>
    <w:rsid w:val="00AC16FD"/>
    <w:rsid w:val="00AC2468"/>
    <w:rsid w:val="00AC2DF1"/>
    <w:rsid w:val="00AD5B51"/>
    <w:rsid w:val="00AE382F"/>
    <w:rsid w:val="00AE3FB6"/>
    <w:rsid w:val="00AE4F9D"/>
    <w:rsid w:val="00AE5BA4"/>
    <w:rsid w:val="00AE7E63"/>
    <w:rsid w:val="00AF06AC"/>
    <w:rsid w:val="00AF5503"/>
    <w:rsid w:val="00AF596A"/>
    <w:rsid w:val="00B02E57"/>
    <w:rsid w:val="00B049A2"/>
    <w:rsid w:val="00B07570"/>
    <w:rsid w:val="00B101C0"/>
    <w:rsid w:val="00B15602"/>
    <w:rsid w:val="00B20B68"/>
    <w:rsid w:val="00B33908"/>
    <w:rsid w:val="00B37468"/>
    <w:rsid w:val="00B37E5B"/>
    <w:rsid w:val="00B43646"/>
    <w:rsid w:val="00B50046"/>
    <w:rsid w:val="00B558CE"/>
    <w:rsid w:val="00B576DE"/>
    <w:rsid w:val="00B576E4"/>
    <w:rsid w:val="00B612A5"/>
    <w:rsid w:val="00B629EE"/>
    <w:rsid w:val="00B725F8"/>
    <w:rsid w:val="00B83C2B"/>
    <w:rsid w:val="00B86F86"/>
    <w:rsid w:val="00B911D8"/>
    <w:rsid w:val="00BA20B8"/>
    <w:rsid w:val="00BB71D9"/>
    <w:rsid w:val="00BC41F0"/>
    <w:rsid w:val="00BD1399"/>
    <w:rsid w:val="00BD1564"/>
    <w:rsid w:val="00BE0FE5"/>
    <w:rsid w:val="00BE3C62"/>
    <w:rsid w:val="00BE51C0"/>
    <w:rsid w:val="00BE6B88"/>
    <w:rsid w:val="00BF18C8"/>
    <w:rsid w:val="00BF22C0"/>
    <w:rsid w:val="00BF6535"/>
    <w:rsid w:val="00C07410"/>
    <w:rsid w:val="00C10709"/>
    <w:rsid w:val="00C132DA"/>
    <w:rsid w:val="00C13665"/>
    <w:rsid w:val="00C138FE"/>
    <w:rsid w:val="00C17E04"/>
    <w:rsid w:val="00C21C34"/>
    <w:rsid w:val="00C2253E"/>
    <w:rsid w:val="00C2430E"/>
    <w:rsid w:val="00C250C5"/>
    <w:rsid w:val="00C3353F"/>
    <w:rsid w:val="00C37C44"/>
    <w:rsid w:val="00C40F73"/>
    <w:rsid w:val="00C42F52"/>
    <w:rsid w:val="00C52528"/>
    <w:rsid w:val="00C53409"/>
    <w:rsid w:val="00C571F7"/>
    <w:rsid w:val="00C60A0F"/>
    <w:rsid w:val="00C649E6"/>
    <w:rsid w:val="00C656FD"/>
    <w:rsid w:val="00C72FB4"/>
    <w:rsid w:val="00C73DED"/>
    <w:rsid w:val="00C77D62"/>
    <w:rsid w:val="00C84BFE"/>
    <w:rsid w:val="00C866C7"/>
    <w:rsid w:val="00C95C0A"/>
    <w:rsid w:val="00CA40AA"/>
    <w:rsid w:val="00CA430C"/>
    <w:rsid w:val="00CA468C"/>
    <w:rsid w:val="00CB15C3"/>
    <w:rsid w:val="00CB20E2"/>
    <w:rsid w:val="00CB321A"/>
    <w:rsid w:val="00CB4F20"/>
    <w:rsid w:val="00CB5494"/>
    <w:rsid w:val="00CC3AE1"/>
    <w:rsid w:val="00CC4258"/>
    <w:rsid w:val="00CC641F"/>
    <w:rsid w:val="00CD228E"/>
    <w:rsid w:val="00CE027B"/>
    <w:rsid w:val="00CE141C"/>
    <w:rsid w:val="00CE1D3E"/>
    <w:rsid w:val="00CE40AF"/>
    <w:rsid w:val="00CE64A0"/>
    <w:rsid w:val="00CF00CB"/>
    <w:rsid w:val="00CF209F"/>
    <w:rsid w:val="00CF22C2"/>
    <w:rsid w:val="00CF28C6"/>
    <w:rsid w:val="00CF4D71"/>
    <w:rsid w:val="00CF6316"/>
    <w:rsid w:val="00D00518"/>
    <w:rsid w:val="00D012C0"/>
    <w:rsid w:val="00D016DE"/>
    <w:rsid w:val="00D06C0B"/>
    <w:rsid w:val="00D1133D"/>
    <w:rsid w:val="00D11716"/>
    <w:rsid w:val="00D136A2"/>
    <w:rsid w:val="00D13C4B"/>
    <w:rsid w:val="00D216A6"/>
    <w:rsid w:val="00D22858"/>
    <w:rsid w:val="00D238B6"/>
    <w:rsid w:val="00D244BA"/>
    <w:rsid w:val="00D27858"/>
    <w:rsid w:val="00D304CC"/>
    <w:rsid w:val="00D354C4"/>
    <w:rsid w:val="00D403C5"/>
    <w:rsid w:val="00D41F93"/>
    <w:rsid w:val="00D43F14"/>
    <w:rsid w:val="00D44531"/>
    <w:rsid w:val="00D50521"/>
    <w:rsid w:val="00D512E9"/>
    <w:rsid w:val="00D667D9"/>
    <w:rsid w:val="00D761E1"/>
    <w:rsid w:val="00D77C68"/>
    <w:rsid w:val="00D77E5C"/>
    <w:rsid w:val="00D810F5"/>
    <w:rsid w:val="00D81DEE"/>
    <w:rsid w:val="00D851E0"/>
    <w:rsid w:val="00D86A8D"/>
    <w:rsid w:val="00D878A3"/>
    <w:rsid w:val="00D90371"/>
    <w:rsid w:val="00D9621B"/>
    <w:rsid w:val="00D97101"/>
    <w:rsid w:val="00DA38E9"/>
    <w:rsid w:val="00DA3F83"/>
    <w:rsid w:val="00DB3C22"/>
    <w:rsid w:val="00DB535D"/>
    <w:rsid w:val="00DC5DAB"/>
    <w:rsid w:val="00DC5F95"/>
    <w:rsid w:val="00DC614C"/>
    <w:rsid w:val="00DD070D"/>
    <w:rsid w:val="00DD1605"/>
    <w:rsid w:val="00DD1D65"/>
    <w:rsid w:val="00DF4155"/>
    <w:rsid w:val="00DF4529"/>
    <w:rsid w:val="00DF6064"/>
    <w:rsid w:val="00E02F41"/>
    <w:rsid w:val="00E13873"/>
    <w:rsid w:val="00E2597C"/>
    <w:rsid w:val="00E264AE"/>
    <w:rsid w:val="00E31BA6"/>
    <w:rsid w:val="00E42FD3"/>
    <w:rsid w:val="00E4444B"/>
    <w:rsid w:val="00E452F9"/>
    <w:rsid w:val="00E466FD"/>
    <w:rsid w:val="00E47F09"/>
    <w:rsid w:val="00E55FCA"/>
    <w:rsid w:val="00E56D5F"/>
    <w:rsid w:val="00E572F7"/>
    <w:rsid w:val="00E81CF1"/>
    <w:rsid w:val="00E84389"/>
    <w:rsid w:val="00E877CD"/>
    <w:rsid w:val="00E92393"/>
    <w:rsid w:val="00E95AFC"/>
    <w:rsid w:val="00EA2DA0"/>
    <w:rsid w:val="00EA7EAE"/>
    <w:rsid w:val="00EB06B8"/>
    <w:rsid w:val="00EB0D87"/>
    <w:rsid w:val="00EB37FB"/>
    <w:rsid w:val="00EB653E"/>
    <w:rsid w:val="00EB7BF0"/>
    <w:rsid w:val="00EC2E84"/>
    <w:rsid w:val="00ED5F6B"/>
    <w:rsid w:val="00ED6111"/>
    <w:rsid w:val="00ED6F53"/>
    <w:rsid w:val="00ED7C34"/>
    <w:rsid w:val="00ED7C54"/>
    <w:rsid w:val="00ED7D07"/>
    <w:rsid w:val="00EE2C87"/>
    <w:rsid w:val="00EE2DD0"/>
    <w:rsid w:val="00EE2E42"/>
    <w:rsid w:val="00EE3360"/>
    <w:rsid w:val="00EE40F1"/>
    <w:rsid w:val="00EE46FE"/>
    <w:rsid w:val="00EE7DD9"/>
    <w:rsid w:val="00EF1462"/>
    <w:rsid w:val="00EF177B"/>
    <w:rsid w:val="00EF4D7C"/>
    <w:rsid w:val="00F012AA"/>
    <w:rsid w:val="00F1084A"/>
    <w:rsid w:val="00F10DF8"/>
    <w:rsid w:val="00F11E05"/>
    <w:rsid w:val="00F121AE"/>
    <w:rsid w:val="00F123FD"/>
    <w:rsid w:val="00F13C57"/>
    <w:rsid w:val="00F23B22"/>
    <w:rsid w:val="00F26963"/>
    <w:rsid w:val="00F31638"/>
    <w:rsid w:val="00F31B0B"/>
    <w:rsid w:val="00F363CA"/>
    <w:rsid w:val="00F42CF5"/>
    <w:rsid w:val="00F43FA4"/>
    <w:rsid w:val="00F50706"/>
    <w:rsid w:val="00F53BFE"/>
    <w:rsid w:val="00F54D9D"/>
    <w:rsid w:val="00F563CA"/>
    <w:rsid w:val="00F56FE1"/>
    <w:rsid w:val="00F608D2"/>
    <w:rsid w:val="00F61DB0"/>
    <w:rsid w:val="00F63790"/>
    <w:rsid w:val="00F6635E"/>
    <w:rsid w:val="00F67F93"/>
    <w:rsid w:val="00F76903"/>
    <w:rsid w:val="00F825DD"/>
    <w:rsid w:val="00F83A3B"/>
    <w:rsid w:val="00F84D99"/>
    <w:rsid w:val="00F9301B"/>
    <w:rsid w:val="00F931FB"/>
    <w:rsid w:val="00F938F8"/>
    <w:rsid w:val="00F94D98"/>
    <w:rsid w:val="00F9503E"/>
    <w:rsid w:val="00FA2B7B"/>
    <w:rsid w:val="00FA5530"/>
    <w:rsid w:val="00FA7D00"/>
    <w:rsid w:val="00FB2FBC"/>
    <w:rsid w:val="00FB3953"/>
    <w:rsid w:val="00FB6100"/>
    <w:rsid w:val="00FB6BD5"/>
    <w:rsid w:val="00FC2D3E"/>
    <w:rsid w:val="00FC3330"/>
    <w:rsid w:val="00FC3A56"/>
    <w:rsid w:val="00FC62B5"/>
    <w:rsid w:val="00FC6964"/>
    <w:rsid w:val="00FD06AD"/>
    <w:rsid w:val="00FD4A7E"/>
    <w:rsid w:val="00FD52A6"/>
    <w:rsid w:val="00FD6A00"/>
    <w:rsid w:val="00FD6AE1"/>
    <w:rsid w:val="00FD7D53"/>
    <w:rsid w:val="00FE0624"/>
    <w:rsid w:val="00FE0ABD"/>
    <w:rsid w:val="00FE160C"/>
    <w:rsid w:val="00FE3073"/>
    <w:rsid w:val="00FE50AD"/>
    <w:rsid w:val="00FE5B1E"/>
    <w:rsid w:val="00FE639F"/>
    <w:rsid w:val="00FF33CF"/>
    <w:rsid w:val="00FF5950"/>
    <w:rsid w:val="01AC069C"/>
    <w:rsid w:val="01FC18BB"/>
    <w:rsid w:val="032C3F20"/>
    <w:rsid w:val="03B32B6F"/>
    <w:rsid w:val="042B4904"/>
    <w:rsid w:val="047E77DA"/>
    <w:rsid w:val="04BC6F68"/>
    <w:rsid w:val="04C36D98"/>
    <w:rsid w:val="054D52AB"/>
    <w:rsid w:val="060131DB"/>
    <w:rsid w:val="08855DAC"/>
    <w:rsid w:val="090E716C"/>
    <w:rsid w:val="09400D61"/>
    <w:rsid w:val="09995E68"/>
    <w:rsid w:val="0AFE60A4"/>
    <w:rsid w:val="0B713900"/>
    <w:rsid w:val="0C14559A"/>
    <w:rsid w:val="0C3160E1"/>
    <w:rsid w:val="0CA21AA5"/>
    <w:rsid w:val="0E035F63"/>
    <w:rsid w:val="0EE26C3A"/>
    <w:rsid w:val="0F430961"/>
    <w:rsid w:val="0F47223A"/>
    <w:rsid w:val="0F4E39BC"/>
    <w:rsid w:val="0F557007"/>
    <w:rsid w:val="0FF16376"/>
    <w:rsid w:val="111B22D4"/>
    <w:rsid w:val="11431F33"/>
    <w:rsid w:val="11832837"/>
    <w:rsid w:val="126E27E7"/>
    <w:rsid w:val="15274A3E"/>
    <w:rsid w:val="156C24A6"/>
    <w:rsid w:val="15ED708B"/>
    <w:rsid w:val="182C429E"/>
    <w:rsid w:val="18616461"/>
    <w:rsid w:val="1A3E66DA"/>
    <w:rsid w:val="1C017842"/>
    <w:rsid w:val="1C9B55BF"/>
    <w:rsid w:val="1E266D1D"/>
    <w:rsid w:val="21AD513C"/>
    <w:rsid w:val="22547FDB"/>
    <w:rsid w:val="22905AB8"/>
    <w:rsid w:val="25604FEB"/>
    <w:rsid w:val="283823B6"/>
    <w:rsid w:val="286D5B59"/>
    <w:rsid w:val="294519F1"/>
    <w:rsid w:val="29C042A8"/>
    <w:rsid w:val="29FA21CB"/>
    <w:rsid w:val="2A0A7820"/>
    <w:rsid w:val="2A0C24B8"/>
    <w:rsid w:val="2D0B62DA"/>
    <w:rsid w:val="2E4170FB"/>
    <w:rsid w:val="2EBA19A6"/>
    <w:rsid w:val="2F726933"/>
    <w:rsid w:val="2FBB7E75"/>
    <w:rsid w:val="3032067E"/>
    <w:rsid w:val="3715608F"/>
    <w:rsid w:val="3A950E6B"/>
    <w:rsid w:val="3A9962A4"/>
    <w:rsid w:val="3CD63FED"/>
    <w:rsid w:val="3D9D3031"/>
    <w:rsid w:val="3EA91774"/>
    <w:rsid w:val="3F3B6B01"/>
    <w:rsid w:val="3F835097"/>
    <w:rsid w:val="3FD94D9D"/>
    <w:rsid w:val="40543B8F"/>
    <w:rsid w:val="45FB4A6A"/>
    <w:rsid w:val="46E92710"/>
    <w:rsid w:val="4773219A"/>
    <w:rsid w:val="49130472"/>
    <w:rsid w:val="4CD137A7"/>
    <w:rsid w:val="4DC61155"/>
    <w:rsid w:val="51606842"/>
    <w:rsid w:val="51E54252"/>
    <w:rsid w:val="53C66AA2"/>
    <w:rsid w:val="551662BD"/>
    <w:rsid w:val="565144CD"/>
    <w:rsid w:val="59A06937"/>
    <w:rsid w:val="5C480BA0"/>
    <w:rsid w:val="5EC362E7"/>
    <w:rsid w:val="5FAB317A"/>
    <w:rsid w:val="5FF03E2E"/>
    <w:rsid w:val="60223A2C"/>
    <w:rsid w:val="63F51375"/>
    <w:rsid w:val="64583FD8"/>
    <w:rsid w:val="65503310"/>
    <w:rsid w:val="65DE4C23"/>
    <w:rsid w:val="671546AB"/>
    <w:rsid w:val="68D44B5F"/>
    <w:rsid w:val="68F90909"/>
    <w:rsid w:val="691E36E7"/>
    <w:rsid w:val="6A8D15A4"/>
    <w:rsid w:val="6C0C18EF"/>
    <w:rsid w:val="6CDA7A65"/>
    <w:rsid w:val="6D917675"/>
    <w:rsid w:val="6DA00F16"/>
    <w:rsid w:val="6FB92D91"/>
    <w:rsid w:val="6FF44E55"/>
    <w:rsid w:val="704F6CEC"/>
    <w:rsid w:val="70A01773"/>
    <w:rsid w:val="720D4560"/>
    <w:rsid w:val="7293738A"/>
    <w:rsid w:val="73757902"/>
    <w:rsid w:val="743D1801"/>
    <w:rsid w:val="770733F1"/>
    <w:rsid w:val="77192ACC"/>
    <w:rsid w:val="77BA5120"/>
    <w:rsid w:val="77E71C66"/>
    <w:rsid w:val="78A84701"/>
    <w:rsid w:val="78CB03DC"/>
    <w:rsid w:val="798E34F7"/>
    <w:rsid w:val="79BE295D"/>
    <w:rsid w:val="7C6D75CA"/>
    <w:rsid w:val="7E8662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uiPriority="0" w:qFormat="1"/>
    <w:lsdException w:name="toc 8" w:semiHidden="1" w:uiPriority="0" w:qFormat="1"/>
    <w:lsdException w:name="toc 9" w:semiHidden="1" w:uiPriority="39" w:unhideWhenUsed="1"/>
    <w:lsdException w:name="Normal Indent" w:uiPriority="0" w:unhideWhenUsed="1"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0" w:qFormat="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14BC"/>
    <w:pPr>
      <w:widowControl w:val="0"/>
      <w:jc w:val="both"/>
    </w:pPr>
    <w:rPr>
      <w:kern w:val="2"/>
      <w:sz w:val="21"/>
      <w:szCs w:val="24"/>
    </w:rPr>
  </w:style>
  <w:style w:type="paragraph" w:styleId="1">
    <w:name w:val="heading 1"/>
    <w:basedOn w:val="a"/>
    <w:next w:val="a"/>
    <w:link w:val="1Char"/>
    <w:qFormat/>
    <w:rsid w:val="004C14BC"/>
    <w:pPr>
      <w:spacing w:before="240" w:after="60"/>
      <w:outlineLvl w:val="0"/>
    </w:pPr>
    <w:rPr>
      <w:rFonts w:ascii="Arial" w:hAnsi="Arial"/>
      <w:b/>
      <w:bCs/>
      <w:kern w:val="32"/>
      <w:sz w:val="32"/>
      <w:szCs w:val="32"/>
    </w:rPr>
  </w:style>
  <w:style w:type="paragraph" w:styleId="2">
    <w:name w:val="heading 2"/>
    <w:basedOn w:val="5"/>
    <w:next w:val="a0"/>
    <w:link w:val="2Char"/>
    <w:qFormat/>
    <w:rsid w:val="004C14BC"/>
    <w:pPr>
      <w:adjustRightInd w:val="0"/>
      <w:ind w:right="113"/>
      <w:outlineLvl w:val="1"/>
    </w:pPr>
    <w:rPr>
      <w:rFonts w:ascii="宋体"/>
      <w:sz w:val="32"/>
      <w:szCs w:val="20"/>
    </w:rPr>
  </w:style>
  <w:style w:type="paragraph" w:styleId="3">
    <w:name w:val="heading 3"/>
    <w:basedOn w:val="a"/>
    <w:next w:val="a"/>
    <w:link w:val="3Char"/>
    <w:qFormat/>
    <w:rsid w:val="004C14BC"/>
    <w:pPr>
      <w:keepNext/>
      <w:keepLines/>
      <w:spacing w:before="260" w:after="260" w:line="416" w:lineRule="auto"/>
      <w:outlineLvl w:val="2"/>
    </w:pPr>
    <w:rPr>
      <w:b/>
      <w:bCs/>
      <w:kern w:val="0"/>
      <w:sz w:val="32"/>
      <w:szCs w:val="32"/>
    </w:rPr>
  </w:style>
  <w:style w:type="paragraph" w:styleId="4">
    <w:name w:val="heading 4"/>
    <w:basedOn w:val="a"/>
    <w:next w:val="a0"/>
    <w:link w:val="4Char"/>
    <w:qFormat/>
    <w:rsid w:val="004C14BC"/>
    <w:pPr>
      <w:adjustRightInd w:val="0"/>
      <w:spacing w:before="60" w:after="40" w:line="288" w:lineRule="auto"/>
      <w:textAlignment w:val="baseline"/>
      <w:outlineLvl w:val="3"/>
    </w:pPr>
    <w:rPr>
      <w:kern w:val="0"/>
      <w:sz w:val="28"/>
      <w:szCs w:val="28"/>
    </w:rPr>
  </w:style>
  <w:style w:type="paragraph" w:styleId="5">
    <w:name w:val="heading 5"/>
    <w:basedOn w:val="a"/>
    <w:next w:val="a"/>
    <w:link w:val="5Char"/>
    <w:uiPriority w:val="9"/>
    <w:qFormat/>
    <w:rsid w:val="004C14BC"/>
    <w:pPr>
      <w:keepNext/>
      <w:keepLines/>
      <w:spacing w:before="280" w:after="290" w:line="376" w:lineRule="auto"/>
      <w:outlineLvl w:val="4"/>
    </w:pPr>
    <w:rPr>
      <w:b/>
      <w:bCs/>
      <w:kern w:val="0"/>
      <w:sz w:val="28"/>
      <w:szCs w:val="28"/>
    </w:rPr>
  </w:style>
  <w:style w:type="paragraph" w:styleId="6">
    <w:name w:val="heading 6"/>
    <w:basedOn w:val="a"/>
    <w:next w:val="a0"/>
    <w:link w:val="6Char"/>
    <w:qFormat/>
    <w:rsid w:val="004C14BC"/>
    <w:pPr>
      <w:keepNext/>
      <w:keepLines/>
      <w:adjustRightInd w:val="0"/>
      <w:spacing w:before="240" w:after="64" w:line="320" w:lineRule="auto"/>
      <w:textAlignment w:val="baseline"/>
      <w:outlineLvl w:val="5"/>
    </w:pPr>
    <w:rPr>
      <w:rFonts w:ascii="Arial" w:eastAsia="黑体" w:hAnsi="Arial"/>
      <w:b/>
      <w:bCs/>
      <w:kern w:val="0"/>
      <w:sz w:val="20"/>
      <w:szCs w:val="20"/>
    </w:rPr>
  </w:style>
  <w:style w:type="paragraph" w:styleId="7">
    <w:name w:val="heading 7"/>
    <w:basedOn w:val="a"/>
    <w:next w:val="a0"/>
    <w:link w:val="7Char"/>
    <w:qFormat/>
    <w:rsid w:val="004C14BC"/>
    <w:pPr>
      <w:keepNext/>
      <w:keepLines/>
      <w:adjustRightInd w:val="0"/>
      <w:spacing w:before="240" w:after="64" w:line="320" w:lineRule="auto"/>
      <w:textAlignment w:val="baseline"/>
      <w:outlineLvl w:val="6"/>
    </w:pPr>
    <w:rPr>
      <w:rFonts w:ascii="宋体"/>
      <w:b/>
      <w:bCs/>
      <w:kern w:val="0"/>
      <w:sz w:val="20"/>
      <w:szCs w:val="20"/>
    </w:rPr>
  </w:style>
  <w:style w:type="paragraph" w:styleId="8">
    <w:name w:val="heading 8"/>
    <w:basedOn w:val="a"/>
    <w:next w:val="a0"/>
    <w:link w:val="8Char"/>
    <w:qFormat/>
    <w:rsid w:val="004C14BC"/>
    <w:pPr>
      <w:keepNext/>
      <w:keepLines/>
      <w:adjustRightInd w:val="0"/>
      <w:spacing w:before="240" w:after="64" w:line="320" w:lineRule="auto"/>
      <w:textAlignment w:val="baseline"/>
      <w:outlineLvl w:val="7"/>
    </w:pPr>
    <w:rPr>
      <w:rFonts w:ascii="Arial" w:eastAsia="黑体" w:hAnsi="Arial"/>
      <w:kern w:val="0"/>
      <w:sz w:val="20"/>
      <w:szCs w:val="20"/>
    </w:rPr>
  </w:style>
  <w:style w:type="paragraph" w:styleId="9">
    <w:name w:val="heading 9"/>
    <w:basedOn w:val="a"/>
    <w:next w:val="a0"/>
    <w:link w:val="9Char"/>
    <w:qFormat/>
    <w:rsid w:val="004C14BC"/>
    <w:pPr>
      <w:keepNext/>
      <w:keepLines/>
      <w:adjustRightInd w:val="0"/>
      <w:spacing w:before="240" w:after="64" w:line="320" w:lineRule="auto"/>
      <w:textAlignment w:val="baseline"/>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nhideWhenUsed/>
    <w:qFormat/>
    <w:rsid w:val="004C14BC"/>
    <w:pPr>
      <w:ind w:firstLineChars="200" w:firstLine="420"/>
    </w:pPr>
  </w:style>
  <w:style w:type="paragraph" w:styleId="70">
    <w:name w:val="toc 7"/>
    <w:basedOn w:val="a"/>
    <w:next w:val="a"/>
    <w:qFormat/>
    <w:rsid w:val="004C14BC"/>
    <w:pPr>
      <w:ind w:leftChars="1200" w:left="2520"/>
    </w:pPr>
  </w:style>
  <w:style w:type="paragraph" w:styleId="a4">
    <w:name w:val="Document Map"/>
    <w:basedOn w:val="a"/>
    <w:link w:val="Char"/>
    <w:semiHidden/>
    <w:qFormat/>
    <w:rsid w:val="004C14BC"/>
    <w:pPr>
      <w:shd w:val="clear" w:color="auto" w:fill="000080"/>
    </w:pPr>
    <w:rPr>
      <w:kern w:val="0"/>
      <w:szCs w:val="20"/>
    </w:rPr>
  </w:style>
  <w:style w:type="paragraph" w:styleId="a5">
    <w:name w:val="annotation text"/>
    <w:basedOn w:val="a"/>
    <w:link w:val="Char0"/>
    <w:qFormat/>
    <w:rsid w:val="004C14BC"/>
    <w:pPr>
      <w:jc w:val="left"/>
    </w:pPr>
    <w:rPr>
      <w:rFonts w:ascii="Calibri" w:hAnsi="Calibri"/>
      <w:kern w:val="0"/>
      <w:szCs w:val="20"/>
    </w:rPr>
  </w:style>
  <w:style w:type="paragraph" w:styleId="a6">
    <w:name w:val="Body Text"/>
    <w:basedOn w:val="a"/>
    <w:link w:val="Char1"/>
    <w:qFormat/>
    <w:rsid w:val="004C14BC"/>
    <w:rPr>
      <w:kern w:val="0"/>
      <w:sz w:val="20"/>
      <w:szCs w:val="20"/>
    </w:rPr>
  </w:style>
  <w:style w:type="paragraph" w:styleId="a7">
    <w:name w:val="Body Text Indent"/>
    <w:basedOn w:val="a"/>
    <w:link w:val="Char2"/>
    <w:unhideWhenUsed/>
    <w:qFormat/>
    <w:rsid w:val="004C14BC"/>
    <w:pPr>
      <w:spacing w:after="120"/>
      <w:ind w:leftChars="200" w:left="420"/>
    </w:pPr>
  </w:style>
  <w:style w:type="paragraph" w:styleId="a8">
    <w:name w:val="Plain Text"/>
    <w:basedOn w:val="a"/>
    <w:link w:val="Char3"/>
    <w:qFormat/>
    <w:rsid w:val="004C14BC"/>
    <w:rPr>
      <w:rFonts w:ascii="宋体" w:hAnsi="Courier New"/>
      <w:kern w:val="0"/>
      <w:szCs w:val="21"/>
    </w:rPr>
  </w:style>
  <w:style w:type="paragraph" w:styleId="80">
    <w:name w:val="toc 8"/>
    <w:basedOn w:val="a"/>
    <w:next w:val="a"/>
    <w:semiHidden/>
    <w:qFormat/>
    <w:rsid w:val="004C14BC"/>
    <w:pPr>
      <w:ind w:leftChars="1400" w:left="2940"/>
    </w:pPr>
  </w:style>
  <w:style w:type="paragraph" w:styleId="a9">
    <w:name w:val="Date"/>
    <w:basedOn w:val="a"/>
    <w:next w:val="a"/>
    <w:link w:val="Char4"/>
    <w:qFormat/>
    <w:rsid w:val="004C14BC"/>
    <w:pPr>
      <w:ind w:leftChars="2500" w:left="100"/>
    </w:pPr>
    <w:rPr>
      <w:kern w:val="0"/>
      <w:szCs w:val="20"/>
    </w:rPr>
  </w:style>
  <w:style w:type="paragraph" w:styleId="20">
    <w:name w:val="Body Text Indent 2"/>
    <w:basedOn w:val="a"/>
    <w:link w:val="2Char0"/>
    <w:qFormat/>
    <w:rsid w:val="004C14BC"/>
    <w:pPr>
      <w:spacing w:line="360" w:lineRule="auto"/>
      <w:ind w:firstLineChars="200" w:firstLine="420"/>
    </w:pPr>
    <w:rPr>
      <w:rFonts w:ascii="宋体" w:hAnsi="宋体"/>
      <w:kern w:val="0"/>
      <w:szCs w:val="20"/>
    </w:rPr>
  </w:style>
  <w:style w:type="paragraph" w:styleId="aa">
    <w:name w:val="Balloon Text"/>
    <w:basedOn w:val="a"/>
    <w:link w:val="Char5"/>
    <w:semiHidden/>
    <w:qFormat/>
    <w:rsid w:val="004C14BC"/>
    <w:rPr>
      <w:kern w:val="0"/>
      <w:sz w:val="18"/>
      <w:szCs w:val="18"/>
    </w:rPr>
  </w:style>
  <w:style w:type="paragraph" w:styleId="ab">
    <w:name w:val="footer"/>
    <w:basedOn w:val="a"/>
    <w:link w:val="Char6"/>
    <w:uiPriority w:val="99"/>
    <w:qFormat/>
    <w:rsid w:val="004C14BC"/>
    <w:pPr>
      <w:tabs>
        <w:tab w:val="center" w:pos="4153"/>
        <w:tab w:val="right" w:pos="8306"/>
      </w:tabs>
      <w:snapToGrid w:val="0"/>
      <w:jc w:val="left"/>
    </w:pPr>
    <w:rPr>
      <w:rFonts w:ascii="Calibri" w:hAnsi="Calibri"/>
      <w:kern w:val="0"/>
      <w:sz w:val="18"/>
      <w:szCs w:val="18"/>
    </w:rPr>
  </w:style>
  <w:style w:type="paragraph" w:styleId="ac">
    <w:name w:val="header"/>
    <w:basedOn w:val="a"/>
    <w:link w:val="Char7"/>
    <w:uiPriority w:val="99"/>
    <w:qFormat/>
    <w:rsid w:val="004C14BC"/>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qFormat/>
    <w:rsid w:val="004C14BC"/>
    <w:pPr>
      <w:tabs>
        <w:tab w:val="right" w:leader="dot" w:pos="8296"/>
      </w:tabs>
      <w:spacing w:line="360" w:lineRule="auto"/>
    </w:pPr>
    <w:rPr>
      <w:rFonts w:hAnsi="宋体" w:cs="Arial"/>
      <w:b/>
      <w:kern w:val="0"/>
    </w:rPr>
  </w:style>
  <w:style w:type="paragraph" w:styleId="ad">
    <w:name w:val="footnote text"/>
    <w:basedOn w:val="a"/>
    <w:link w:val="Char8"/>
    <w:qFormat/>
    <w:rsid w:val="004C14BC"/>
    <w:pPr>
      <w:snapToGrid w:val="0"/>
      <w:jc w:val="left"/>
    </w:pPr>
    <w:rPr>
      <w:rFonts w:ascii="Calibri" w:hAnsi="Calibri"/>
      <w:kern w:val="0"/>
      <w:sz w:val="18"/>
      <w:szCs w:val="20"/>
    </w:rPr>
  </w:style>
  <w:style w:type="paragraph" w:styleId="30">
    <w:name w:val="Body Text Indent 3"/>
    <w:basedOn w:val="a"/>
    <w:link w:val="3Char0"/>
    <w:qFormat/>
    <w:rsid w:val="004C14BC"/>
    <w:pPr>
      <w:spacing w:after="120"/>
      <w:ind w:leftChars="200" w:left="420"/>
    </w:pPr>
    <w:rPr>
      <w:kern w:val="0"/>
      <w:sz w:val="16"/>
      <w:szCs w:val="16"/>
    </w:rPr>
  </w:style>
  <w:style w:type="paragraph" w:styleId="21">
    <w:name w:val="Body Text 2"/>
    <w:basedOn w:val="a"/>
    <w:link w:val="2Char1"/>
    <w:qFormat/>
    <w:rsid w:val="004C14BC"/>
    <w:pPr>
      <w:jc w:val="center"/>
    </w:pPr>
    <w:rPr>
      <w:kern w:val="0"/>
      <w:sz w:val="20"/>
      <w:szCs w:val="20"/>
    </w:rPr>
  </w:style>
  <w:style w:type="paragraph" w:styleId="HTML">
    <w:name w:val="HTML Preformatted"/>
    <w:basedOn w:val="a"/>
    <w:link w:val="HTMLChar"/>
    <w:uiPriority w:val="99"/>
    <w:qFormat/>
    <w:rsid w:val="004C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 w:val="20"/>
      <w:szCs w:val="20"/>
    </w:rPr>
  </w:style>
  <w:style w:type="paragraph" w:styleId="ae">
    <w:name w:val="Normal (Web)"/>
    <w:basedOn w:val="a"/>
    <w:unhideWhenUsed/>
    <w:qFormat/>
    <w:rsid w:val="004C14BC"/>
  </w:style>
  <w:style w:type="paragraph" w:styleId="af">
    <w:name w:val="annotation subject"/>
    <w:basedOn w:val="a5"/>
    <w:next w:val="a5"/>
    <w:link w:val="Char9"/>
    <w:semiHidden/>
    <w:qFormat/>
    <w:rsid w:val="004C14BC"/>
    <w:rPr>
      <w:rFonts w:ascii="Times New Roman" w:hAnsi="Times New Roman"/>
      <w:b/>
      <w:bCs/>
    </w:rPr>
  </w:style>
  <w:style w:type="table" w:styleId="af0">
    <w:name w:val="Table Grid"/>
    <w:basedOn w:val="a2"/>
    <w:uiPriority w:val="59"/>
    <w:qFormat/>
    <w:rsid w:val="004C14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qFormat/>
    <w:rsid w:val="004C14BC"/>
    <w:rPr>
      <w:b/>
      <w:bCs/>
    </w:rPr>
  </w:style>
  <w:style w:type="character" w:styleId="af2">
    <w:name w:val="page number"/>
    <w:basedOn w:val="a1"/>
    <w:qFormat/>
    <w:rsid w:val="004C14BC"/>
  </w:style>
  <w:style w:type="character" w:styleId="af3">
    <w:name w:val="FollowedHyperlink"/>
    <w:qFormat/>
    <w:rsid w:val="004C14BC"/>
    <w:rPr>
      <w:color w:val="800080"/>
      <w:u w:val="single"/>
    </w:rPr>
  </w:style>
  <w:style w:type="character" w:styleId="HTML0">
    <w:name w:val="HTML Typewriter"/>
    <w:qFormat/>
    <w:rsid w:val="004C14BC"/>
    <w:rPr>
      <w:rFonts w:ascii="Arial Unicode MS" w:eastAsia="Courier New" w:hAnsi="Arial Unicode MS" w:cs="Courier New"/>
      <w:sz w:val="20"/>
      <w:szCs w:val="20"/>
    </w:rPr>
  </w:style>
  <w:style w:type="character" w:styleId="af4">
    <w:name w:val="Hyperlink"/>
    <w:uiPriority w:val="99"/>
    <w:qFormat/>
    <w:rsid w:val="004C14BC"/>
    <w:rPr>
      <w:color w:val="0000FF"/>
      <w:u w:val="single"/>
    </w:rPr>
  </w:style>
  <w:style w:type="character" w:styleId="af5">
    <w:name w:val="annotation reference"/>
    <w:uiPriority w:val="99"/>
    <w:qFormat/>
    <w:rsid w:val="004C14BC"/>
    <w:rPr>
      <w:sz w:val="21"/>
      <w:szCs w:val="21"/>
    </w:rPr>
  </w:style>
  <w:style w:type="character" w:customStyle="1" w:styleId="210">
    <w:name w:val="正文文本缩进 2字符1"/>
    <w:uiPriority w:val="99"/>
    <w:semiHidden/>
    <w:qFormat/>
    <w:rsid w:val="004C14BC"/>
    <w:rPr>
      <w:rFonts w:ascii="Times New Roman" w:eastAsia="宋体" w:hAnsi="Times New Roman" w:cs="Times New Roman"/>
      <w:sz w:val="21"/>
    </w:rPr>
  </w:style>
  <w:style w:type="character" w:customStyle="1" w:styleId="Char">
    <w:name w:val="文档结构图 Char"/>
    <w:link w:val="a4"/>
    <w:semiHidden/>
    <w:qFormat/>
    <w:rsid w:val="004C14BC"/>
    <w:rPr>
      <w:rFonts w:ascii="Times New Roman" w:eastAsia="宋体" w:hAnsi="Times New Roman" w:cs="Times New Roman"/>
      <w:sz w:val="21"/>
      <w:shd w:val="clear" w:color="auto" w:fill="000080"/>
    </w:rPr>
  </w:style>
  <w:style w:type="character" w:customStyle="1" w:styleId="3Char">
    <w:name w:val="标题 3 Char"/>
    <w:link w:val="3"/>
    <w:qFormat/>
    <w:rsid w:val="004C14BC"/>
    <w:rPr>
      <w:rFonts w:ascii="Times New Roman" w:eastAsia="宋体" w:hAnsi="Times New Roman" w:cs="Times New Roman"/>
      <w:b/>
      <w:bCs/>
      <w:sz w:val="32"/>
      <w:szCs w:val="32"/>
    </w:rPr>
  </w:style>
  <w:style w:type="character" w:customStyle="1" w:styleId="Char3">
    <w:name w:val="纯文本 Char"/>
    <w:link w:val="a8"/>
    <w:qFormat/>
    <w:rsid w:val="004C14BC"/>
    <w:rPr>
      <w:rFonts w:ascii="宋体" w:eastAsia="宋体" w:hAnsi="Courier New"/>
      <w:sz w:val="21"/>
      <w:szCs w:val="21"/>
    </w:rPr>
  </w:style>
  <w:style w:type="character" w:customStyle="1" w:styleId="2Char1">
    <w:name w:val="正文文本 2 Char"/>
    <w:link w:val="21"/>
    <w:qFormat/>
    <w:rsid w:val="004C14BC"/>
    <w:rPr>
      <w:rFonts w:ascii="Times New Roman" w:eastAsia="宋体" w:hAnsi="Times New Roman" w:cs="Times New Roman"/>
    </w:rPr>
  </w:style>
  <w:style w:type="character" w:customStyle="1" w:styleId="HTMLChar">
    <w:name w:val="HTML 预设格式 Char"/>
    <w:link w:val="HTML"/>
    <w:uiPriority w:val="99"/>
    <w:qFormat/>
    <w:rsid w:val="004C14BC"/>
    <w:rPr>
      <w:rFonts w:ascii="宋体" w:hAnsi="宋体"/>
      <w:color w:val="000000"/>
    </w:rPr>
  </w:style>
  <w:style w:type="character" w:customStyle="1" w:styleId="z-">
    <w:name w:val="z-窗体顶端字符"/>
    <w:link w:val="z-1"/>
    <w:uiPriority w:val="99"/>
    <w:qFormat/>
    <w:rsid w:val="004C14BC"/>
    <w:rPr>
      <w:rFonts w:ascii="Arial" w:eastAsia="宋体" w:hAnsi="Arial" w:cs="Arial"/>
      <w:vanish/>
      <w:kern w:val="0"/>
      <w:sz w:val="16"/>
      <w:szCs w:val="16"/>
    </w:rPr>
  </w:style>
  <w:style w:type="paragraph" w:customStyle="1" w:styleId="z-1">
    <w:name w:val="z-窗体顶端1"/>
    <w:basedOn w:val="a"/>
    <w:next w:val="a"/>
    <w:link w:val="z-"/>
    <w:uiPriority w:val="99"/>
    <w:unhideWhenUsed/>
    <w:qFormat/>
    <w:rsid w:val="004C14BC"/>
    <w:pPr>
      <w:widowControl/>
      <w:pBdr>
        <w:bottom w:val="single" w:sz="6" w:space="1" w:color="auto"/>
      </w:pBdr>
      <w:jc w:val="center"/>
    </w:pPr>
    <w:rPr>
      <w:rFonts w:ascii="Arial" w:hAnsi="Arial"/>
      <w:vanish/>
      <w:kern w:val="0"/>
      <w:sz w:val="16"/>
      <w:szCs w:val="16"/>
    </w:rPr>
  </w:style>
  <w:style w:type="character" w:customStyle="1" w:styleId="8Char">
    <w:name w:val="标题 8 Char"/>
    <w:link w:val="8"/>
    <w:qFormat/>
    <w:rsid w:val="004C14BC"/>
    <w:rPr>
      <w:rFonts w:ascii="Arial" w:eastAsia="黑体" w:hAnsi="Arial" w:cs="Times New Roman"/>
      <w:kern w:val="0"/>
    </w:rPr>
  </w:style>
  <w:style w:type="character" w:customStyle="1" w:styleId="Char1">
    <w:name w:val="正文文本 Char"/>
    <w:link w:val="a6"/>
    <w:qFormat/>
    <w:rsid w:val="004C14BC"/>
    <w:rPr>
      <w:rFonts w:ascii="Times New Roman" w:eastAsia="宋体" w:hAnsi="Times New Roman" w:cs="Times New Roman"/>
    </w:rPr>
  </w:style>
  <w:style w:type="character" w:customStyle="1" w:styleId="Char6">
    <w:name w:val="页脚 Char"/>
    <w:link w:val="ab"/>
    <w:uiPriority w:val="99"/>
    <w:qFormat/>
    <w:rsid w:val="004C14BC"/>
    <w:rPr>
      <w:sz w:val="18"/>
      <w:szCs w:val="18"/>
    </w:rPr>
  </w:style>
  <w:style w:type="character" w:customStyle="1" w:styleId="style2">
    <w:name w:val="style2"/>
    <w:basedOn w:val="a1"/>
    <w:qFormat/>
    <w:rsid w:val="004C14BC"/>
  </w:style>
  <w:style w:type="character" w:customStyle="1" w:styleId="2Char0">
    <w:name w:val="正文文本缩进 2 Char"/>
    <w:link w:val="20"/>
    <w:qFormat/>
    <w:rsid w:val="004C14BC"/>
    <w:rPr>
      <w:rFonts w:ascii="宋体" w:hAnsi="宋体"/>
      <w:sz w:val="21"/>
    </w:rPr>
  </w:style>
  <w:style w:type="character" w:customStyle="1" w:styleId="2Char">
    <w:name w:val="标题 2 Char"/>
    <w:link w:val="2"/>
    <w:qFormat/>
    <w:rsid w:val="004C14BC"/>
    <w:rPr>
      <w:rFonts w:ascii="宋体" w:eastAsia="宋体" w:hAnsi="Times New Roman" w:cs="Times New Roman"/>
      <w:b/>
      <w:bCs/>
      <w:sz w:val="32"/>
      <w:szCs w:val="20"/>
    </w:rPr>
  </w:style>
  <w:style w:type="character" w:customStyle="1" w:styleId="6Char">
    <w:name w:val="标题 6 Char"/>
    <w:link w:val="6"/>
    <w:qFormat/>
    <w:rsid w:val="004C14BC"/>
    <w:rPr>
      <w:rFonts w:ascii="Arial" w:eastAsia="黑体" w:hAnsi="Arial" w:cs="Times New Roman"/>
      <w:b/>
      <w:bCs/>
      <w:kern w:val="0"/>
    </w:rPr>
  </w:style>
  <w:style w:type="character" w:customStyle="1" w:styleId="Char9">
    <w:name w:val="批注主题 Char"/>
    <w:link w:val="af"/>
    <w:semiHidden/>
    <w:qFormat/>
    <w:rsid w:val="004C14BC"/>
    <w:rPr>
      <w:rFonts w:ascii="Times New Roman" w:eastAsia="宋体" w:hAnsi="Times New Roman" w:cs="Times New Roman"/>
      <w:b/>
      <w:bCs/>
      <w:sz w:val="21"/>
    </w:rPr>
  </w:style>
  <w:style w:type="character" w:customStyle="1" w:styleId="Char2">
    <w:name w:val="正文文本缩进 Char"/>
    <w:basedOn w:val="a1"/>
    <w:link w:val="a7"/>
    <w:qFormat/>
    <w:rsid w:val="004C14BC"/>
  </w:style>
  <w:style w:type="character" w:customStyle="1" w:styleId="Char0">
    <w:name w:val="批注文字 Char"/>
    <w:link w:val="a5"/>
    <w:qFormat/>
    <w:rsid w:val="004C14BC"/>
    <w:rPr>
      <w:sz w:val="21"/>
    </w:rPr>
  </w:style>
  <w:style w:type="character" w:customStyle="1" w:styleId="Char8">
    <w:name w:val="脚注文本 Char"/>
    <w:link w:val="ad"/>
    <w:qFormat/>
    <w:rsid w:val="004C14BC"/>
    <w:rPr>
      <w:sz w:val="18"/>
    </w:rPr>
  </w:style>
  <w:style w:type="character" w:customStyle="1" w:styleId="txtcontent11">
    <w:name w:val="txtcontent11"/>
    <w:qFormat/>
    <w:rsid w:val="004C14BC"/>
    <w:rPr>
      <w:rFonts w:hint="default"/>
      <w:color w:val="000000"/>
      <w:spacing w:val="326"/>
      <w:sz w:val="19"/>
      <w:szCs w:val="19"/>
    </w:rPr>
  </w:style>
  <w:style w:type="character" w:customStyle="1" w:styleId="11">
    <w:name w:val="纯文本字符1"/>
    <w:uiPriority w:val="99"/>
    <w:semiHidden/>
    <w:qFormat/>
    <w:rsid w:val="004C14BC"/>
    <w:rPr>
      <w:rFonts w:ascii="宋体" w:eastAsia="宋体" w:hAnsi="Courier" w:cs="Times New Roman"/>
    </w:rPr>
  </w:style>
  <w:style w:type="character" w:customStyle="1" w:styleId="12">
    <w:name w:val="批注文字字符1"/>
    <w:uiPriority w:val="99"/>
    <w:semiHidden/>
    <w:qFormat/>
    <w:rsid w:val="004C14BC"/>
    <w:rPr>
      <w:rFonts w:ascii="Times New Roman" w:eastAsia="宋体" w:hAnsi="Times New Roman" w:cs="Times New Roman"/>
      <w:sz w:val="21"/>
    </w:rPr>
  </w:style>
  <w:style w:type="character" w:customStyle="1" w:styleId="1Char">
    <w:name w:val="标题 1 Char"/>
    <w:link w:val="1"/>
    <w:qFormat/>
    <w:rsid w:val="004C14BC"/>
    <w:rPr>
      <w:rFonts w:ascii="Arial" w:hAnsi="Arial"/>
      <w:b/>
      <w:bCs/>
      <w:kern w:val="32"/>
      <w:sz w:val="32"/>
      <w:szCs w:val="32"/>
    </w:rPr>
  </w:style>
  <w:style w:type="character" w:customStyle="1" w:styleId="tt11">
    <w:name w:val="tt11"/>
    <w:qFormat/>
    <w:rsid w:val="004C14BC"/>
    <w:rPr>
      <w:rFonts w:ascii="宋体" w:eastAsia="宋体"/>
      <w:color w:val="000000"/>
    </w:rPr>
  </w:style>
  <w:style w:type="character" w:customStyle="1" w:styleId="Chara">
    <w:name w:val="合同标题一一 Char"/>
    <w:qFormat/>
    <w:rsid w:val="004C14BC"/>
    <w:rPr>
      <w:rFonts w:ascii="宋体" w:eastAsia="宋体" w:hAnsi="宋体"/>
      <w:b/>
      <w:kern w:val="44"/>
      <w:sz w:val="24"/>
      <w:szCs w:val="24"/>
      <w:lang w:val="en-US" w:eastAsia="zh-CN" w:bidi="ar-SA"/>
    </w:rPr>
  </w:style>
  <w:style w:type="character" w:customStyle="1" w:styleId="13">
    <w:name w:val="页眉字符1"/>
    <w:uiPriority w:val="99"/>
    <w:semiHidden/>
    <w:qFormat/>
    <w:rsid w:val="004C14BC"/>
    <w:rPr>
      <w:rFonts w:ascii="Times New Roman" w:eastAsia="宋体" w:hAnsi="Times New Roman" w:cs="Times New Roman"/>
      <w:sz w:val="18"/>
      <w:szCs w:val="18"/>
    </w:rPr>
  </w:style>
  <w:style w:type="character" w:customStyle="1" w:styleId="7Char">
    <w:name w:val="标题 7 Char"/>
    <w:link w:val="7"/>
    <w:qFormat/>
    <w:rsid w:val="004C14BC"/>
    <w:rPr>
      <w:rFonts w:ascii="宋体" w:eastAsia="宋体" w:hAnsi="Times New Roman" w:cs="Times New Roman"/>
      <w:b/>
      <w:bCs/>
      <w:kern w:val="0"/>
    </w:rPr>
  </w:style>
  <w:style w:type="character" w:customStyle="1" w:styleId="4Char">
    <w:name w:val="标题 4 Char"/>
    <w:link w:val="4"/>
    <w:qFormat/>
    <w:rsid w:val="004C14BC"/>
    <w:rPr>
      <w:rFonts w:ascii="Times New Roman" w:eastAsia="宋体" w:hAnsi="Times New Roman" w:cs="Times New Roman"/>
      <w:kern w:val="0"/>
      <w:sz w:val="28"/>
      <w:szCs w:val="28"/>
    </w:rPr>
  </w:style>
  <w:style w:type="character" w:customStyle="1" w:styleId="9Char">
    <w:name w:val="标题 9 Char"/>
    <w:link w:val="9"/>
    <w:qFormat/>
    <w:rsid w:val="004C14BC"/>
    <w:rPr>
      <w:rFonts w:ascii="Arial" w:eastAsia="黑体" w:hAnsi="Arial" w:cs="Times New Roman"/>
      <w:kern w:val="0"/>
      <w:sz w:val="21"/>
      <w:szCs w:val="21"/>
    </w:rPr>
  </w:style>
  <w:style w:type="character" w:customStyle="1" w:styleId="HTML1">
    <w:name w:val="HTML 预设格式字符1"/>
    <w:uiPriority w:val="99"/>
    <w:semiHidden/>
    <w:qFormat/>
    <w:rsid w:val="004C14BC"/>
    <w:rPr>
      <w:rFonts w:ascii="Courier" w:eastAsia="宋体" w:hAnsi="Courier" w:cs="Times New Roman"/>
      <w:sz w:val="20"/>
      <w:szCs w:val="20"/>
    </w:rPr>
  </w:style>
  <w:style w:type="character" w:customStyle="1" w:styleId="3Char0">
    <w:name w:val="正文文本缩进 3 Char"/>
    <w:link w:val="30"/>
    <w:qFormat/>
    <w:rsid w:val="004C14BC"/>
    <w:rPr>
      <w:rFonts w:ascii="Times New Roman" w:eastAsia="宋体" w:hAnsi="Times New Roman" w:cs="Times New Roman"/>
      <w:sz w:val="16"/>
      <w:szCs w:val="16"/>
    </w:rPr>
  </w:style>
  <w:style w:type="character" w:customStyle="1" w:styleId="5Char">
    <w:name w:val="标题 5 Char"/>
    <w:link w:val="5"/>
    <w:uiPriority w:val="9"/>
    <w:semiHidden/>
    <w:qFormat/>
    <w:rsid w:val="004C14BC"/>
    <w:rPr>
      <w:rFonts w:ascii="Times New Roman" w:eastAsia="宋体" w:hAnsi="Times New Roman" w:cs="Times New Roman"/>
      <w:b/>
      <w:bCs/>
      <w:sz w:val="28"/>
      <w:szCs w:val="28"/>
    </w:rPr>
  </w:style>
  <w:style w:type="character" w:customStyle="1" w:styleId="14">
    <w:name w:val="页脚字符1"/>
    <w:uiPriority w:val="99"/>
    <w:semiHidden/>
    <w:qFormat/>
    <w:rsid w:val="004C14BC"/>
    <w:rPr>
      <w:rFonts w:ascii="Times New Roman" w:eastAsia="宋体" w:hAnsi="Times New Roman" w:cs="Times New Roman"/>
      <w:sz w:val="18"/>
      <w:szCs w:val="18"/>
    </w:rPr>
  </w:style>
  <w:style w:type="character" w:customStyle="1" w:styleId="z-0">
    <w:name w:val="z-窗体底端字符"/>
    <w:link w:val="z-10"/>
    <w:uiPriority w:val="99"/>
    <w:qFormat/>
    <w:rsid w:val="004C14BC"/>
    <w:rPr>
      <w:rFonts w:ascii="Arial" w:eastAsia="宋体" w:hAnsi="Arial" w:cs="Arial"/>
      <w:vanish/>
      <w:kern w:val="0"/>
      <w:sz w:val="16"/>
      <w:szCs w:val="16"/>
    </w:rPr>
  </w:style>
  <w:style w:type="paragraph" w:customStyle="1" w:styleId="z-10">
    <w:name w:val="z-窗体底端1"/>
    <w:basedOn w:val="a"/>
    <w:next w:val="a"/>
    <w:link w:val="z-0"/>
    <w:uiPriority w:val="99"/>
    <w:unhideWhenUsed/>
    <w:qFormat/>
    <w:rsid w:val="004C14BC"/>
    <w:pPr>
      <w:widowControl/>
      <w:pBdr>
        <w:top w:val="single" w:sz="6" w:space="1" w:color="auto"/>
      </w:pBdr>
      <w:jc w:val="center"/>
    </w:pPr>
    <w:rPr>
      <w:rFonts w:ascii="Arial" w:hAnsi="Arial"/>
      <w:vanish/>
      <w:kern w:val="0"/>
      <w:sz w:val="16"/>
      <w:szCs w:val="16"/>
    </w:rPr>
  </w:style>
  <w:style w:type="character" w:customStyle="1" w:styleId="p3">
    <w:name w:val="p3"/>
    <w:basedOn w:val="a1"/>
    <w:qFormat/>
    <w:rsid w:val="004C14BC"/>
  </w:style>
  <w:style w:type="character" w:customStyle="1" w:styleId="Char4">
    <w:name w:val="日期 Char"/>
    <w:link w:val="a9"/>
    <w:qFormat/>
    <w:rsid w:val="004C14BC"/>
    <w:rPr>
      <w:rFonts w:ascii="Times New Roman" w:eastAsia="宋体" w:hAnsi="Times New Roman" w:cs="Times New Roman"/>
      <w:sz w:val="21"/>
    </w:rPr>
  </w:style>
  <w:style w:type="character" w:customStyle="1" w:styleId="apple-style-span">
    <w:name w:val="apple-style-span"/>
    <w:basedOn w:val="a1"/>
    <w:qFormat/>
    <w:rsid w:val="004C14BC"/>
  </w:style>
  <w:style w:type="character" w:customStyle="1" w:styleId="read">
    <w:name w:val="read"/>
    <w:basedOn w:val="a1"/>
    <w:qFormat/>
    <w:rsid w:val="004C14BC"/>
  </w:style>
  <w:style w:type="character" w:customStyle="1" w:styleId="Char7">
    <w:name w:val="页眉 Char"/>
    <w:link w:val="ac"/>
    <w:uiPriority w:val="99"/>
    <w:qFormat/>
    <w:rsid w:val="004C14BC"/>
    <w:rPr>
      <w:sz w:val="18"/>
      <w:szCs w:val="18"/>
    </w:rPr>
  </w:style>
  <w:style w:type="character" w:customStyle="1" w:styleId="Char5">
    <w:name w:val="批注框文本 Char"/>
    <w:link w:val="aa"/>
    <w:semiHidden/>
    <w:qFormat/>
    <w:rsid w:val="004C14BC"/>
    <w:rPr>
      <w:rFonts w:ascii="Times New Roman" w:eastAsia="宋体" w:hAnsi="Times New Roman" w:cs="Times New Roman"/>
      <w:sz w:val="18"/>
      <w:szCs w:val="18"/>
    </w:rPr>
  </w:style>
  <w:style w:type="character" w:customStyle="1" w:styleId="15">
    <w:name w:val="脚注文本字符1"/>
    <w:uiPriority w:val="99"/>
    <w:semiHidden/>
    <w:qFormat/>
    <w:rsid w:val="004C14BC"/>
    <w:rPr>
      <w:rFonts w:ascii="Times New Roman" w:eastAsia="宋体" w:hAnsi="Times New Roman" w:cs="Times New Roman"/>
      <w:sz w:val="18"/>
      <w:szCs w:val="18"/>
    </w:rPr>
  </w:style>
  <w:style w:type="character" w:customStyle="1" w:styleId="unnamed11">
    <w:name w:val="unnamed11"/>
    <w:qFormat/>
    <w:rsid w:val="004C14BC"/>
    <w:rPr>
      <w:rFonts w:ascii="宋体" w:eastAsia="宋体" w:hAnsi="宋体" w:hint="eastAsia"/>
      <w:sz w:val="18"/>
      <w:szCs w:val="18"/>
    </w:rPr>
  </w:style>
  <w:style w:type="paragraph" w:customStyle="1" w:styleId="080402">
    <w:name w:val="募集方案正文080402"/>
    <w:basedOn w:val="20"/>
    <w:qFormat/>
    <w:rsid w:val="004C14BC"/>
    <w:rPr>
      <w:color w:val="000000"/>
    </w:rPr>
  </w:style>
  <w:style w:type="paragraph" w:customStyle="1" w:styleId="080318">
    <w:name w:val="产品方案正文080318"/>
    <w:basedOn w:val="a"/>
    <w:qFormat/>
    <w:rsid w:val="004C14BC"/>
    <w:pPr>
      <w:autoSpaceDE w:val="0"/>
      <w:autoSpaceDN w:val="0"/>
      <w:adjustRightInd w:val="0"/>
      <w:snapToGrid w:val="0"/>
      <w:spacing w:line="360" w:lineRule="auto"/>
      <w:ind w:firstLineChars="200" w:firstLine="200"/>
    </w:pPr>
    <w:rPr>
      <w:rFonts w:ascii="宋体" w:cs="宋体"/>
      <w:szCs w:val="20"/>
      <w:lang w:val="zh-CN"/>
    </w:rPr>
  </w:style>
  <w:style w:type="paragraph" w:customStyle="1" w:styleId="CM3">
    <w:name w:val="CM3"/>
    <w:basedOn w:val="Default"/>
    <w:next w:val="Default"/>
    <w:qFormat/>
    <w:rsid w:val="004C14BC"/>
    <w:pPr>
      <w:spacing w:line="468" w:lineRule="atLeast"/>
    </w:pPr>
    <w:rPr>
      <w:rFonts w:ascii="黑体" w:eastAsia="黑体" w:cs="黑体"/>
      <w:color w:val="auto"/>
    </w:rPr>
  </w:style>
  <w:style w:type="paragraph" w:customStyle="1" w:styleId="Default">
    <w:name w:val="Default"/>
    <w:qFormat/>
    <w:rsid w:val="004C14BC"/>
    <w:pPr>
      <w:widowControl w:val="0"/>
      <w:autoSpaceDE w:val="0"/>
      <w:autoSpaceDN w:val="0"/>
      <w:adjustRightInd w:val="0"/>
    </w:pPr>
    <w:rPr>
      <w:rFonts w:ascii="宋体" w:cs="宋体"/>
      <w:color w:val="000000"/>
      <w:sz w:val="24"/>
      <w:szCs w:val="24"/>
    </w:rPr>
  </w:style>
  <w:style w:type="paragraph" w:customStyle="1" w:styleId="Listbullet">
    <w:name w:val="List_bullet"/>
    <w:basedOn w:val="a"/>
    <w:qFormat/>
    <w:rsid w:val="004C14BC"/>
    <w:pPr>
      <w:widowControl/>
      <w:tabs>
        <w:tab w:val="left" w:pos="360"/>
      </w:tabs>
      <w:ind w:left="360" w:hanging="360"/>
      <w:jc w:val="left"/>
    </w:pPr>
    <w:rPr>
      <w:kern w:val="0"/>
      <w:sz w:val="24"/>
      <w:szCs w:val="20"/>
    </w:rPr>
  </w:style>
  <w:style w:type="paragraph" w:customStyle="1" w:styleId="xl32">
    <w:name w:val="xl32"/>
    <w:basedOn w:val="a"/>
    <w:qFormat/>
    <w:rsid w:val="004C14BC"/>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hAnsi="Arial Unicode MS"/>
      <w:kern w:val="0"/>
      <w:szCs w:val="21"/>
    </w:rPr>
  </w:style>
  <w:style w:type="paragraph" w:customStyle="1" w:styleId="22">
    <w:name w:val="产品小标题2"/>
    <w:basedOn w:val="a"/>
    <w:next w:val="a"/>
    <w:qFormat/>
    <w:rsid w:val="004C14BC"/>
    <w:pPr>
      <w:spacing w:before="120" w:line="415" w:lineRule="auto"/>
      <w:ind w:firstLineChars="200" w:firstLine="562"/>
      <w:jc w:val="left"/>
      <w:outlineLvl w:val="0"/>
    </w:pPr>
    <w:rPr>
      <w:rFonts w:ascii="仿宋_GB2312" w:eastAsia="仿宋_GB2312"/>
      <w:b/>
      <w:kern w:val="0"/>
      <w:sz w:val="28"/>
    </w:rPr>
  </w:style>
  <w:style w:type="paragraph" w:customStyle="1" w:styleId="af6">
    <w:name w:val="正文所"/>
    <w:basedOn w:val="a"/>
    <w:qFormat/>
    <w:rsid w:val="004C14BC"/>
    <w:pPr>
      <w:spacing w:line="360" w:lineRule="auto"/>
      <w:ind w:firstLineChars="200" w:firstLine="420"/>
    </w:pPr>
  </w:style>
  <w:style w:type="paragraph" w:customStyle="1" w:styleId="CharCharChar">
    <w:name w:val="Char Char Char"/>
    <w:basedOn w:val="a"/>
    <w:qFormat/>
    <w:rsid w:val="004C14BC"/>
  </w:style>
  <w:style w:type="paragraph" w:customStyle="1" w:styleId="CM17">
    <w:name w:val="CM17"/>
    <w:basedOn w:val="a"/>
    <w:next w:val="a"/>
    <w:qFormat/>
    <w:rsid w:val="004C14BC"/>
    <w:pPr>
      <w:autoSpaceDE w:val="0"/>
      <w:autoSpaceDN w:val="0"/>
      <w:adjustRightInd w:val="0"/>
      <w:spacing w:line="468" w:lineRule="atLeast"/>
      <w:jc w:val="left"/>
    </w:pPr>
    <w:rPr>
      <w:rFonts w:ascii="黑体" w:eastAsia="黑体" w:cs="黑体"/>
      <w:kern w:val="0"/>
      <w:sz w:val="24"/>
    </w:rPr>
  </w:style>
  <w:style w:type="paragraph" w:customStyle="1" w:styleId="af7">
    <w:name w:val="产品二级小标题"/>
    <w:basedOn w:val="080318"/>
    <w:qFormat/>
    <w:rsid w:val="004C14BC"/>
    <w:pPr>
      <w:ind w:firstLine="422"/>
    </w:pPr>
    <w:rPr>
      <w:b/>
      <w:bCs/>
    </w:rPr>
  </w:style>
  <w:style w:type="paragraph" w:customStyle="1" w:styleId="af8">
    <w:name w:val="二级标题"/>
    <w:basedOn w:val="ae"/>
    <w:qFormat/>
    <w:rsid w:val="004C14BC"/>
    <w:pPr>
      <w:shd w:val="clear" w:color="auto" w:fill="FFFFFF"/>
      <w:spacing w:line="520" w:lineRule="exact"/>
      <w:ind w:firstLineChars="200" w:firstLine="600"/>
      <w:jc w:val="left"/>
    </w:pPr>
    <w:rPr>
      <w:rFonts w:ascii="方正楷体简体" w:eastAsia="方正楷体简体" w:hAnsi="方正楷体简体" w:cs="方正楷体简体"/>
      <w:color w:val="000000"/>
      <w:kern w:val="0"/>
      <w:sz w:val="30"/>
      <w:szCs w:val="30"/>
      <w:lang w:val="zh-TW" w:eastAsia="zh-TW"/>
    </w:rPr>
  </w:style>
  <w:style w:type="paragraph" w:customStyle="1" w:styleId="font7">
    <w:name w:val="font7"/>
    <w:basedOn w:val="a"/>
    <w:qFormat/>
    <w:rsid w:val="004C14BC"/>
    <w:pPr>
      <w:widowControl/>
      <w:spacing w:before="100" w:beforeAutospacing="1" w:after="100" w:afterAutospacing="1"/>
      <w:jc w:val="left"/>
    </w:pPr>
    <w:rPr>
      <w:rFonts w:ascii="Arial" w:hAnsi="Arial" w:cs="Arial"/>
      <w:kern w:val="0"/>
      <w:szCs w:val="21"/>
    </w:rPr>
  </w:style>
  <w:style w:type="paragraph" w:customStyle="1" w:styleId="af9">
    <w:name w:val="大标题"/>
    <w:basedOn w:val="a7"/>
    <w:qFormat/>
    <w:rsid w:val="004C14BC"/>
    <w:pPr>
      <w:spacing w:after="0"/>
      <w:ind w:leftChars="0" w:left="0"/>
      <w:jc w:val="center"/>
    </w:pPr>
    <w:rPr>
      <w:rFonts w:ascii="方正大标宋简体" w:eastAsia="方正大标宋简体" w:hAnsi="方正大标宋简体" w:cs="方正大标宋简体"/>
      <w:color w:val="000000"/>
      <w:sz w:val="44"/>
      <w:szCs w:val="44"/>
      <w:lang w:val="zh-TW" w:eastAsia="zh-TW"/>
    </w:rPr>
  </w:style>
  <w:style w:type="paragraph" w:customStyle="1" w:styleId="afa">
    <w:name w:val="压缩版正文"/>
    <w:basedOn w:val="a"/>
    <w:qFormat/>
    <w:rsid w:val="004C14BC"/>
    <w:rPr>
      <w:rFonts w:ascii="仿宋_GB2312" w:eastAsia="仿宋_GB2312"/>
    </w:rPr>
  </w:style>
  <w:style w:type="paragraph" w:customStyle="1" w:styleId="ParaCharCharCharCharCharChar">
    <w:name w:val="默认段落字体 Para Char Char Char Char Char Char"/>
    <w:basedOn w:val="a"/>
    <w:qFormat/>
    <w:rsid w:val="004C14BC"/>
    <w:pPr>
      <w:tabs>
        <w:tab w:val="left" w:pos="840"/>
      </w:tabs>
      <w:ind w:left="840" w:hanging="360"/>
    </w:pPr>
    <w:rPr>
      <w:sz w:val="24"/>
    </w:rPr>
  </w:style>
  <w:style w:type="paragraph" w:customStyle="1" w:styleId="msonormal1">
    <w:name w:val="msonormal1"/>
    <w:qFormat/>
    <w:rsid w:val="004C14BC"/>
    <w:pPr>
      <w:widowControl w:val="0"/>
      <w:jc w:val="both"/>
    </w:pPr>
    <w:rPr>
      <w:kern w:val="2"/>
      <w:sz w:val="21"/>
    </w:rPr>
  </w:style>
  <w:style w:type="paragraph" w:customStyle="1" w:styleId="figuresubinparens">
    <w:name w:val="figuresubinparens"/>
    <w:basedOn w:val="a"/>
    <w:qFormat/>
    <w:rsid w:val="004C14BC"/>
    <w:pPr>
      <w:widowControl/>
      <w:spacing w:line="280" w:lineRule="atLeast"/>
      <w:jc w:val="left"/>
    </w:pPr>
    <w:rPr>
      <w:rFonts w:ascii="Arial" w:hAnsi="Arial" w:cs="Arial"/>
      <w:i/>
      <w:iCs/>
      <w:color w:val="333333"/>
      <w:kern w:val="0"/>
      <w:sz w:val="18"/>
      <w:szCs w:val="18"/>
    </w:rPr>
  </w:style>
  <w:style w:type="paragraph" w:customStyle="1" w:styleId="16">
    <w:name w:val="1"/>
    <w:basedOn w:val="a"/>
    <w:qFormat/>
    <w:rsid w:val="004C14BC"/>
  </w:style>
  <w:style w:type="paragraph" w:customStyle="1" w:styleId="0803180">
    <w:name w:val="产品正文080318"/>
    <w:basedOn w:val="222"/>
    <w:qFormat/>
    <w:rsid w:val="004C14BC"/>
    <w:pPr>
      <w:ind w:firstLine="200"/>
    </w:pPr>
    <w:rPr>
      <w:rFonts w:ascii="宋体" w:eastAsia="宋体"/>
      <w:sz w:val="21"/>
    </w:rPr>
  </w:style>
  <w:style w:type="paragraph" w:customStyle="1" w:styleId="222">
    <w:name w:val="样式 样式 产品正文2 + 首行缩进:  2 字符 + 首行缩进:  2 字符"/>
    <w:basedOn w:val="a"/>
    <w:qFormat/>
    <w:rsid w:val="004C14BC"/>
    <w:pPr>
      <w:autoSpaceDE w:val="0"/>
      <w:autoSpaceDN w:val="0"/>
      <w:adjustRightInd w:val="0"/>
      <w:snapToGrid w:val="0"/>
      <w:spacing w:line="360" w:lineRule="auto"/>
      <w:ind w:firstLineChars="200" w:firstLine="480"/>
    </w:pPr>
    <w:rPr>
      <w:rFonts w:ascii="仿宋_GB2312" w:eastAsia="仿宋_GB2312" w:cs="宋体"/>
      <w:sz w:val="24"/>
      <w:szCs w:val="20"/>
      <w:lang w:val="zh-CN"/>
    </w:rPr>
  </w:style>
  <w:style w:type="paragraph" w:customStyle="1" w:styleId="31">
    <w:name w:val="3"/>
    <w:basedOn w:val="a"/>
    <w:qFormat/>
    <w:rsid w:val="004C14BC"/>
  </w:style>
  <w:style w:type="paragraph" w:customStyle="1" w:styleId="150">
    <w:name w:val="样式 (西文) 宋体 (中文) 华文楷体 加粗 行距: 1.5 倍行距"/>
    <w:basedOn w:val="a"/>
    <w:qFormat/>
    <w:rsid w:val="004C14BC"/>
    <w:pPr>
      <w:spacing w:line="360" w:lineRule="auto"/>
      <w:ind w:firstLineChars="200" w:firstLine="420"/>
    </w:pPr>
    <w:rPr>
      <w:rFonts w:ascii="宋体" w:hAnsi="宋体" w:cs="宋体"/>
      <w:b/>
      <w:bCs/>
      <w:szCs w:val="21"/>
    </w:rPr>
  </w:style>
  <w:style w:type="paragraph" w:customStyle="1" w:styleId="xl33">
    <w:name w:val="xl33"/>
    <w:basedOn w:val="a"/>
    <w:qFormat/>
    <w:rsid w:val="004C14B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17">
    <w:name w:val="修订1"/>
    <w:uiPriority w:val="99"/>
    <w:semiHidden/>
    <w:qFormat/>
    <w:rsid w:val="004C14BC"/>
    <w:rPr>
      <w:kern w:val="2"/>
      <w:sz w:val="21"/>
      <w:szCs w:val="24"/>
    </w:rPr>
  </w:style>
  <w:style w:type="paragraph" w:customStyle="1" w:styleId="080320">
    <w:name w:val="申请报告正文080320"/>
    <w:basedOn w:val="20"/>
    <w:qFormat/>
    <w:rsid w:val="004C14BC"/>
    <w:pPr>
      <w:spacing w:beforeLines="50" w:afterLines="50"/>
    </w:pPr>
    <w:rPr>
      <w:szCs w:val="21"/>
    </w:rPr>
  </w:style>
  <w:style w:type="paragraph" w:customStyle="1" w:styleId="080325">
    <w:name w:val="产品标题080325"/>
    <w:basedOn w:val="1"/>
    <w:qFormat/>
    <w:rsid w:val="004C14BC"/>
    <w:pPr>
      <w:spacing w:before="60" w:line="480" w:lineRule="auto"/>
      <w:jc w:val="left"/>
    </w:pPr>
    <w:rPr>
      <w:rFonts w:ascii="黑体" w:eastAsia="黑体" w:hAnsi="宋体"/>
      <w:b w:val="0"/>
      <w:kern w:val="0"/>
      <w:sz w:val="24"/>
      <w:szCs w:val="21"/>
    </w:rPr>
  </w:style>
  <w:style w:type="paragraph" w:customStyle="1" w:styleId="CharCharCharCharCharChar1CharCharChar">
    <w:name w:val="Char Char Char Char Char Char1 Char Char Char"/>
    <w:basedOn w:val="a"/>
    <w:qFormat/>
    <w:rsid w:val="004C14BC"/>
    <w:pPr>
      <w:autoSpaceDE w:val="0"/>
      <w:autoSpaceDN w:val="0"/>
      <w:adjustRightInd w:val="0"/>
      <w:jc w:val="left"/>
      <w:textAlignment w:val="baseline"/>
    </w:pPr>
    <w:rPr>
      <w:rFonts w:ascii="宋体"/>
      <w:kern w:val="0"/>
      <w:sz w:val="34"/>
      <w:szCs w:val="20"/>
    </w:rPr>
  </w:style>
  <w:style w:type="paragraph" w:customStyle="1" w:styleId="ParaCharCharCharCharCharCharCharCharChar">
    <w:name w:val="默认段落字体 Para Char Char Char Char Char Char Char Char Char"/>
    <w:basedOn w:val="a"/>
    <w:qFormat/>
    <w:rsid w:val="004C14BC"/>
    <w:pPr>
      <w:tabs>
        <w:tab w:val="left" w:pos="840"/>
      </w:tabs>
      <w:ind w:left="840" w:hanging="360"/>
    </w:pPr>
    <w:rPr>
      <w:sz w:val="24"/>
    </w:rPr>
  </w:style>
  <w:style w:type="paragraph" w:customStyle="1" w:styleId="afb">
    <w:name w:val="我的正文"/>
    <w:basedOn w:val="ae"/>
    <w:qFormat/>
    <w:rsid w:val="004C14BC"/>
    <w:pPr>
      <w:shd w:val="clear" w:color="auto" w:fill="FFFFFF"/>
      <w:spacing w:line="520" w:lineRule="exact"/>
      <w:ind w:firstLineChars="200" w:firstLine="600"/>
      <w:jc w:val="left"/>
    </w:pPr>
    <w:rPr>
      <w:rFonts w:ascii="方正仿宋简体" w:eastAsia="方正仿宋简体" w:hAnsi="方正仿宋简体" w:cs="方正仿宋简体"/>
      <w:color w:val="000000"/>
      <w:kern w:val="0"/>
      <w:sz w:val="30"/>
      <w:szCs w:val="30"/>
      <w:lang w:val="zh-TW" w:eastAsia="zh-TW"/>
    </w:rPr>
  </w:style>
  <w:style w:type="paragraph" w:customStyle="1" w:styleId="Char10">
    <w:name w:val="Char1"/>
    <w:basedOn w:val="a"/>
    <w:qFormat/>
    <w:rsid w:val="004C14BC"/>
    <w:rPr>
      <w:szCs w:val="20"/>
    </w:rPr>
  </w:style>
  <w:style w:type="paragraph" w:customStyle="1" w:styleId="18">
    <w:name w:val="样式1"/>
    <w:basedOn w:val="a"/>
    <w:qFormat/>
    <w:rsid w:val="004C14BC"/>
    <w:pPr>
      <w:ind w:left="420" w:hanging="420"/>
    </w:pPr>
  </w:style>
  <w:style w:type="paragraph" w:customStyle="1" w:styleId="afc">
    <w:name w:val="一级标题"/>
    <w:basedOn w:val="a"/>
    <w:qFormat/>
    <w:rsid w:val="004C14BC"/>
    <w:pPr>
      <w:spacing w:line="520" w:lineRule="exact"/>
      <w:ind w:firstLineChars="200" w:firstLine="600"/>
    </w:pPr>
    <w:rPr>
      <w:rFonts w:ascii="方正黑体简体" w:eastAsia="方正黑体简体" w:hAnsi="方正黑体简体" w:cs="方正黑体简体"/>
      <w:color w:val="000000"/>
      <w:sz w:val="30"/>
      <w:szCs w:val="30"/>
      <w:lang w:val="zh-TW" w:eastAsia="zh-TW"/>
    </w:rPr>
  </w:style>
  <w:style w:type="paragraph" w:customStyle="1" w:styleId="0804020">
    <w:name w:val="080402"/>
    <w:basedOn w:val="a"/>
    <w:qFormat/>
    <w:rsid w:val="004C14BC"/>
    <w:pPr>
      <w:widowControl/>
      <w:spacing w:before="100" w:beforeAutospacing="1" w:after="100" w:afterAutospacing="1"/>
      <w:jc w:val="left"/>
    </w:pPr>
    <w:rPr>
      <w:rFonts w:ascii="宋体" w:hAnsi="宋体"/>
      <w:kern w:val="0"/>
      <w:sz w:val="24"/>
      <w:szCs w:val="20"/>
    </w:rPr>
  </w:style>
  <w:style w:type="paragraph" w:customStyle="1" w:styleId="CM2">
    <w:name w:val="CM2"/>
    <w:basedOn w:val="a"/>
    <w:next w:val="a"/>
    <w:qFormat/>
    <w:rsid w:val="004C14BC"/>
    <w:pPr>
      <w:autoSpaceDE w:val="0"/>
      <w:autoSpaceDN w:val="0"/>
      <w:adjustRightInd w:val="0"/>
      <w:spacing w:line="471" w:lineRule="atLeast"/>
      <w:jc w:val="left"/>
    </w:pPr>
    <w:rPr>
      <w:rFonts w:ascii="黑体" w:eastAsia="黑体" w:cs="黑体"/>
      <w:kern w:val="0"/>
      <w:sz w:val="24"/>
    </w:rPr>
  </w:style>
  <w:style w:type="paragraph" w:customStyle="1" w:styleId="CM13">
    <w:name w:val="CM13"/>
    <w:basedOn w:val="a"/>
    <w:next w:val="a"/>
    <w:qFormat/>
    <w:rsid w:val="004C14BC"/>
    <w:pPr>
      <w:autoSpaceDE w:val="0"/>
      <w:autoSpaceDN w:val="0"/>
      <w:adjustRightInd w:val="0"/>
      <w:spacing w:line="468" w:lineRule="atLeast"/>
      <w:jc w:val="left"/>
    </w:pPr>
    <w:rPr>
      <w:rFonts w:ascii="黑体" w:eastAsia="黑体" w:cs="黑体"/>
      <w:kern w:val="0"/>
      <w:sz w:val="24"/>
    </w:rPr>
  </w:style>
  <w:style w:type="paragraph" w:customStyle="1" w:styleId="32">
    <w:name w:val="产品小标题3"/>
    <w:basedOn w:val="a"/>
    <w:qFormat/>
    <w:rsid w:val="004C14BC"/>
    <w:pPr>
      <w:adjustRightInd w:val="0"/>
      <w:snapToGrid w:val="0"/>
      <w:spacing w:line="360" w:lineRule="auto"/>
      <w:ind w:firstLineChars="200" w:firstLine="562"/>
      <w:outlineLvl w:val="1"/>
    </w:pPr>
    <w:rPr>
      <w:rFonts w:ascii="仿宋_GB2312" w:eastAsia="仿宋_GB2312"/>
      <w:b/>
      <w:kern w:val="0"/>
      <w:sz w:val="28"/>
    </w:rPr>
  </w:style>
  <w:style w:type="paragraph" w:styleId="afd">
    <w:name w:val="List Paragraph"/>
    <w:basedOn w:val="a"/>
    <w:uiPriority w:val="34"/>
    <w:qFormat/>
    <w:rsid w:val="004C14BC"/>
    <w:pPr>
      <w:ind w:firstLineChars="200" w:firstLine="420"/>
    </w:pPr>
  </w:style>
  <w:style w:type="paragraph" w:customStyle="1" w:styleId="23">
    <w:name w:val="修订2"/>
    <w:uiPriority w:val="99"/>
    <w:unhideWhenUsed/>
    <w:qFormat/>
    <w:rsid w:val="004C14BC"/>
    <w:rPr>
      <w:kern w:val="2"/>
      <w:sz w:val="21"/>
      <w:szCs w:val="24"/>
    </w:rPr>
  </w:style>
  <w:style w:type="paragraph" w:customStyle="1" w:styleId="CharCharCharChar1">
    <w:name w:val="Char Char Char Char1"/>
    <w:basedOn w:val="a"/>
    <w:qFormat/>
    <w:rsid w:val="004C14BC"/>
    <w:pPr>
      <w:tabs>
        <w:tab w:val="left" w:pos="360"/>
      </w:tabs>
      <w:spacing w:before="312" w:after="312" w:line="360" w:lineRule="auto"/>
    </w:pPr>
    <w:rPr>
      <w:sz w:val="24"/>
    </w:rPr>
  </w:style>
  <w:style w:type="paragraph" w:customStyle="1" w:styleId="CharCharCharChar">
    <w:name w:val="Char Char Char Char"/>
    <w:basedOn w:val="a"/>
    <w:qFormat/>
    <w:rsid w:val="004C14BC"/>
    <w:pPr>
      <w:tabs>
        <w:tab w:val="left" w:pos="360"/>
      </w:tabs>
    </w:pPr>
    <w:rPr>
      <w:sz w:val="24"/>
    </w:rPr>
  </w:style>
  <w:style w:type="paragraph" w:customStyle="1" w:styleId="0803181">
    <w:name w:val="080318"/>
    <w:basedOn w:val="a"/>
    <w:qFormat/>
    <w:rsid w:val="004C14BC"/>
    <w:pPr>
      <w:widowControl/>
      <w:spacing w:before="100" w:beforeAutospacing="1" w:after="100" w:afterAutospacing="1"/>
      <w:jc w:val="left"/>
    </w:pPr>
    <w:rPr>
      <w:rFonts w:ascii="宋体" w:hAnsi="宋体" w:cs="宋体"/>
      <w:kern w:val="0"/>
      <w:sz w:val="24"/>
    </w:rPr>
  </w:style>
  <w:style w:type="paragraph" w:customStyle="1" w:styleId="Charb">
    <w:name w:val="Char"/>
    <w:basedOn w:val="a"/>
    <w:qFormat/>
    <w:rsid w:val="004C14BC"/>
  </w:style>
  <w:style w:type="paragraph" w:customStyle="1" w:styleId="afe">
    <w:name w:val="产品正文"/>
    <w:basedOn w:val="222"/>
    <w:qFormat/>
    <w:rsid w:val="004C14BC"/>
    <w:pPr>
      <w:ind w:firstLine="200"/>
    </w:pPr>
    <w:rPr>
      <w:rFonts w:ascii="宋体" w:eastAsia="宋体"/>
      <w:sz w:val="21"/>
    </w:rPr>
  </w:style>
  <w:style w:type="character" w:customStyle="1" w:styleId="Char11">
    <w:name w:val="批注文字 Char1"/>
    <w:basedOn w:val="a1"/>
    <w:qFormat/>
    <w:rsid w:val="004C14BC"/>
    <w:rPr>
      <w:kern w:val="2"/>
      <w:sz w:val="21"/>
      <w:szCs w:val="24"/>
    </w:rPr>
  </w:style>
  <w:style w:type="character" w:customStyle="1" w:styleId="2Char10">
    <w:name w:val="正文文本缩进 2 Char1"/>
    <w:basedOn w:val="a1"/>
    <w:qFormat/>
    <w:rsid w:val="004C14BC"/>
    <w:rPr>
      <w:kern w:val="2"/>
      <w:sz w:val="21"/>
      <w:szCs w:val="24"/>
    </w:rPr>
  </w:style>
  <w:style w:type="paragraph" w:customStyle="1" w:styleId="33">
    <w:name w:val="修订3"/>
    <w:hidden/>
    <w:uiPriority w:val="99"/>
    <w:semiHidden/>
    <w:qFormat/>
    <w:rsid w:val="004C14BC"/>
    <w:rPr>
      <w:kern w:val="2"/>
      <w:sz w:val="21"/>
      <w:szCs w:val="24"/>
    </w:rPr>
  </w:style>
  <w:style w:type="paragraph" w:styleId="aff">
    <w:name w:val="Revision"/>
    <w:hidden/>
    <w:uiPriority w:val="99"/>
    <w:semiHidden/>
    <w:rsid w:val="00085199"/>
    <w:rPr>
      <w:kern w:val="2"/>
      <w:sz w:val="21"/>
      <w:szCs w:val="24"/>
    </w:rPr>
  </w:style>
</w:styles>
</file>

<file path=word/webSettings.xml><?xml version="1.0" encoding="utf-8"?>
<w:webSettings xmlns:r="http://schemas.openxmlformats.org/officeDocument/2006/relationships" xmlns:w="http://schemas.openxmlformats.org/wordprocessingml/2006/main">
  <w:divs>
    <w:div w:id="578292398">
      <w:bodyDiv w:val="1"/>
      <w:marLeft w:val="0"/>
      <w:marRight w:val="0"/>
      <w:marTop w:val="0"/>
      <w:marBottom w:val="0"/>
      <w:divBdr>
        <w:top w:val="none" w:sz="0" w:space="0" w:color="auto"/>
        <w:left w:val="none" w:sz="0" w:space="0" w:color="auto"/>
        <w:bottom w:val="none" w:sz="0" w:space="0" w:color="auto"/>
        <w:right w:val="none" w:sz="0" w:space="0" w:color="auto"/>
      </w:divBdr>
      <w:divsChild>
        <w:div w:id="1582829550">
          <w:marLeft w:val="0"/>
          <w:marRight w:val="0"/>
          <w:marTop w:val="0"/>
          <w:marBottom w:val="0"/>
          <w:divBdr>
            <w:top w:val="none" w:sz="0" w:space="0" w:color="auto"/>
            <w:left w:val="none" w:sz="0" w:space="0" w:color="auto"/>
            <w:bottom w:val="none" w:sz="0" w:space="0" w:color="auto"/>
            <w:right w:val="none" w:sz="0" w:space="0" w:color="auto"/>
          </w:divBdr>
        </w:div>
      </w:divsChild>
    </w:div>
    <w:div w:id="702679366">
      <w:bodyDiv w:val="1"/>
      <w:marLeft w:val="0"/>
      <w:marRight w:val="0"/>
      <w:marTop w:val="0"/>
      <w:marBottom w:val="0"/>
      <w:divBdr>
        <w:top w:val="none" w:sz="0" w:space="0" w:color="auto"/>
        <w:left w:val="none" w:sz="0" w:space="0" w:color="auto"/>
        <w:bottom w:val="none" w:sz="0" w:space="0" w:color="auto"/>
        <w:right w:val="none" w:sz="0" w:space="0" w:color="auto"/>
      </w:divBdr>
    </w:div>
    <w:div w:id="1332103579">
      <w:bodyDiv w:val="1"/>
      <w:marLeft w:val="0"/>
      <w:marRight w:val="0"/>
      <w:marTop w:val="0"/>
      <w:marBottom w:val="0"/>
      <w:divBdr>
        <w:top w:val="none" w:sz="0" w:space="0" w:color="auto"/>
        <w:left w:val="none" w:sz="0" w:space="0" w:color="auto"/>
        <w:bottom w:val="none" w:sz="0" w:space="0" w:color="auto"/>
        <w:right w:val="none" w:sz="0" w:space="0" w:color="auto"/>
      </w:divBdr>
      <w:divsChild>
        <w:div w:id="10512683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iqicha.baidu.com/company_detail_29797442232930?tab=basi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yhfund.com.cn"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6DF35-6BFB-48F3-A41A-A48F2A211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2570</Words>
  <Characters>14650</Characters>
  <Application>Microsoft Office Word</Application>
  <DocSecurity>4</DocSecurity>
  <Lines>122</Lines>
  <Paragraphs>34</Paragraphs>
  <ScaleCrop>false</ScaleCrop>
  <Company>Microsoft</Company>
  <LinksUpToDate>false</LinksUpToDate>
  <CharactersWithSpaces>17186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chenh</dc:creator>
  <cp:lastModifiedBy>ZHONGM</cp:lastModifiedBy>
  <cp:revision>2</cp:revision>
  <cp:lastPrinted>2021-11-17T07:13:00Z</cp:lastPrinted>
  <dcterms:created xsi:type="dcterms:W3CDTF">2025-03-16T16:02:00Z</dcterms:created>
  <dcterms:modified xsi:type="dcterms:W3CDTF">2025-03-16T16:02:00Z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8AB0CF4F01F44C388E34B4C8533E1217_13</vt:lpwstr>
  </property>
</Properties>
</file>