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C6" w:rsidRPr="008B1F27" w:rsidRDefault="003A1E9E" w:rsidP="0064720C">
      <w:pPr>
        <w:widowControl/>
        <w:shd w:val="clear" w:color="auto" w:fill="FFFFFF"/>
        <w:adjustRightInd w:val="0"/>
        <w:snapToGrid w:val="0"/>
        <w:jc w:val="center"/>
        <w:outlineLvl w:val="1"/>
        <w:rPr>
          <w:rFonts w:ascii="黑体" w:eastAsia="黑体" w:hAnsi="黑体" w:cs="Arial"/>
          <w:b/>
          <w:kern w:val="0"/>
          <w:sz w:val="32"/>
          <w:szCs w:val="32"/>
        </w:rPr>
      </w:pPr>
      <w:r>
        <w:rPr>
          <w:rFonts w:ascii="黑体" w:eastAsia="黑体" w:hAnsi="黑体" w:cs="Arial" w:hint="eastAsia"/>
          <w:b/>
          <w:kern w:val="0"/>
          <w:sz w:val="32"/>
          <w:szCs w:val="32"/>
        </w:rPr>
        <w:t>前海开源北证50成份指数型发起式证券投资基金</w:t>
      </w:r>
      <w:r w:rsidR="00FD53BC" w:rsidRPr="008B1F27">
        <w:rPr>
          <w:rFonts w:ascii="黑体" w:eastAsia="黑体" w:hAnsi="黑体" w:cs="Arial" w:hint="eastAsia"/>
          <w:b/>
          <w:kern w:val="0"/>
          <w:sz w:val="32"/>
          <w:szCs w:val="32"/>
        </w:rPr>
        <w:t>开放日常申购</w:t>
      </w:r>
      <w:r w:rsidR="00230793">
        <w:rPr>
          <w:rFonts w:ascii="黑体" w:eastAsia="黑体" w:hAnsi="黑体" w:cs="Arial" w:hint="eastAsia"/>
          <w:b/>
          <w:kern w:val="0"/>
          <w:sz w:val="32"/>
          <w:szCs w:val="32"/>
        </w:rPr>
        <w:t>、</w:t>
      </w:r>
      <w:r w:rsidR="0053020B">
        <w:rPr>
          <w:rFonts w:ascii="黑体" w:eastAsia="黑体" w:hAnsi="黑体" w:cs="Arial" w:hint="eastAsia"/>
          <w:b/>
          <w:kern w:val="0"/>
          <w:sz w:val="32"/>
          <w:szCs w:val="32"/>
        </w:rPr>
        <w:t>赎回、</w:t>
      </w:r>
      <w:r w:rsidR="00230793">
        <w:rPr>
          <w:rFonts w:ascii="黑体" w:eastAsia="黑体" w:hAnsi="黑体" w:cs="Arial" w:hint="eastAsia"/>
          <w:b/>
          <w:kern w:val="0"/>
          <w:sz w:val="32"/>
          <w:szCs w:val="32"/>
        </w:rPr>
        <w:t>转换及</w:t>
      </w:r>
      <w:r w:rsidR="00FD53BC" w:rsidRPr="008B1F27">
        <w:rPr>
          <w:rFonts w:ascii="黑体" w:eastAsia="黑体" w:hAnsi="黑体" w:cs="Arial" w:hint="eastAsia"/>
          <w:b/>
          <w:kern w:val="0"/>
          <w:sz w:val="32"/>
          <w:szCs w:val="32"/>
        </w:rPr>
        <w:t>定投业务的公告</w:t>
      </w:r>
    </w:p>
    <w:p w:rsidR="00FA74BC" w:rsidRPr="006A238C" w:rsidRDefault="00FA74BC" w:rsidP="00B97651">
      <w:pPr>
        <w:widowControl/>
        <w:shd w:val="clear" w:color="auto" w:fill="FFFFFF"/>
        <w:adjustRightInd w:val="0"/>
        <w:snapToGrid w:val="0"/>
        <w:spacing w:line="360" w:lineRule="auto"/>
        <w:ind w:firstLine="482"/>
        <w:rPr>
          <w:rFonts w:ascii="宋体" w:eastAsia="宋体" w:hAnsi="宋体" w:cs="Arial"/>
          <w:color w:val="1F497D" w:themeColor="text2"/>
          <w:kern w:val="0"/>
          <w:sz w:val="24"/>
          <w:szCs w:val="24"/>
        </w:rPr>
      </w:pPr>
    </w:p>
    <w:p w:rsidR="00FD53BC" w:rsidRPr="008B1F27" w:rsidRDefault="00842941" w:rsidP="00842941">
      <w:pPr>
        <w:pStyle w:val="ab"/>
        <w:widowControl/>
        <w:shd w:val="clear" w:color="auto" w:fill="FFFFFF"/>
        <w:adjustRightInd w:val="0"/>
        <w:snapToGrid w:val="0"/>
        <w:spacing w:line="360" w:lineRule="auto"/>
        <w:ind w:left="482" w:firstLineChars="0" w:firstLine="0"/>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1. </w:t>
      </w:r>
      <w:r w:rsidR="00FD53BC" w:rsidRPr="008B1F27">
        <w:rPr>
          <w:rFonts w:ascii="宋体" w:eastAsia="宋体" w:hAnsi="宋体" w:cs="Arial"/>
          <w:b/>
          <w:bCs/>
          <w:color w:val="000000" w:themeColor="text1"/>
          <w:kern w:val="0"/>
          <w:sz w:val="24"/>
          <w:szCs w:val="24"/>
        </w:rPr>
        <w:t>公告基本信息</w:t>
      </w:r>
    </w:p>
    <w:tbl>
      <w:tblPr>
        <w:tblW w:w="8926" w:type="dxa"/>
        <w:jc w:val="center"/>
        <w:tblLook w:val="04A0"/>
      </w:tblPr>
      <w:tblGrid>
        <w:gridCol w:w="2978"/>
        <w:gridCol w:w="2974"/>
        <w:gridCol w:w="2974"/>
      </w:tblGrid>
      <w:tr w:rsidR="00842941" w:rsidRPr="008B1F27" w:rsidTr="00D76FA8">
        <w:trPr>
          <w:trHeight w:val="510"/>
          <w:jc w:val="center"/>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基金名称</w:t>
            </w:r>
          </w:p>
        </w:tc>
        <w:tc>
          <w:tcPr>
            <w:tcW w:w="5948" w:type="dxa"/>
            <w:gridSpan w:val="2"/>
            <w:tcBorders>
              <w:top w:val="single" w:sz="4" w:space="0" w:color="000000"/>
              <w:left w:val="nil"/>
              <w:bottom w:val="single" w:sz="4" w:space="0" w:color="000000"/>
              <w:right w:val="single" w:sz="4" w:space="0" w:color="000000"/>
            </w:tcBorders>
            <w:shd w:val="clear" w:color="auto" w:fill="auto"/>
            <w:vAlign w:val="center"/>
            <w:hideMark/>
          </w:tcPr>
          <w:p w:rsidR="00FA74BC" w:rsidRPr="008B1F27" w:rsidRDefault="003A1E9E" w:rsidP="00842941">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前海开源北证50成份指数型发起式证券投资基金</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基金简称</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64720C" w:rsidRPr="008B1F27" w:rsidRDefault="003A1E9E" w:rsidP="0052499F">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前海开源北证50成份指数发起</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基金主代码</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3A1E9E" w:rsidP="0064720C">
            <w:pPr>
              <w:widowControl/>
              <w:adjustRightInd w:val="0"/>
              <w:snapToGrid w:val="0"/>
              <w:rPr>
                <w:rFonts w:ascii="宋体" w:eastAsia="宋体" w:hAnsi="宋体" w:cs="Arial"/>
                <w:color w:val="000000" w:themeColor="text1"/>
                <w:kern w:val="0"/>
                <w:sz w:val="24"/>
                <w:szCs w:val="24"/>
              </w:rPr>
            </w:pPr>
            <w:r w:rsidRPr="003A1E9E">
              <w:rPr>
                <w:rFonts w:ascii="宋体" w:eastAsia="宋体" w:hAnsi="宋体" w:cs="Arial"/>
                <w:color w:val="000000" w:themeColor="text1"/>
                <w:kern w:val="0"/>
                <w:sz w:val="24"/>
                <w:szCs w:val="24"/>
              </w:rPr>
              <w:t>023441</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基金运作方式</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6A6FAA" w:rsidP="0052499F">
            <w:pPr>
              <w:widowControl/>
              <w:adjustRightInd w:val="0"/>
              <w:snapToGrid w:val="0"/>
              <w:rPr>
                <w:rFonts w:ascii="宋体" w:eastAsia="宋体" w:hAnsi="宋体" w:cs="宋体"/>
                <w:color w:val="000000" w:themeColor="text1"/>
                <w:kern w:val="0"/>
                <w:sz w:val="24"/>
                <w:szCs w:val="24"/>
              </w:rPr>
            </w:pPr>
            <w:r w:rsidRPr="006A6FAA">
              <w:rPr>
                <w:rFonts w:ascii="宋体" w:eastAsia="宋体" w:hAnsi="宋体" w:cs="宋体" w:hint="eastAsia"/>
                <w:color w:val="000000" w:themeColor="text1"/>
                <w:kern w:val="0"/>
                <w:sz w:val="24"/>
                <w:szCs w:val="24"/>
              </w:rPr>
              <w:t>契约型开放式</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基金合同生效日</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DA7DD1" w:rsidP="00111063">
            <w:pPr>
              <w:widowControl/>
              <w:adjustRightInd w:val="0"/>
              <w:snapToGrid w:val="0"/>
              <w:rPr>
                <w:rFonts w:ascii="宋体" w:eastAsia="宋体" w:hAnsi="宋体" w:cs="Arial"/>
                <w:color w:val="000000" w:themeColor="text1"/>
                <w:kern w:val="0"/>
                <w:sz w:val="24"/>
                <w:szCs w:val="24"/>
              </w:rPr>
            </w:pPr>
            <w:r w:rsidRPr="00DA7DD1">
              <w:rPr>
                <w:rFonts w:ascii="宋体" w:eastAsia="宋体" w:hAnsi="宋体" w:cs="Arial" w:hint="eastAsia"/>
                <w:color w:val="000000" w:themeColor="text1"/>
                <w:kern w:val="0"/>
                <w:sz w:val="24"/>
                <w:szCs w:val="24"/>
              </w:rPr>
              <w:t>2025年</w:t>
            </w:r>
            <w:r>
              <w:rPr>
                <w:rFonts w:ascii="宋体" w:eastAsia="宋体" w:hAnsi="宋体" w:cs="Arial" w:hint="eastAsia"/>
                <w:color w:val="000000" w:themeColor="text1"/>
                <w:kern w:val="0"/>
                <w:sz w:val="24"/>
                <w:szCs w:val="24"/>
              </w:rPr>
              <w:t>0</w:t>
            </w:r>
            <w:r w:rsidR="003A1E9E">
              <w:rPr>
                <w:rFonts w:ascii="宋体" w:eastAsia="宋体" w:hAnsi="宋体" w:cs="Arial" w:hint="eastAsia"/>
                <w:color w:val="000000" w:themeColor="text1"/>
                <w:kern w:val="0"/>
                <w:sz w:val="24"/>
                <w:szCs w:val="24"/>
              </w:rPr>
              <w:t>3</w:t>
            </w:r>
            <w:r w:rsidRPr="00DA7DD1">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11</w:t>
            </w:r>
            <w:r w:rsidRPr="00DA7DD1">
              <w:rPr>
                <w:rFonts w:ascii="宋体" w:eastAsia="宋体" w:hAnsi="宋体" w:cs="Arial" w:hint="eastAsia"/>
                <w:color w:val="000000" w:themeColor="text1"/>
                <w:kern w:val="0"/>
                <w:sz w:val="24"/>
                <w:szCs w:val="24"/>
              </w:rPr>
              <w:t>日</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基金管理人名称</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前海开源基金管理有限公司</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基金托管人名称</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3A1E9E" w:rsidP="00700F77">
            <w:pPr>
              <w:widowControl/>
              <w:adjustRightInd w:val="0"/>
              <w:snapToGrid w:val="0"/>
              <w:rPr>
                <w:rFonts w:ascii="宋体" w:eastAsia="宋体" w:hAnsi="宋体" w:cs="宋体"/>
                <w:color w:val="000000" w:themeColor="text1"/>
                <w:kern w:val="0"/>
                <w:sz w:val="24"/>
                <w:szCs w:val="24"/>
              </w:rPr>
            </w:pPr>
            <w:r w:rsidRPr="003A1E9E">
              <w:rPr>
                <w:rFonts w:ascii="宋体" w:eastAsia="宋体" w:hAnsi="宋体" w:cs="宋体" w:hint="eastAsia"/>
                <w:color w:val="000000" w:themeColor="text1"/>
                <w:kern w:val="0"/>
                <w:sz w:val="24"/>
                <w:szCs w:val="24"/>
              </w:rPr>
              <w:t>上海浦东发展银行股份有限公司</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基金注册登记机构名称</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前海开源基金管理有限公司</w:t>
            </w:r>
          </w:p>
        </w:tc>
      </w:tr>
      <w:tr w:rsidR="00842941" w:rsidRPr="008B1F27" w:rsidTr="00D76FA8">
        <w:trPr>
          <w:trHeight w:val="90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公告依据</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6A6FAA" w:rsidP="00DC2D83">
            <w:pPr>
              <w:widowControl/>
              <w:adjustRightInd w:val="0"/>
              <w:snapToGrid w:val="0"/>
              <w:rPr>
                <w:rFonts w:ascii="宋体" w:eastAsia="宋体" w:hAnsi="宋体" w:cs="宋体"/>
                <w:color w:val="000000" w:themeColor="text1"/>
                <w:kern w:val="0"/>
                <w:sz w:val="24"/>
                <w:szCs w:val="24"/>
              </w:rPr>
            </w:pPr>
            <w:r w:rsidRPr="006A6FAA">
              <w:rPr>
                <w:rFonts w:ascii="宋体" w:eastAsia="宋体" w:hAnsi="宋体" w:cs="宋体" w:hint="eastAsia"/>
                <w:color w:val="000000" w:themeColor="text1"/>
                <w:kern w:val="0"/>
                <w:sz w:val="24"/>
                <w:szCs w:val="24"/>
              </w:rPr>
              <w:t>《中华人民共和国证券投资基金法》及其配套法规、《</w:t>
            </w:r>
            <w:r w:rsidR="003A1E9E">
              <w:rPr>
                <w:rFonts w:ascii="宋体" w:eastAsia="宋体" w:hAnsi="宋体" w:cs="宋体" w:hint="eastAsia"/>
                <w:color w:val="000000" w:themeColor="text1"/>
                <w:kern w:val="0"/>
                <w:sz w:val="24"/>
                <w:szCs w:val="24"/>
              </w:rPr>
              <w:t>前海开源北证50成份指数型发起式证券投资基金</w:t>
            </w:r>
            <w:r w:rsidRPr="006A6FAA">
              <w:rPr>
                <w:rFonts w:ascii="宋体" w:eastAsia="宋体" w:hAnsi="宋体" w:cs="宋体" w:hint="eastAsia"/>
                <w:color w:val="000000" w:themeColor="text1"/>
                <w:kern w:val="0"/>
                <w:sz w:val="24"/>
                <w:szCs w:val="24"/>
              </w:rPr>
              <w:t>基金合同》、《</w:t>
            </w:r>
            <w:r w:rsidR="003A1E9E">
              <w:rPr>
                <w:rFonts w:ascii="宋体" w:eastAsia="宋体" w:hAnsi="宋体" w:cs="宋体" w:hint="eastAsia"/>
                <w:color w:val="000000" w:themeColor="text1"/>
                <w:kern w:val="0"/>
                <w:sz w:val="24"/>
                <w:szCs w:val="24"/>
              </w:rPr>
              <w:t>前海开源北证50成份指数型发起式证券投资基金</w:t>
            </w:r>
            <w:r w:rsidRPr="006A6FAA">
              <w:rPr>
                <w:rFonts w:ascii="宋体" w:eastAsia="宋体" w:hAnsi="宋体" w:cs="宋体" w:hint="eastAsia"/>
                <w:color w:val="000000" w:themeColor="text1"/>
                <w:kern w:val="0"/>
                <w:sz w:val="24"/>
                <w:szCs w:val="24"/>
              </w:rPr>
              <w:t>招募说明书》</w:t>
            </w:r>
          </w:p>
        </w:tc>
      </w:tr>
      <w:tr w:rsidR="00842941" w:rsidRPr="008B1F27" w:rsidTr="00D579AE">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申购起始日</w:t>
            </w:r>
          </w:p>
        </w:tc>
        <w:tc>
          <w:tcPr>
            <w:tcW w:w="5948" w:type="dxa"/>
            <w:gridSpan w:val="2"/>
            <w:tcBorders>
              <w:top w:val="nil"/>
              <w:left w:val="nil"/>
              <w:bottom w:val="single" w:sz="4" w:space="0" w:color="000000"/>
              <w:right w:val="single" w:sz="4" w:space="0" w:color="000000"/>
            </w:tcBorders>
            <w:shd w:val="clear" w:color="auto" w:fill="auto"/>
            <w:vAlign w:val="center"/>
          </w:tcPr>
          <w:p w:rsidR="00FA74BC" w:rsidRPr="00D91F8C" w:rsidRDefault="00111063" w:rsidP="00111063">
            <w:pPr>
              <w:widowControl/>
              <w:adjustRightInd w:val="0"/>
              <w:snapToGrid w:val="0"/>
              <w:rPr>
                <w:rFonts w:ascii="宋体" w:eastAsia="宋体" w:hAnsi="宋体" w:cs="Arial"/>
                <w:color w:val="000000" w:themeColor="text1"/>
                <w:kern w:val="0"/>
                <w:sz w:val="24"/>
                <w:szCs w:val="24"/>
                <w:highlight w:val="yellow"/>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sidR="005F5871">
              <w:rPr>
                <w:rFonts w:ascii="宋体" w:eastAsia="宋体" w:hAnsi="宋体" w:cs="Arial" w:hint="eastAsia"/>
                <w:color w:val="000000" w:themeColor="text1"/>
                <w:kern w:val="0"/>
                <w:sz w:val="24"/>
                <w:szCs w:val="24"/>
              </w:rPr>
              <w:t>年</w:t>
            </w:r>
            <w:r>
              <w:rPr>
                <w:rFonts w:ascii="宋体" w:eastAsia="宋体" w:hAnsi="宋体" w:cs="Arial"/>
                <w:color w:val="000000" w:themeColor="text1"/>
                <w:kern w:val="0"/>
                <w:sz w:val="24"/>
                <w:szCs w:val="24"/>
              </w:rPr>
              <w:t>0</w:t>
            </w:r>
            <w:r w:rsidR="003A1E9E">
              <w:rPr>
                <w:rFonts w:ascii="宋体" w:eastAsia="宋体" w:hAnsi="宋体" w:cs="Arial" w:hint="eastAsia"/>
                <w:color w:val="000000" w:themeColor="text1"/>
                <w:kern w:val="0"/>
                <w:sz w:val="24"/>
                <w:szCs w:val="24"/>
              </w:rPr>
              <w:t>3</w:t>
            </w:r>
            <w:r w:rsidR="00097094">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19</w:t>
            </w:r>
            <w:r w:rsidR="00097094">
              <w:rPr>
                <w:rFonts w:ascii="宋体" w:eastAsia="宋体" w:hAnsi="宋体" w:cs="Arial" w:hint="eastAsia"/>
                <w:color w:val="000000" w:themeColor="text1"/>
                <w:kern w:val="0"/>
                <w:sz w:val="24"/>
                <w:szCs w:val="24"/>
              </w:rPr>
              <w:t>日</w:t>
            </w:r>
          </w:p>
        </w:tc>
      </w:tr>
      <w:tr w:rsidR="0053020B" w:rsidRPr="008B1F27" w:rsidTr="00D579AE">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tcPr>
          <w:p w:rsidR="0053020B" w:rsidRPr="008B1F27" w:rsidRDefault="0053020B" w:rsidP="00842941">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赎回起始日</w:t>
            </w:r>
          </w:p>
        </w:tc>
        <w:tc>
          <w:tcPr>
            <w:tcW w:w="5948" w:type="dxa"/>
            <w:gridSpan w:val="2"/>
            <w:tcBorders>
              <w:top w:val="nil"/>
              <w:left w:val="nil"/>
              <w:bottom w:val="single" w:sz="4" w:space="0" w:color="000000"/>
              <w:right w:val="single" w:sz="4" w:space="0" w:color="000000"/>
            </w:tcBorders>
            <w:shd w:val="clear" w:color="auto" w:fill="auto"/>
            <w:vAlign w:val="center"/>
          </w:tcPr>
          <w:p w:rsidR="0053020B" w:rsidRDefault="00890937" w:rsidP="005F5871">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Pr>
                <w:rFonts w:ascii="宋体" w:eastAsia="宋体" w:hAnsi="宋体" w:cs="Arial" w:hint="eastAsia"/>
                <w:color w:val="000000" w:themeColor="text1"/>
                <w:kern w:val="0"/>
                <w:sz w:val="24"/>
                <w:szCs w:val="24"/>
              </w:rPr>
              <w:t>年</w:t>
            </w:r>
            <w:r>
              <w:rPr>
                <w:rFonts w:ascii="宋体" w:eastAsia="宋体" w:hAnsi="宋体" w:cs="Arial"/>
                <w:color w:val="000000" w:themeColor="text1"/>
                <w:kern w:val="0"/>
                <w:sz w:val="24"/>
                <w:szCs w:val="24"/>
              </w:rPr>
              <w:t>0</w:t>
            </w:r>
            <w:r w:rsidR="003A1E9E">
              <w:rPr>
                <w:rFonts w:ascii="宋体" w:eastAsia="宋体" w:hAnsi="宋体" w:cs="Arial" w:hint="eastAsia"/>
                <w:color w:val="000000" w:themeColor="text1"/>
                <w:kern w:val="0"/>
                <w:sz w:val="24"/>
                <w:szCs w:val="24"/>
              </w:rPr>
              <w:t>3</w:t>
            </w:r>
            <w:r>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19</w:t>
            </w:r>
            <w:r>
              <w:rPr>
                <w:rFonts w:ascii="宋体" w:eastAsia="宋体" w:hAnsi="宋体" w:cs="Arial" w:hint="eastAsia"/>
                <w:color w:val="000000" w:themeColor="text1"/>
                <w:kern w:val="0"/>
                <w:sz w:val="24"/>
                <w:szCs w:val="24"/>
              </w:rPr>
              <w:t>日</w:t>
            </w:r>
          </w:p>
        </w:tc>
      </w:tr>
      <w:tr w:rsidR="003D6877" w:rsidRPr="008B1F27" w:rsidTr="00D579AE">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tcPr>
          <w:p w:rsidR="003D6877" w:rsidRPr="008B1F27" w:rsidRDefault="003D6877" w:rsidP="003D6877">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转换转入</w:t>
            </w:r>
            <w:r w:rsidRPr="003D6877">
              <w:rPr>
                <w:rFonts w:ascii="宋体" w:eastAsia="宋体" w:hAnsi="宋体" w:cs="宋体" w:hint="eastAsia"/>
                <w:color w:val="000000" w:themeColor="text1"/>
                <w:kern w:val="0"/>
                <w:sz w:val="24"/>
                <w:szCs w:val="24"/>
              </w:rPr>
              <w:t>起始日</w:t>
            </w:r>
          </w:p>
        </w:tc>
        <w:tc>
          <w:tcPr>
            <w:tcW w:w="5948" w:type="dxa"/>
            <w:gridSpan w:val="2"/>
            <w:tcBorders>
              <w:top w:val="nil"/>
              <w:left w:val="nil"/>
              <w:bottom w:val="single" w:sz="4" w:space="0" w:color="000000"/>
              <w:right w:val="single" w:sz="4" w:space="0" w:color="000000"/>
            </w:tcBorders>
            <w:shd w:val="clear" w:color="auto" w:fill="auto"/>
            <w:vAlign w:val="center"/>
          </w:tcPr>
          <w:p w:rsidR="003D6877" w:rsidRPr="007E4706" w:rsidDel="00097094" w:rsidRDefault="00890937" w:rsidP="005F5871">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Pr>
                <w:rFonts w:ascii="宋体" w:eastAsia="宋体" w:hAnsi="宋体" w:cs="Arial" w:hint="eastAsia"/>
                <w:color w:val="000000" w:themeColor="text1"/>
                <w:kern w:val="0"/>
                <w:sz w:val="24"/>
                <w:szCs w:val="24"/>
              </w:rPr>
              <w:t>年</w:t>
            </w:r>
            <w:r>
              <w:rPr>
                <w:rFonts w:ascii="宋体" w:eastAsia="宋体" w:hAnsi="宋体" w:cs="Arial"/>
                <w:color w:val="000000" w:themeColor="text1"/>
                <w:kern w:val="0"/>
                <w:sz w:val="24"/>
                <w:szCs w:val="24"/>
              </w:rPr>
              <w:t>0</w:t>
            </w:r>
            <w:r w:rsidR="003A1E9E">
              <w:rPr>
                <w:rFonts w:ascii="宋体" w:eastAsia="宋体" w:hAnsi="宋体" w:cs="Arial" w:hint="eastAsia"/>
                <w:color w:val="000000" w:themeColor="text1"/>
                <w:kern w:val="0"/>
                <w:sz w:val="24"/>
                <w:szCs w:val="24"/>
              </w:rPr>
              <w:t>3</w:t>
            </w:r>
            <w:r>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19</w:t>
            </w:r>
            <w:r>
              <w:rPr>
                <w:rFonts w:ascii="宋体" w:eastAsia="宋体" w:hAnsi="宋体" w:cs="Arial" w:hint="eastAsia"/>
                <w:color w:val="000000" w:themeColor="text1"/>
                <w:kern w:val="0"/>
                <w:sz w:val="24"/>
                <w:szCs w:val="24"/>
              </w:rPr>
              <w:t>日</w:t>
            </w:r>
          </w:p>
        </w:tc>
      </w:tr>
      <w:tr w:rsidR="0053020B" w:rsidRPr="008B1F27" w:rsidTr="00D579AE">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tcPr>
          <w:p w:rsidR="0053020B" w:rsidRDefault="0053020B" w:rsidP="003D6877">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转换转出</w:t>
            </w:r>
            <w:r w:rsidRPr="003D6877">
              <w:rPr>
                <w:rFonts w:ascii="宋体" w:eastAsia="宋体" w:hAnsi="宋体" w:cs="宋体" w:hint="eastAsia"/>
                <w:color w:val="000000" w:themeColor="text1"/>
                <w:kern w:val="0"/>
                <w:sz w:val="24"/>
                <w:szCs w:val="24"/>
              </w:rPr>
              <w:t>起始日</w:t>
            </w:r>
          </w:p>
        </w:tc>
        <w:tc>
          <w:tcPr>
            <w:tcW w:w="5948" w:type="dxa"/>
            <w:gridSpan w:val="2"/>
            <w:tcBorders>
              <w:top w:val="nil"/>
              <w:left w:val="nil"/>
              <w:bottom w:val="single" w:sz="4" w:space="0" w:color="000000"/>
              <w:right w:val="single" w:sz="4" w:space="0" w:color="000000"/>
            </w:tcBorders>
            <w:shd w:val="clear" w:color="auto" w:fill="auto"/>
            <w:vAlign w:val="center"/>
          </w:tcPr>
          <w:p w:rsidR="0053020B" w:rsidRDefault="00890937" w:rsidP="005F5871">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Pr>
                <w:rFonts w:ascii="宋体" w:eastAsia="宋体" w:hAnsi="宋体" w:cs="Arial" w:hint="eastAsia"/>
                <w:color w:val="000000" w:themeColor="text1"/>
                <w:kern w:val="0"/>
                <w:sz w:val="24"/>
                <w:szCs w:val="24"/>
              </w:rPr>
              <w:t>年</w:t>
            </w:r>
            <w:r>
              <w:rPr>
                <w:rFonts w:ascii="宋体" w:eastAsia="宋体" w:hAnsi="宋体" w:cs="Arial"/>
                <w:color w:val="000000" w:themeColor="text1"/>
                <w:kern w:val="0"/>
                <w:sz w:val="24"/>
                <w:szCs w:val="24"/>
              </w:rPr>
              <w:t>0</w:t>
            </w:r>
            <w:r w:rsidR="003A1E9E">
              <w:rPr>
                <w:rFonts w:ascii="宋体" w:eastAsia="宋体" w:hAnsi="宋体" w:cs="Arial" w:hint="eastAsia"/>
                <w:color w:val="000000" w:themeColor="text1"/>
                <w:kern w:val="0"/>
                <w:sz w:val="24"/>
                <w:szCs w:val="24"/>
              </w:rPr>
              <w:t>3</w:t>
            </w:r>
            <w:r>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19</w:t>
            </w:r>
            <w:r>
              <w:rPr>
                <w:rFonts w:ascii="宋体" w:eastAsia="宋体" w:hAnsi="宋体" w:cs="Arial" w:hint="eastAsia"/>
                <w:color w:val="000000" w:themeColor="text1"/>
                <w:kern w:val="0"/>
                <w:sz w:val="24"/>
                <w:szCs w:val="24"/>
              </w:rPr>
              <w:t>日</w:t>
            </w:r>
          </w:p>
        </w:tc>
      </w:tr>
      <w:tr w:rsidR="003D6877" w:rsidRPr="008B1F27" w:rsidTr="00AF1060">
        <w:trPr>
          <w:trHeight w:val="510"/>
          <w:jc w:val="center"/>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877" w:rsidRPr="008B1F27" w:rsidRDefault="003D6877" w:rsidP="003D6877">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定期定额投资起始日</w:t>
            </w:r>
          </w:p>
        </w:tc>
        <w:tc>
          <w:tcPr>
            <w:tcW w:w="5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6877" w:rsidRPr="00D579AE" w:rsidRDefault="00890937" w:rsidP="005F5871">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Pr>
                <w:rFonts w:ascii="宋体" w:eastAsia="宋体" w:hAnsi="宋体" w:cs="Arial" w:hint="eastAsia"/>
                <w:color w:val="000000" w:themeColor="text1"/>
                <w:kern w:val="0"/>
                <w:sz w:val="24"/>
                <w:szCs w:val="24"/>
              </w:rPr>
              <w:t>年</w:t>
            </w:r>
            <w:r>
              <w:rPr>
                <w:rFonts w:ascii="宋体" w:eastAsia="宋体" w:hAnsi="宋体" w:cs="Arial"/>
                <w:color w:val="000000" w:themeColor="text1"/>
                <w:kern w:val="0"/>
                <w:sz w:val="24"/>
                <w:szCs w:val="24"/>
              </w:rPr>
              <w:t>0</w:t>
            </w:r>
            <w:r w:rsidR="003A1E9E">
              <w:rPr>
                <w:rFonts w:ascii="宋体" w:eastAsia="宋体" w:hAnsi="宋体" w:cs="Arial" w:hint="eastAsia"/>
                <w:color w:val="000000" w:themeColor="text1"/>
                <w:kern w:val="0"/>
                <w:sz w:val="24"/>
                <w:szCs w:val="24"/>
              </w:rPr>
              <w:t>3</w:t>
            </w:r>
            <w:r>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19</w:t>
            </w:r>
            <w:r>
              <w:rPr>
                <w:rFonts w:ascii="宋体" w:eastAsia="宋体" w:hAnsi="宋体" w:cs="Arial" w:hint="eastAsia"/>
                <w:color w:val="000000" w:themeColor="text1"/>
                <w:kern w:val="0"/>
                <w:sz w:val="24"/>
                <w:szCs w:val="24"/>
              </w:rPr>
              <w:t>日</w:t>
            </w:r>
          </w:p>
        </w:tc>
      </w:tr>
      <w:tr w:rsidR="00FE4572" w:rsidRPr="008B1F27" w:rsidTr="00B70434">
        <w:trPr>
          <w:trHeight w:val="510"/>
          <w:jc w:val="center"/>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Pr="008B1F27" w:rsidRDefault="00FE4572" w:rsidP="00FE4572">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下属</w:t>
            </w:r>
            <w:r>
              <w:rPr>
                <w:rFonts w:ascii="宋体" w:eastAsia="宋体" w:hAnsi="宋体" w:cs="宋体"/>
                <w:color w:val="000000" w:themeColor="text1"/>
                <w:kern w:val="0"/>
                <w:sz w:val="24"/>
                <w:szCs w:val="24"/>
              </w:rPr>
              <w:t>分级</w:t>
            </w:r>
            <w:r>
              <w:rPr>
                <w:rFonts w:ascii="宋体" w:eastAsia="宋体" w:hAnsi="宋体" w:cs="宋体" w:hint="eastAsia"/>
                <w:color w:val="000000" w:themeColor="text1"/>
                <w:kern w:val="0"/>
                <w:sz w:val="24"/>
                <w:szCs w:val="24"/>
              </w:rPr>
              <w:t>基金</w:t>
            </w:r>
            <w:r>
              <w:rPr>
                <w:rFonts w:ascii="宋体" w:eastAsia="宋体" w:hAnsi="宋体" w:cs="宋体"/>
                <w:color w:val="000000" w:themeColor="text1"/>
                <w:kern w:val="0"/>
                <w:sz w:val="24"/>
                <w:szCs w:val="24"/>
              </w:rPr>
              <w:t>的基金简称</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3A1E9E" w:rsidP="005F5871">
            <w:pPr>
              <w:widowControl/>
              <w:adjustRightInd w:val="0"/>
              <w:snapToGrid w:val="0"/>
              <w:rPr>
                <w:rFonts w:ascii="宋体" w:eastAsia="宋体" w:hAnsi="宋体" w:cs="Arial"/>
                <w:color w:val="000000" w:themeColor="text1"/>
                <w:kern w:val="0"/>
                <w:sz w:val="24"/>
                <w:szCs w:val="24"/>
              </w:rPr>
            </w:pPr>
            <w:r>
              <w:rPr>
                <w:rFonts w:ascii="宋体" w:eastAsia="宋体" w:hAnsi="宋体" w:cs="宋体" w:hint="eastAsia"/>
                <w:color w:val="000000" w:themeColor="text1"/>
                <w:kern w:val="0"/>
                <w:sz w:val="24"/>
                <w:szCs w:val="24"/>
              </w:rPr>
              <w:t>前海开源北证50成份指数发起</w:t>
            </w:r>
            <w:r w:rsidR="00FE4572" w:rsidRPr="00FE4572">
              <w:rPr>
                <w:rFonts w:ascii="宋体" w:eastAsia="宋体" w:hAnsi="宋体" w:cs="Arial" w:hint="eastAsia"/>
                <w:color w:val="000000" w:themeColor="text1"/>
                <w:kern w:val="0"/>
                <w:sz w:val="24"/>
                <w:szCs w:val="24"/>
              </w:rPr>
              <w:t>A</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3A1E9E" w:rsidP="00FE4572">
            <w:pPr>
              <w:widowControl/>
              <w:adjustRightInd w:val="0"/>
              <w:snapToGrid w:val="0"/>
              <w:rPr>
                <w:rFonts w:ascii="宋体" w:eastAsia="宋体" w:hAnsi="宋体" w:cs="Arial"/>
                <w:color w:val="000000" w:themeColor="text1"/>
                <w:kern w:val="0"/>
                <w:sz w:val="24"/>
                <w:szCs w:val="24"/>
              </w:rPr>
            </w:pPr>
            <w:r>
              <w:rPr>
                <w:rFonts w:ascii="宋体" w:eastAsia="宋体" w:hAnsi="宋体" w:cs="宋体" w:hint="eastAsia"/>
                <w:color w:val="000000" w:themeColor="text1"/>
                <w:kern w:val="0"/>
                <w:sz w:val="24"/>
                <w:szCs w:val="24"/>
              </w:rPr>
              <w:t>前海开源北证50成份指数发起</w:t>
            </w:r>
            <w:r w:rsidR="00FE4572" w:rsidRPr="00FE4572">
              <w:rPr>
                <w:rFonts w:ascii="宋体" w:eastAsia="宋体" w:hAnsi="宋体" w:cs="Arial" w:hint="eastAsia"/>
                <w:color w:val="000000" w:themeColor="text1"/>
                <w:kern w:val="0"/>
                <w:sz w:val="24"/>
                <w:szCs w:val="24"/>
              </w:rPr>
              <w:t>C</w:t>
            </w:r>
          </w:p>
        </w:tc>
      </w:tr>
      <w:tr w:rsidR="00FE4572" w:rsidRPr="008B1F27" w:rsidTr="00B70434">
        <w:trPr>
          <w:trHeight w:val="510"/>
          <w:jc w:val="center"/>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Pr="008B1F27" w:rsidRDefault="00FE4572" w:rsidP="00FE4572">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下属</w:t>
            </w:r>
            <w:r>
              <w:rPr>
                <w:rFonts w:ascii="宋体" w:eastAsia="宋体" w:hAnsi="宋体" w:cs="宋体"/>
                <w:color w:val="000000" w:themeColor="text1"/>
                <w:kern w:val="0"/>
                <w:sz w:val="24"/>
                <w:szCs w:val="24"/>
              </w:rPr>
              <w:t>分级基金的交易代码</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3A1E9E" w:rsidP="00FE4572">
            <w:pPr>
              <w:widowControl/>
              <w:adjustRightInd w:val="0"/>
              <w:snapToGrid w:val="0"/>
              <w:rPr>
                <w:rFonts w:ascii="宋体" w:eastAsia="宋体" w:hAnsi="宋体" w:cs="Arial"/>
                <w:color w:val="000000" w:themeColor="text1"/>
                <w:kern w:val="0"/>
                <w:sz w:val="24"/>
                <w:szCs w:val="24"/>
              </w:rPr>
            </w:pPr>
            <w:r w:rsidRPr="003A1E9E">
              <w:rPr>
                <w:rFonts w:ascii="宋体" w:eastAsia="宋体" w:hAnsi="宋体" w:cs="Arial"/>
                <w:color w:val="000000" w:themeColor="text1"/>
                <w:kern w:val="0"/>
                <w:sz w:val="24"/>
                <w:szCs w:val="24"/>
              </w:rPr>
              <w:t>023441</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3A1E9E" w:rsidP="00890937">
            <w:pPr>
              <w:widowControl/>
              <w:adjustRightInd w:val="0"/>
              <w:snapToGrid w:val="0"/>
              <w:rPr>
                <w:rFonts w:ascii="宋体" w:eastAsia="宋体" w:hAnsi="宋体" w:cs="Arial"/>
                <w:color w:val="000000" w:themeColor="text1"/>
                <w:kern w:val="0"/>
                <w:sz w:val="24"/>
                <w:szCs w:val="24"/>
              </w:rPr>
            </w:pPr>
            <w:r w:rsidRPr="003A1E9E">
              <w:rPr>
                <w:rFonts w:ascii="宋体" w:eastAsia="宋体" w:hAnsi="宋体" w:cs="Arial"/>
                <w:color w:val="000000" w:themeColor="text1"/>
                <w:kern w:val="0"/>
                <w:sz w:val="24"/>
                <w:szCs w:val="24"/>
              </w:rPr>
              <w:t>023442</w:t>
            </w:r>
          </w:p>
        </w:tc>
      </w:tr>
      <w:tr w:rsidR="00FE4572" w:rsidRPr="008B1F27" w:rsidTr="00B70434">
        <w:trPr>
          <w:trHeight w:val="510"/>
          <w:jc w:val="center"/>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Pr="008B1F27" w:rsidRDefault="00FE4572" w:rsidP="00FE4572">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该分级</w:t>
            </w:r>
            <w:r>
              <w:rPr>
                <w:rFonts w:ascii="宋体" w:eastAsia="宋体" w:hAnsi="宋体" w:cs="宋体"/>
                <w:color w:val="000000" w:themeColor="text1"/>
                <w:kern w:val="0"/>
                <w:sz w:val="24"/>
                <w:szCs w:val="24"/>
              </w:rPr>
              <w:t>基金是否开放申购、</w:t>
            </w:r>
            <w:r>
              <w:rPr>
                <w:rFonts w:ascii="宋体" w:eastAsia="宋体" w:hAnsi="宋体" w:cs="宋体" w:hint="eastAsia"/>
                <w:color w:val="000000" w:themeColor="text1"/>
                <w:kern w:val="0"/>
                <w:sz w:val="24"/>
                <w:szCs w:val="24"/>
              </w:rPr>
              <w:t>赎回、</w:t>
            </w:r>
            <w:r>
              <w:rPr>
                <w:rFonts w:ascii="宋体" w:eastAsia="宋体" w:hAnsi="宋体" w:cs="宋体"/>
                <w:color w:val="000000" w:themeColor="text1"/>
                <w:kern w:val="0"/>
                <w:sz w:val="24"/>
                <w:szCs w:val="24"/>
              </w:rPr>
              <w:t>转换和定期定额投资</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FE4572" w:rsidP="00FE4572">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是</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FE4572" w:rsidP="00FE4572">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是</w:t>
            </w:r>
          </w:p>
        </w:tc>
      </w:tr>
    </w:tbl>
    <w:p w:rsidR="00D76FA8" w:rsidRPr="008B1F27" w:rsidRDefault="00D76FA8" w:rsidP="00842941">
      <w:pPr>
        <w:widowControl/>
        <w:shd w:val="clear" w:color="auto" w:fill="FFFFFF"/>
        <w:adjustRightInd w:val="0"/>
        <w:snapToGrid w:val="0"/>
        <w:spacing w:line="360" w:lineRule="auto"/>
        <w:ind w:firstLineChars="200" w:firstLine="482"/>
        <w:rPr>
          <w:rFonts w:ascii="宋体" w:eastAsia="宋体" w:hAnsi="宋体" w:cs="Arial"/>
          <w:b/>
          <w:bCs/>
          <w:color w:val="474747"/>
          <w:kern w:val="0"/>
          <w:sz w:val="24"/>
          <w:szCs w:val="24"/>
        </w:rPr>
      </w:pPr>
    </w:p>
    <w:p w:rsidR="00FD53BC" w:rsidRPr="008B1F27" w:rsidRDefault="00842941" w:rsidP="00842941">
      <w:pPr>
        <w:widowControl/>
        <w:shd w:val="clear" w:color="auto" w:fill="FFFFFF"/>
        <w:adjustRightInd w:val="0"/>
        <w:snapToGrid w:val="0"/>
        <w:spacing w:line="360" w:lineRule="auto"/>
        <w:ind w:left="480"/>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2. </w:t>
      </w:r>
      <w:r w:rsidR="00FD53BC" w:rsidRPr="008B1F27">
        <w:rPr>
          <w:rFonts w:ascii="宋体" w:eastAsia="宋体" w:hAnsi="宋体" w:cs="Arial"/>
          <w:b/>
          <w:bCs/>
          <w:color w:val="000000" w:themeColor="text1"/>
          <w:kern w:val="0"/>
          <w:sz w:val="24"/>
          <w:szCs w:val="24"/>
        </w:rPr>
        <w:t>日常申购、赎回</w:t>
      </w:r>
      <w:r w:rsidR="0088236E">
        <w:rPr>
          <w:rFonts w:ascii="宋体" w:eastAsia="宋体" w:hAnsi="宋体" w:cs="Arial" w:hint="eastAsia"/>
          <w:b/>
          <w:bCs/>
          <w:color w:val="000000" w:themeColor="text1"/>
          <w:kern w:val="0"/>
          <w:sz w:val="24"/>
          <w:szCs w:val="24"/>
        </w:rPr>
        <w:t>、</w:t>
      </w:r>
      <w:r w:rsidR="0088236E">
        <w:rPr>
          <w:rFonts w:ascii="宋体" w:eastAsia="宋体" w:hAnsi="宋体" w:cs="Arial"/>
          <w:b/>
          <w:bCs/>
          <w:color w:val="000000" w:themeColor="text1"/>
          <w:kern w:val="0"/>
          <w:sz w:val="24"/>
          <w:szCs w:val="24"/>
        </w:rPr>
        <w:t>转换</w:t>
      </w:r>
      <w:r w:rsidR="002F6BDC" w:rsidRPr="002F6BDC">
        <w:rPr>
          <w:rFonts w:ascii="宋体" w:eastAsia="宋体" w:hAnsi="宋体" w:cs="Arial" w:hint="eastAsia"/>
          <w:b/>
          <w:bCs/>
          <w:color w:val="000000" w:themeColor="text1"/>
          <w:kern w:val="0"/>
          <w:sz w:val="24"/>
          <w:szCs w:val="24"/>
        </w:rPr>
        <w:t>及定投</w:t>
      </w:r>
      <w:r w:rsidR="00FD53BC" w:rsidRPr="008B1F27">
        <w:rPr>
          <w:rFonts w:ascii="宋体" w:eastAsia="宋体" w:hAnsi="宋体" w:cs="Arial"/>
          <w:b/>
          <w:bCs/>
          <w:color w:val="000000" w:themeColor="text1"/>
          <w:kern w:val="0"/>
          <w:sz w:val="24"/>
          <w:szCs w:val="24"/>
        </w:rPr>
        <w:t>业务的办理时间</w:t>
      </w:r>
    </w:p>
    <w:p w:rsidR="00C27432" w:rsidRPr="00C27432" w:rsidRDefault="00890937" w:rsidP="00C2743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bookmarkStart w:id="0" w:name="t_2_2_2819_a1_fm1"/>
      <w:bookmarkEnd w:id="0"/>
      <w:r w:rsidRPr="00890937">
        <w:rPr>
          <w:rFonts w:ascii="宋体" w:eastAsia="宋体" w:hAnsi="宋体" w:cs="Arial" w:hint="eastAsia"/>
          <w:color w:val="000000" w:themeColor="text1"/>
          <w:kern w:val="0"/>
          <w:sz w:val="24"/>
          <w:szCs w:val="24"/>
        </w:rPr>
        <w:t>投资人在开放日办理基金份额的申购和赎回，具体办理时间为上海证券交易所、深圳证券交易所</w:t>
      </w:r>
      <w:r w:rsidR="00AA7BD9" w:rsidRPr="00AA7BD9">
        <w:rPr>
          <w:rFonts w:ascii="宋体" w:eastAsia="宋体" w:hAnsi="宋体" w:cs="Arial" w:hint="eastAsia"/>
          <w:color w:val="000000" w:themeColor="text1"/>
          <w:kern w:val="0"/>
          <w:sz w:val="24"/>
          <w:szCs w:val="24"/>
        </w:rPr>
        <w:t>、北京证券交易所</w:t>
      </w:r>
      <w:r w:rsidRPr="00890937">
        <w:rPr>
          <w:rFonts w:ascii="宋体" w:eastAsia="宋体" w:hAnsi="宋体" w:cs="Arial" w:hint="eastAsia"/>
          <w:color w:val="000000" w:themeColor="text1"/>
          <w:kern w:val="0"/>
          <w:sz w:val="24"/>
          <w:szCs w:val="24"/>
        </w:rPr>
        <w:t>的正常交易日（若本基金投资港股通标的</w:t>
      </w:r>
      <w:r w:rsidRPr="00890937">
        <w:rPr>
          <w:rFonts w:ascii="宋体" w:eastAsia="宋体" w:hAnsi="宋体" w:cs="Arial" w:hint="eastAsia"/>
          <w:color w:val="000000" w:themeColor="text1"/>
          <w:kern w:val="0"/>
          <w:sz w:val="24"/>
          <w:szCs w:val="24"/>
        </w:rPr>
        <w:lastRenderedPageBreak/>
        <w:t>股票且该交易日为非港股通交易日，则基金管理人可根据实际情况决定本基金是否开放申购、赎回或其他业务，具体以届时发布的公告为准）的交易时间，但基金管理人根据法律法规、中国证监会的要求或基金合同的规定公告暂停申购、赎回时除外。</w:t>
      </w:r>
    </w:p>
    <w:p w:rsidR="007606E3" w:rsidRDefault="00C27432" w:rsidP="0036278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C27432">
        <w:rPr>
          <w:rFonts w:ascii="宋体" w:eastAsia="宋体" w:hAnsi="宋体" w:cs="Arial" w:hint="eastAsia"/>
          <w:color w:val="000000" w:themeColor="text1"/>
          <w:kern w:val="0"/>
          <w:sz w:val="24"/>
          <w:szCs w:val="24"/>
        </w:rPr>
        <w:t>基金合同生效后，若出现新的证券、期货交易市场，证券、期货交易所交易时间变更或其他特殊情况，基金管理人将视情况对前述开放日及开放时间进行相应的调整，但应在实施日前依照《</w:t>
      </w:r>
      <w:r w:rsidR="008D61B6" w:rsidRPr="008D61B6">
        <w:rPr>
          <w:rFonts w:ascii="宋体" w:eastAsia="宋体" w:hAnsi="宋体" w:cs="Arial" w:hint="eastAsia"/>
          <w:color w:val="000000" w:themeColor="text1"/>
          <w:kern w:val="0"/>
          <w:sz w:val="24"/>
          <w:szCs w:val="24"/>
        </w:rPr>
        <w:t>公开募集证券投资基金信息披露管理办法</w:t>
      </w:r>
      <w:r w:rsidRPr="00C27432">
        <w:rPr>
          <w:rFonts w:ascii="宋体" w:eastAsia="宋体" w:hAnsi="宋体" w:cs="Arial" w:hint="eastAsia"/>
          <w:color w:val="000000" w:themeColor="text1"/>
          <w:kern w:val="0"/>
          <w:sz w:val="24"/>
          <w:szCs w:val="24"/>
        </w:rPr>
        <w:t>》的有关规定在</w:t>
      </w:r>
      <w:r w:rsidR="00BF15FA">
        <w:rPr>
          <w:rFonts w:ascii="宋体" w:eastAsia="宋体" w:hAnsi="宋体" w:cs="Arial" w:hint="eastAsia"/>
          <w:color w:val="000000" w:themeColor="text1"/>
          <w:kern w:val="0"/>
          <w:sz w:val="24"/>
          <w:szCs w:val="24"/>
        </w:rPr>
        <w:t>规定</w:t>
      </w:r>
      <w:r w:rsidRPr="00C27432">
        <w:rPr>
          <w:rFonts w:ascii="宋体" w:eastAsia="宋体" w:hAnsi="宋体" w:cs="Arial" w:hint="eastAsia"/>
          <w:color w:val="000000" w:themeColor="text1"/>
          <w:kern w:val="0"/>
          <w:sz w:val="24"/>
          <w:szCs w:val="24"/>
        </w:rPr>
        <w:t>媒介上公告。</w:t>
      </w:r>
    </w:p>
    <w:p w:rsidR="00D42103" w:rsidRPr="008B1F27" w:rsidRDefault="00D42103" w:rsidP="0036278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842941"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3. </w:t>
      </w:r>
      <w:r w:rsidR="00FD53BC" w:rsidRPr="008B1F27">
        <w:rPr>
          <w:rFonts w:ascii="宋体" w:eastAsia="宋体" w:hAnsi="宋体" w:cs="Arial"/>
          <w:b/>
          <w:bCs/>
          <w:color w:val="000000" w:themeColor="text1"/>
          <w:kern w:val="0"/>
          <w:sz w:val="24"/>
          <w:szCs w:val="24"/>
        </w:rPr>
        <w:t>日常申购业务</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3.1申购金额限制</w:t>
      </w:r>
    </w:p>
    <w:p w:rsidR="00EC1325" w:rsidRPr="008B1F27" w:rsidRDefault="00FD53BC" w:rsidP="00EC1325">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本基金对单个投资人不设累计持有的基金份额上限</w:t>
      </w:r>
      <w:r w:rsidR="00EC1325" w:rsidRPr="008B1F27">
        <w:rPr>
          <w:rFonts w:ascii="宋体" w:eastAsia="宋体" w:hAnsi="宋体" w:cs="Arial" w:hint="eastAsia"/>
          <w:color w:val="000000" w:themeColor="text1"/>
          <w:kern w:val="0"/>
          <w:sz w:val="24"/>
          <w:szCs w:val="24"/>
        </w:rPr>
        <w:t>，但如</w:t>
      </w:r>
      <w:r w:rsidR="009D4098">
        <w:rPr>
          <w:rFonts w:ascii="宋体" w:eastAsia="宋体" w:hAnsi="宋体" w:cs="Arial" w:hint="eastAsia"/>
          <w:color w:val="000000" w:themeColor="text1"/>
          <w:kern w:val="0"/>
          <w:sz w:val="24"/>
          <w:szCs w:val="24"/>
        </w:rPr>
        <w:t>果</w:t>
      </w:r>
      <w:r w:rsidR="00E77048" w:rsidRPr="00E77048">
        <w:rPr>
          <w:rFonts w:ascii="宋体" w:eastAsia="宋体" w:hAnsi="宋体" w:cs="Arial" w:hint="eastAsia"/>
          <w:color w:val="000000" w:themeColor="text1"/>
          <w:kern w:val="0"/>
          <w:sz w:val="24"/>
          <w:szCs w:val="24"/>
        </w:rPr>
        <w:t>基金管理人接受某笔或者某些申购申请有可能导致单一投资者</w:t>
      </w:r>
      <w:r w:rsidR="00CB79A7" w:rsidRPr="00CB79A7">
        <w:rPr>
          <w:rFonts w:ascii="宋体" w:eastAsia="宋体" w:hAnsi="宋体" w:cs="Arial" w:hint="eastAsia"/>
          <w:color w:val="000000" w:themeColor="text1"/>
          <w:kern w:val="0"/>
          <w:sz w:val="24"/>
          <w:szCs w:val="24"/>
        </w:rPr>
        <w:t>（基金管理人、基金管理人高级管理人员或基金经理等人员作为发起资金提供方除外）</w:t>
      </w:r>
      <w:r w:rsidR="00E77048" w:rsidRPr="00E77048">
        <w:rPr>
          <w:rFonts w:ascii="宋体" w:eastAsia="宋体" w:hAnsi="宋体" w:cs="Arial" w:hint="eastAsia"/>
          <w:color w:val="000000" w:themeColor="text1"/>
          <w:kern w:val="0"/>
          <w:sz w:val="24"/>
          <w:szCs w:val="24"/>
        </w:rPr>
        <w:t>持有基金份额的比例达到或者超过50%，或者变相规避50%</w:t>
      </w:r>
      <w:r w:rsidR="00E77048">
        <w:rPr>
          <w:rFonts w:ascii="宋体" w:eastAsia="宋体" w:hAnsi="宋体" w:cs="Arial" w:hint="eastAsia"/>
          <w:color w:val="000000" w:themeColor="text1"/>
          <w:kern w:val="0"/>
          <w:sz w:val="24"/>
          <w:szCs w:val="24"/>
        </w:rPr>
        <w:t>集中度的情形</w:t>
      </w:r>
      <w:r w:rsidR="00DE6268" w:rsidRPr="00DE6268">
        <w:rPr>
          <w:rFonts w:ascii="宋体" w:eastAsia="宋体" w:hAnsi="宋体" w:cs="Arial" w:hint="eastAsia"/>
          <w:color w:val="000000" w:themeColor="text1"/>
          <w:kern w:val="0"/>
          <w:sz w:val="24"/>
          <w:szCs w:val="24"/>
        </w:rPr>
        <w:t>，基金管理人有权拒绝该等全部或者部分</w:t>
      </w:r>
      <w:r w:rsidR="00DE6268">
        <w:rPr>
          <w:rFonts w:ascii="宋体" w:eastAsia="宋体" w:hAnsi="宋体" w:cs="Arial" w:hint="eastAsia"/>
          <w:color w:val="000000" w:themeColor="text1"/>
          <w:kern w:val="0"/>
          <w:sz w:val="24"/>
          <w:szCs w:val="24"/>
        </w:rPr>
        <w:t>申购</w:t>
      </w:r>
      <w:r w:rsidR="00DE6268" w:rsidRPr="00DE6268">
        <w:rPr>
          <w:rFonts w:ascii="宋体" w:eastAsia="宋体" w:hAnsi="宋体" w:cs="Arial" w:hint="eastAsia"/>
          <w:color w:val="000000" w:themeColor="text1"/>
          <w:kern w:val="0"/>
          <w:sz w:val="24"/>
          <w:szCs w:val="24"/>
        </w:rPr>
        <w:t>申请</w:t>
      </w:r>
      <w:r w:rsidR="00EC1325" w:rsidRPr="008B1F27">
        <w:rPr>
          <w:rFonts w:ascii="宋体" w:eastAsia="宋体" w:hAnsi="宋体" w:cs="Arial" w:hint="eastAsia"/>
          <w:color w:val="000000" w:themeColor="text1"/>
          <w:kern w:val="0"/>
          <w:sz w:val="24"/>
          <w:szCs w:val="24"/>
        </w:rPr>
        <w:t>。</w:t>
      </w:r>
    </w:p>
    <w:p w:rsidR="00FD53BC" w:rsidRDefault="00E77048" w:rsidP="007606E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77048">
        <w:rPr>
          <w:rFonts w:ascii="宋体" w:eastAsia="宋体" w:hAnsi="宋体" w:cs="Arial" w:hint="eastAsia"/>
          <w:color w:val="000000" w:themeColor="text1"/>
          <w:kern w:val="0"/>
          <w:sz w:val="24"/>
          <w:szCs w:val="24"/>
        </w:rPr>
        <w:t>本基金首次申购和追加申购的单笔最低限额均为人民币10元（含申购费）。各销售机构对最低申购限额及交易级差有其他规定的，以各销售机构的业务规定为准。</w:t>
      </w:r>
    </w:p>
    <w:p w:rsidR="00771006" w:rsidRPr="008B1F27" w:rsidRDefault="00061A69" w:rsidP="00C07E2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C27432" w:rsidRPr="00C27432">
        <w:rPr>
          <w:rFonts w:ascii="宋体" w:eastAsia="宋体" w:hAnsi="宋体" w:cs="Arial" w:hint="eastAsia"/>
          <w:color w:val="000000" w:themeColor="text1"/>
          <w:kern w:val="0"/>
          <w:sz w:val="24"/>
          <w:szCs w:val="24"/>
        </w:rPr>
        <w:t>基金管理人基于投资运作与风险控制的需要，可采取上述措施对基金规模予以控制。</w:t>
      </w:r>
      <w:r w:rsidRPr="00061A69">
        <w:rPr>
          <w:rFonts w:ascii="宋体" w:eastAsia="宋体" w:hAnsi="宋体" w:cs="Arial" w:hint="eastAsia"/>
          <w:color w:val="000000" w:themeColor="text1"/>
          <w:kern w:val="0"/>
          <w:sz w:val="24"/>
          <w:szCs w:val="24"/>
        </w:rPr>
        <w:t>具体见</w:t>
      </w:r>
      <w:r w:rsidR="00B72A7F">
        <w:rPr>
          <w:rFonts w:ascii="宋体" w:eastAsia="宋体" w:hAnsi="宋体" w:cs="Arial" w:hint="eastAsia"/>
          <w:color w:val="000000" w:themeColor="text1"/>
          <w:kern w:val="0"/>
          <w:sz w:val="24"/>
          <w:szCs w:val="24"/>
        </w:rPr>
        <w:t>基金管理人</w:t>
      </w:r>
      <w:r w:rsidRPr="00061A69">
        <w:rPr>
          <w:rFonts w:ascii="宋体" w:eastAsia="宋体" w:hAnsi="宋体" w:cs="Arial" w:hint="eastAsia"/>
          <w:color w:val="000000" w:themeColor="text1"/>
          <w:kern w:val="0"/>
          <w:sz w:val="24"/>
          <w:szCs w:val="24"/>
        </w:rPr>
        <w:t>相关公告。</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基金管理人可在法律法规允许的情况下，调整上述规定申购金额的数量限制</w:t>
      </w:r>
      <w:r w:rsidR="00EC0B76" w:rsidRPr="00EC0B76">
        <w:rPr>
          <w:rFonts w:ascii="宋体" w:eastAsia="宋体" w:hAnsi="宋体" w:cs="Arial" w:hint="eastAsia"/>
          <w:color w:val="000000" w:themeColor="text1"/>
          <w:kern w:val="0"/>
          <w:sz w:val="24"/>
          <w:szCs w:val="24"/>
        </w:rPr>
        <w:t>，或者新增基金规模控制措施</w:t>
      </w:r>
      <w:r w:rsidRPr="008B1F27">
        <w:rPr>
          <w:rFonts w:ascii="宋体" w:eastAsia="宋体" w:hAnsi="宋体" w:cs="Arial"/>
          <w:color w:val="000000" w:themeColor="text1"/>
          <w:kern w:val="0"/>
          <w:sz w:val="24"/>
          <w:szCs w:val="24"/>
        </w:rPr>
        <w:t>。基金管理人必须在调整</w:t>
      </w:r>
      <w:r w:rsidR="00E776B9" w:rsidRPr="008B1F27">
        <w:rPr>
          <w:rFonts w:ascii="宋体" w:eastAsia="宋体" w:hAnsi="宋体" w:cs="Arial" w:hint="eastAsia"/>
          <w:color w:val="000000" w:themeColor="text1"/>
          <w:kern w:val="0"/>
          <w:sz w:val="24"/>
          <w:szCs w:val="24"/>
        </w:rPr>
        <w:t>实施</w:t>
      </w:r>
      <w:r w:rsidRPr="008B1F27">
        <w:rPr>
          <w:rFonts w:ascii="宋体" w:eastAsia="宋体" w:hAnsi="宋体" w:cs="Arial"/>
          <w:color w:val="000000" w:themeColor="text1"/>
          <w:kern w:val="0"/>
          <w:sz w:val="24"/>
          <w:szCs w:val="24"/>
        </w:rPr>
        <w:t>前依照《</w:t>
      </w:r>
      <w:r w:rsidR="00854F8F">
        <w:rPr>
          <w:rFonts w:ascii="宋体" w:eastAsia="宋体" w:hAnsi="宋体" w:cs="Arial" w:hint="eastAsia"/>
          <w:color w:val="000000" w:themeColor="text1"/>
          <w:kern w:val="0"/>
          <w:sz w:val="24"/>
          <w:szCs w:val="24"/>
        </w:rPr>
        <w:t>公开募集</w:t>
      </w:r>
      <w:r w:rsidR="007848EB" w:rsidRPr="008B1F27">
        <w:rPr>
          <w:rFonts w:ascii="宋体" w:eastAsia="宋体" w:hAnsi="宋体" w:cs="Arial" w:hint="eastAsia"/>
          <w:color w:val="000000" w:themeColor="text1"/>
          <w:kern w:val="0"/>
          <w:sz w:val="24"/>
          <w:szCs w:val="24"/>
        </w:rPr>
        <w:t>证券投资基金</w:t>
      </w:r>
      <w:r w:rsidRPr="008B1F27">
        <w:rPr>
          <w:rFonts w:ascii="宋体" w:eastAsia="宋体" w:hAnsi="宋体" w:cs="Arial"/>
          <w:color w:val="000000" w:themeColor="text1"/>
          <w:kern w:val="0"/>
          <w:sz w:val="24"/>
          <w:szCs w:val="24"/>
        </w:rPr>
        <w:t>信息披露</w:t>
      </w:r>
      <w:r w:rsidR="00E70793" w:rsidRPr="008B1F27">
        <w:rPr>
          <w:rFonts w:ascii="宋体" w:eastAsia="宋体" w:hAnsi="宋体" w:cs="Arial" w:hint="eastAsia"/>
          <w:color w:val="000000" w:themeColor="text1"/>
          <w:kern w:val="0"/>
          <w:sz w:val="24"/>
          <w:szCs w:val="24"/>
        </w:rPr>
        <w:t>管理</w:t>
      </w:r>
      <w:r w:rsidRPr="008B1F27">
        <w:rPr>
          <w:rFonts w:ascii="宋体" w:eastAsia="宋体" w:hAnsi="宋体" w:cs="Arial"/>
          <w:color w:val="000000" w:themeColor="text1"/>
          <w:kern w:val="0"/>
          <w:sz w:val="24"/>
          <w:szCs w:val="24"/>
        </w:rPr>
        <w:t>办法》的有关规定在</w:t>
      </w:r>
      <w:r w:rsidR="00BF15FA">
        <w:rPr>
          <w:rFonts w:ascii="宋体" w:eastAsia="宋体" w:hAnsi="宋体" w:cs="Arial"/>
          <w:color w:val="000000" w:themeColor="text1"/>
          <w:kern w:val="0"/>
          <w:sz w:val="24"/>
          <w:szCs w:val="24"/>
        </w:rPr>
        <w:t>规定</w:t>
      </w:r>
      <w:r w:rsidR="00975BFA"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上公告。</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3.2申购费率</w:t>
      </w:r>
    </w:p>
    <w:p w:rsidR="008D61B6" w:rsidRPr="008D61B6" w:rsidRDefault="006A6262" w:rsidP="004E4306">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6A6262">
        <w:rPr>
          <w:rFonts w:ascii="宋体" w:eastAsia="宋体" w:hAnsi="宋体" w:cs="Arial" w:hint="eastAsia"/>
          <w:color w:val="000000" w:themeColor="text1"/>
          <w:kern w:val="0"/>
          <w:sz w:val="24"/>
          <w:szCs w:val="24"/>
        </w:rPr>
        <w:lastRenderedPageBreak/>
        <w:t>（1）对于本基金A类基金份额，投资人在申购时需交纳申购费，申购费率最高不超过1.</w:t>
      </w:r>
      <w:r w:rsidR="003A1E9E">
        <w:rPr>
          <w:rFonts w:ascii="宋体" w:eastAsia="宋体" w:hAnsi="宋体" w:cs="Arial" w:hint="eastAsia"/>
          <w:color w:val="000000" w:themeColor="text1"/>
          <w:kern w:val="0"/>
          <w:sz w:val="24"/>
          <w:szCs w:val="24"/>
        </w:rPr>
        <w:t>0</w:t>
      </w:r>
      <w:r w:rsidRPr="006A6262">
        <w:rPr>
          <w:rFonts w:ascii="宋体" w:eastAsia="宋体" w:hAnsi="宋体" w:cs="Arial" w:hint="eastAsia"/>
          <w:color w:val="000000" w:themeColor="text1"/>
          <w:kern w:val="0"/>
          <w:sz w:val="24"/>
          <w:szCs w:val="24"/>
        </w:rPr>
        <w:t>0%，且随申购金额的增加而递减，如下表所示：</w:t>
      </w:r>
    </w:p>
    <w:tbl>
      <w:tblPr>
        <w:tblW w:w="7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2"/>
        <w:gridCol w:w="3969"/>
      </w:tblGrid>
      <w:tr w:rsidR="008D61B6" w:rsidRPr="008D61B6" w:rsidTr="00BF15FA">
        <w:trPr>
          <w:trHeight w:val="540"/>
          <w:jc w:val="center"/>
        </w:trPr>
        <w:tc>
          <w:tcPr>
            <w:tcW w:w="3582" w:type="dxa"/>
            <w:shd w:val="clear" w:color="auto" w:fill="auto"/>
            <w:vAlign w:val="center"/>
            <w:hideMark/>
          </w:tcPr>
          <w:p w:rsidR="008D61B6" w:rsidRPr="00AE79DB" w:rsidRDefault="006A6262" w:rsidP="00BF15FA">
            <w:pPr>
              <w:widowControl/>
              <w:jc w:val="center"/>
              <w:rPr>
                <w:rFonts w:ascii="宋体" w:eastAsia="宋体" w:hAnsi="宋体" w:cs="宋体"/>
                <w:b/>
                <w:kern w:val="0"/>
                <w:sz w:val="24"/>
                <w:szCs w:val="24"/>
              </w:rPr>
            </w:pPr>
            <w:r w:rsidRPr="00AE79DB">
              <w:rPr>
                <w:rFonts w:ascii="宋体" w:eastAsia="宋体" w:hAnsi="宋体" w:cs="宋体" w:hint="eastAsia"/>
                <w:b/>
                <w:kern w:val="0"/>
                <w:sz w:val="24"/>
                <w:szCs w:val="24"/>
              </w:rPr>
              <w:t>A类基金份额</w:t>
            </w:r>
            <w:r w:rsidR="008D61B6" w:rsidRPr="00AE79DB">
              <w:rPr>
                <w:rFonts w:ascii="宋体" w:eastAsia="宋体" w:hAnsi="宋体" w:cs="宋体" w:hint="eastAsia"/>
                <w:b/>
                <w:kern w:val="0"/>
                <w:sz w:val="24"/>
                <w:szCs w:val="24"/>
              </w:rPr>
              <w:t>申购金额M（元）</w:t>
            </w:r>
          </w:p>
          <w:p w:rsidR="008D61B6" w:rsidRPr="00AE79DB" w:rsidRDefault="008D61B6" w:rsidP="00BF15FA">
            <w:pPr>
              <w:widowControl/>
              <w:jc w:val="center"/>
              <w:rPr>
                <w:rFonts w:ascii="宋体" w:eastAsia="宋体" w:hAnsi="宋体" w:cs="宋体"/>
                <w:b/>
                <w:kern w:val="0"/>
                <w:sz w:val="24"/>
                <w:szCs w:val="24"/>
              </w:rPr>
            </w:pPr>
            <w:r w:rsidRPr="00AE79DB">
              <w:rPr>
                <w:rFonts w:ascii="宋体" w:eastAsia="宋体" w:hAnsi="宋体" w:cs="宋体" w:hint="eastAsia"/>
                <w:b/>
                <w:kern w:val="0"/>
                <w:sz w:val="24"/>
                <w:szCs w:val="24"/>
              </w:rPr>
              <w:t>（含申购费）</w:t>
            </w:r>
          </w:p>
        </w:tc>
        <w:tc>
          <w:tcPr>
            <w:tcW w:w="3969" w:type="dxa"/>
            <w:shd w:val="clear" w:color="auto" w:fill="auto"/>
            <w:vAlign w:val="center"/>
            <w:hideMark/>
          </w:tcPr>
          <w:p w:rsidR="008D61B6" w:rsidRPr="00AE79DB" w:rsidRDefault="006A6262" w:rsidP="00BF15FA">
            <w:pPr>
              <w:widowControl/>
              <w:jc w:val="center"/>
              <w:rPr>
                <w:rFonts w:ascii="宋体" w:eastAsia="宋体" w:hAnsi="宋体" w:cs="宋体"/>
                <w:b/>
                <w:kern w:val="0"/>
                <w:sz w:val="24"/>
                <w:szCs w:val="24"/>
              </w:rPr>
            </w:pPr>
            <w:r w:rsidRPr="00AE79DB">
              <w:rPr>
                <w:rFonts w:ascii="宋体" w:eastAsia="宋体" w:hAnsi="宋体" w:cs="宋体" w:hint="eastAsia"/>
                <w:b/>
                <w:kern w:val="0"/>
                <w:sz w:val="24"/>
                <w:szCs w:val="24"/>
              </w:rPr>
              <w:t>A类基金份额</w:t>
            </w:r>
            <w:r w:rsidR="008D61B6" w:rsidRPr="00AE79DB">
              <w:rPr>
                <w:rFonts w:ascii="宋体" w:eastAsia="宋体" w:hAnsi="宋体" w:cs="宋体" w:hint="eastAsia"/>
                <w:b/>
                <w:kern w:val="0"/>
                <w:sz w:val="24"/>
                <w:szCs w:val="24"/>
              </w:rPr>
              <w:t>申购费率</w:t>
            </w:r>
          </w:p>
        </w:tc>
      </w:tr>
      <w:tr w:rsidR="008D61B6" w:rsidRPr="008D61B6" w:rsidTr="00BF15FA">
        <w:trPr>
          <w:trHeight w:val="285"/>
          <w:jc w:val="center"/>
        </w:trPr>
        <w:tc>
          <w:tcPr>
            <w:tcW w:w="3582" w:type="dxa"/>
            <w:shd w:val="clear" w:color="auto" w:fill="auto"/>
            <w:hideMark/>
          </w:tcPr>
          <w:p w:rsidR="008D61B6" w:rsidRPr="00AE79DB" w:rsidRDefault="008D61B6" w:rsidP="00B72A7F">
            <w:pPr>
              <w:widowControl/>
              <w:jc w:val="center"/>
              <w:rPr>
                <w:rFonts w:ascii="宋体" w:eastAsia="宋体" w:hAnsi="宋体" w:cs="宋体"/>
                <w:kern w:val="0"/>
                <w:sz w:val="24"/>
                <w:szCs w:val="24"/>
              </w:rPr>
            </w:pPr>
            <w:r w:rsidRPr="00AE79DB">
              <w:rPr>
                <w:rFonts w:ascii="宋体" w:eastAsia="宋体" w:hAnsi="宋体" w:cs="宋体" w:hint="eastAsia"/>
                <w:kern w:val="0"/>
                <w:sz w:val="24"/>
                <w:szCs w:val="24"/>
              </w:rPr>
              <w:t>M ＜</w:t>
            </w:r>
            <w:r w:rsidR="00B72A7F" w:rsidRPr="00AE79DB">
              <w:rPr>
                <w:rFonts w:ascii="宋体" w:eastAsia="宋体" w:hAnsi="宋体" w:cs="宋体"/>
                <w:kern w:val="0"/>
                <w:sz w:val="24"/>
                <w:szCs w:val="24"/>
              </w:rPr>
              <w:t>5</w:t>
            </w:r>
            <w:r w:rsidR="00B72A7F" w:rsidRPr="00AE79DB">
              <w:rPr>
                <w:rFonts w:ascii="宋体" w:eastAsia="宋体" w:hAnsi="宋体" w:cs="宋体" w:hint="eastAsia"/>
                <w:kern w:val="0"/>
                <w:sz w:val="24"/>
                <w:szCs w:val="24"/>
              </w:rPr>
              <w:t>0</w:t>
            </w:r>
            <w:r w:rsidRPr="00AE79DB">
              <w:rPr>
                <w:rFonts w:ascii="宋体" w:eastAsia="宋体" w:hAnsi="宋体" w:cs="宋体" w:hint="eastAsia"/>
                <w:kern w:val="0"/>
                <w:sz w:val="24"/>
                <w:szCs w:val="24"/>
              </w:rPr>
              <w:t>万</w:t>
            </w:r>
          </w:p>
        </w:tc>
        <w:tc>
          <w:tcPr>
            <w:tcW w:w="3969" w:type="dxa"/>
            <w:shd w:val="clear" w:color="auto" w:fill="auto"/>
            <w:vAlign w:val="center"/>
            <w:hideMark/>
          </w:tcPr>
          <w:p w:rsidR="008D61B6" w:rsidRPr="00AE79DB" w:rsidRDefault="008D61B6" w:rsidP="00BF15FA">
            <w:pPr>
              <w:widowControl/>
              <w:jc w:val="center"/>
              <w:rPr>
                <w:rFonts w:ascii="宋体" w:eastAsia="宋体" w:hAnsi="宋体" w:cs="宋体"/>
                <w:kern w:val="0"/>
                <w:sz w:val="24"/>
                <w:szCs w:val="24"/>
              </w:rPr>
            </w:pPr>
            <w:r w:rsidRPr="00AE79DB">
              <w:rPr>
                <w:rFonts w:ascii="宋体" w:eastAsia="宋体" w:hAnsi="宋体" w:cs="宋体"/>
                <w:kern w:val="0"/>
                <w:sz w:val="24"/>
                <w:szCs w:val="24"/>
              </w:rPr>
              <w:t>1.</w:t>
            </w:r>
            <w:r w:rsidR="003A1E9E">
              <w:rPr>
                <w:rFonts w:ascii="宋体" w:eastAsia="宋体" w:hAnsi="宋体" w:cs="宋体" w:hint="eastAsia"/>
                <w:kern w:val="0"/>
                <w:sz w:val="24"/>
                <w:szCs w:val="24"/>
              </w:rPr>
              <w:t>0</w:t>
            </w:r>
            <w:r w:rsidRPr="00AE79DB">
              <w:rPr>
                <w:rFonts w:ascii="宋体" w:eastAsia="宋体" w:hAnsi="宋体" w:cs="宋体" w:hint="eastAsia"/>
                <w:kern w:val="0"/>
                <w:sz w:val="24"/>
                <w:szCs w:val="24"/>
              </w:rPr>
              <w:t>0</w:t>
            </w:r>
            <w:r w:rsidRPr="00AE79DB">
              <w:rPr>
                <w:rFonts w:ascii="宋体" w:eastAsia="宋体" w:hAnsi="宋体" w:cs="宋体"/>
                <w:kern w:val="0"/>
                <w:sz w:val="24"/>
                <w:szCs w:val="24"/>
              </w:rPr>
              <w:t>%</w:t>
            </w:r>
          </w:p>
        </w:tc>
      </w:tr>
      <w:tr w:rsidR="008D61B6" w:rsidRPr="008D61B6" w:rsidTr="00BF15FA">
        <w:trPr>
          <w:trHeight w:val="285"/>
          <w:jc w:val="center"/>
        </w:trPr>
        <w:tc>
          <w:tcPr>
            <w:tcW w:w="3582" w:type="dxa"/>
            <w:shd w:val="clear" w:color="auto" w:fill="auto"/>
            <w:hideMark/>
          </w:tcPr>
          <w:p w:rsidR="008D61B6" w:rsidRPr="00AE79DB" w:rsidRDefault="00B72A7F" w:rsidP="00B72A7F">
            <w:pPr>
              <w:widowControl/>
              <w:jc w:val="center"/>
              <w:rPr>
                <w:rFonts w:ascii="宋体" w:eastAsia="宋体" w:hAnsi="宋体" w:cs="宋体"/>
                <w:kern w:val="0"/>
                <w:sz w:val="24"/>
                <w:szCs w:val="24"/>
              </w:rPr>
            </w:pPr>
            <w:r w:rsidRPr="00AE79DB">
              <w:rPr>
                <w:rFonts w:ascii="宋体" w:eastAsia="宋体" w:hAnsi="宋体" w:cs="宋体"/>
                <w:kern w:val="0"/>
                <w:sz w:val="24"/>
                <w:szCs w:val="24"/>
              </w:rPr>
              <w:t>5</w:t>
            </w:r>
            <w:r w:rsidRPr="00AE79DB">
              <w:rPr>
                <w:rFonts w:ascii="宋体" w:eastAsia="宋体" w:hAnsi="宋体" w:cs="宋体" w:hint="eastAsia"/>
                <w:kern w:val="0"/>
                <w:sz w:val="24"/>
                <w:szCs w:val="24"/>
              </w:rPr>
              <w:t>0</w:t>
            </w:r>
            <w:r w:rsidR="008D61B6" w:rsidRPr="00AE79DB">
              <w:rPr>
                <w:rFonts w:ascii="宋体" w:eastAsia="宋体" w:hAnsi="宋体" w:cs="宋体" w:hint="eastAsia"/>
                <w:kern w:val="0"/>
                <w:sz w:val="24"/>
                <w:szCs w:val="24"/>
              </w:rPr>
              <w:t>万 ≤ M ＜</w:t>
            </w:r>
            <w:r w:rsidR="003A1E9E">
              <w:rPr>
                <w:rFonts w:ascii="宋体" w:eastAsia="宋体" w:hAnsi="宋体" w:cs="宋体" w:hint="eastAsia"/>
                <w:kern w:val="0"/>
                <w:sz w:val="24"/>
                <w:szCs w:val="24"/>
              </w:rPr>
              <w:t>10</w:t>
            </w:r>
            <w:r w:rsidR="003A1E9E" w:rsidRPr="00AE79DB">
              <w:rPr>
                <w:rFonts w:ascii="宋体" w:eastAsia="宋体" w:hAnsi="宋体" w:cs="宋体" w:hint="eastAsia"/>
                <w:kern w:val="0"/>
                <w:sz w:val="24"/>
                <w:szCs w:val="24"/>
              </w:rPr>
              <w:t>0</w:t>
            </w:r>
            <w:r w:rsidR="008D61B6" w:rsidRPr="00AE79DB">
              <w:rPr>
                <w:rFonts w:ascii="宋体" w:eastAsia="宋体" w:hAnsi="宋体" w:cs="宋体" w:hint="eastAsia"/>
                <w:kern w:val="0"/>
                <w:sz w:val="24"/>
                <w:szCs w:val="24"/>
              </w:rPr>
              <w:t>万</w:t>
            </w:r>
          </w:p>
        </w:tc>
        <w:tc>
          <w:tcPr>
            <w:tcW w:w="3969" w:type="dxa"/>
            <w:shd w:val="clear" w:color="auto" w:fill="auto"/>
            <w:vAlign w:val="center"/>
            <w:hideMark/>
          </w:tcPr>
          <w:p w:rsidR="008D61B6" w:rsidRPr="00AE79DB" w:rsidRDefault="003A1E9E" w:rsidP="00BF15FA">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sidR="008D61B6" w:rsidRPr="00AE79DB">
              <w:rPr>
                <w:rFonts w:ascii="宋体" w:eastAsia="宋体" w:hAnsi="宋体" w:cs="宋体" w:hint="eastAsia"/>
                <w:kern w:val="0"/>
                <w:sz w:val="24"/>
                <w:szCs w:val="24"/>
              </w:rPr>
              <w:t>.</w:t>
            </w:r>
            <w:r>
              <w:rPr>
                <w:rFonts w:ascii="宋体" w:eastAsia="宋体" w:hAnsi="宋体" w:cs="宋体" w:hint="eastAsia"/>
                <w:kern w:val="0"/>
                <w:sz w:val="24"/>
                <w:szCs w:val="24"/>
              </w:rPr>
              <w:t>6</w:t>
            </w:r>
            <w:r w:rsidR="008D61B6" w:rsidRPr="00AE79DB">
              <w:rPr>
                <w:rFonts w:ascii="宋体" w:eastAsia="宋体" w:hAnsi="宋体" w:cs="宋体" w:hint="eastAsia"/>
                <w:kern w:val="0"/>
                <w:sz w:val="24"/>
                <w:szCs w:val="24"/>
              </w:rPr>
              <w:t>0</w:t>
            </w:r>
            <w:r w:rsidR="008D61B6" w:rsidRPr="00AE79DB">
              <w:rPr>
                <w:rFonts w:ascii="宋体" w:eastAsia="宋体" w:hAnsi="宋体" w:cs="宋体"/>
                <w:kern w:val="0"/>
                <w:sz w:val="24"/>
                <w:szCs w:val="24"/>
              </w:rPr>
              <w:t>%</w:t>
            </w:r>
          </w:p>
        </w:tc>
      </w:tr>
      <w:tr w:rsidR="008D61B6" w:rsidRPr="008D61B6" w:rsidTr="00BF15FA">
        <w:trPr>
          <w:trHeight w:val="285"/>
          <w:jc w:val="center"/>
        </w:trPr>
        <w:tc>
          <w:tcPr>
            <w:tcW w:w="3582" w:type="dxa"/>
            <w:shd w:val="clear" w:color="auto" w:fill="auto"/>
            <w:hideMark/>
          </w:tcPr>
          <w:p w:rsidR="008D61B6" w:rsidRPr="00AE79DB" w:rsidRDefault="008D61B6" w:rsidP="00BF15FA">
            <w:pPr>
              <w:widowControl/>
              <w:jc w:val="center"/>
              <w:rPr>
                <w:rFonts w:ascii="宋体" w:eastAsia="宋体" w:hAnsi="宋体" w:cs="宋体"/>
                <w:kern w:val="0"/>
                <w:sz w:val="24"/>
                <w:szCs w:val="24"/>
              </w:rPr>
            </w:pPr>
            <w:r w:rsidRPr="00AE79DB">
              <w:rPr>
                <w:rFonts w:ascii="宋体" w:eastAsia="宋体" w:hAnsi="宋体" w:cs="宋体" w:hint="eastAsia"/>
                <w:kern w:val="0"/>
                <w:sz w:val="24"/>
                <w:szCs w:val="24"/>
              </w:rPr>
              <w:t>M ≥</w:t>
            </w:r>
            <w:r w:rsidR="003A1E9E">
              <w:rPr>
                <w:rFonts w:ascii="宋体" w:eastAsia="宋体" w:hAnsi="宋体" w:cs="宋体" w:hint="eastAsia"/>
                <w:kern w:val="0"/>
                <w:sz w:val="24"/>
                <w:szCs w:val="24"/>
              </w:rPr>
              <w:t>1</w:t>
            </w:r>
            <w:r w:rsidRPr="00AE79DB">
              <w:rPr>
                <w:rFonts w:ascii="宋体" w:eastAsia="宋体" w:hAnsi="宋体" w:cs="宋体" w:hint="eastAsia"/>
                <w:kern w:val="0"/>
                <w:sz w:val="24"/>
                <w:szCs w:val="24"/>
              </w:rPr>
              <w:t>00万</w:t>
            </w:r>
          </w:p>
        </w:tc>
        <w:tc>
          <w:tcPr>
            <w:tcW w:w="3969" w:type="dxa"/>
            <w:shd w:val="clear" w:color="auto" w:fill="auto"/>
            <w:vAlign w:val="center"/>
            <w:hideMark/>
          </w:tcPr>
          <w:p w:rsidR="008D61B6" w:rsidRPr="00AE79DB" w:rsidRDefault="008D61B6" w:rsidP="00BF15FA">
            <w:pPr>
              <w:widowControl/>
              <w:jc w:val="center"/>
              <w:rPr>
                <w:rFonts w:ascii="宋体" w:eastAsia="宋体" w:hAnsi="宋体" w:cs="宋体"/>
                <w:kern w:val="0"/>
                <w:sz w:val="24"/>
                <w:szCs w:val="24"/>
              </w:rPr>
            </w:pPr>
            <w:r w:rsidRPr="00AE79DB">
              <w:rPr>
                <w:rFonts w:ascii="宋体" w:eastAsia="宋体" w:hAnsi="宋体" w:cs="宋体" w:hint="eastAsia"/>
                <w:kern w:val="0"/>
                <w:sz w:val="24"/>
                <w:szCs w:val="24"/>
              </w:rPr>
              <w:t>每笔</w:t>
            </w:r>
            <w:r w:rsidRPr="00AE79DB">
              <w:rPr>
                <w:rFonts w:ascii="宋体" w:eastAsia="宋体" w:hAnsi="宋体" w:cs="宋体"/>
                <w:kern w:val="0"/>
                <w:sz w:val="24"/>
                <w:szCs w:val="24"/>
              </w:rPr>
              <w:t>1,000元</w:t>
            </w:r>
          </w:p>
        </w:tc>
      </w:tr>
    </w:tbl>
    <w:p w:rsidR="00B15440" w:rsidRPr="00B15440" w:rsidRDefault="00705FC1" w:rsidP="00B15440">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705FC1">
        <w:rPr>
          <w:rFonts w:ascii="宋体" w:eastAsia="宋体" w:hAnsi="宋体" w:cs="Arial" w:hint="eastAsia"/>
          <w:color w:val="000000" w:themeColor="text1"/>
          <w:kern w:val="0"/>
          <w:sz w:val="24"/>
          <w:szCs w:val="24"/>
        </w:rPr>
        <w:t>本基金A类基金份额的申购费用应在投资人申购A类基金份额时收取。投资人如果有多笔申购，适用费率按单笔分别计算。</w:t>
      </w:r>
    </w:p>
    <w:p w:rsidR="00B15440" w:rsidRDefault="00B15440" w:rsidP="00B15440">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B15440">
        <w:rPr>
          <w:rFonts w:ascii="宋体" w:eastAsia="宋体" w:hAnsi="宋体" w:cs="Arial" w:hint="eastAsia"/>
          <w:color w:val="000000" w:themeColor="text1"/>
          <w:kern w:val="0"/>
          <w:sz w:val="24"/>
          <w:szCs w:val="24"/>
        </w:rPr>
        <w:t>A类基金份额的申购费用由申购本基金A类基金份额的投资人承担，不列入基金财产，主要用于本基金的市场推广、销售、登记等各项费用。</w:t>
      </w:r>
    </w:p>
    <w:p w:rsidR="00B15440" w:rsidRDefault="00B15440" w:rsidP="00B15440">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B15440">
        <w:rPr>
          <w:rFonts w:ascii="宋体" w:eastAsia="宋体" w:hAnsi="宋体" w:cs="Arial" w:hint="eastAsia"/>
          <w:color w:val="000000" w:themeColor="text1"/>
          <w:kern w:val="0"/>
          <w:sz w:val="24"/>
          <w:szCs w:val="24"/>
        </w:rPr>
        <w:t>（2）对于申购本基金C类基金份额的投资人，申购费率为零。</w:t>
      </w:r>
    </w:p>
    <w:p w:rsidR="00B15440" w:rsidRPr="00B15440" w:rsidRDefault="00B15440" w:rsidP="00B15440">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B15440">
        <w:rPr>
          <w:rFonts w:ascii="宋体" w:eastAsia="宋体" w:hAnsi="宋体" w:cs="Arial" w:hint="eastAsia"/>
          <w:b/>
          <w:bCs/>
          <w:color w:val="000000" w:themeColor="text1"/>
          <w:kern w:val="0"/>
          <w:sz w:val="24"/>
          <w:szCs w:val="24"/>
        </w:rPr>
        <w:t>3.3申购份额的计算及余额的处理方式</w:t>
      </w:r>
    </w:p>
    <w:p w:rsidR="00F62A67" w:rsidRPr="00F62A67" w:rsidRDefault="00B87A1A" w:rsidP="00F62A67">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w:t>
      </w:r>
      <w:r w:rsidR="00F62A67" w:rsidRPr="00F62A67">
        <w:rPr>
          <w:rFonts w:ascii="宋体" w:eastAsia="宋体" w:hAnsi="宋体" w:cs="Arial" w:hint="eastAsia"/>
          <w:color w:val="000000" w:themeColor="text1"/>
          <w:kern w:val="0"/>
          <w:sz w:val="24"/>
          <w:szCs w:val="24"/>
        </w:rPr>
        <w:t>当投资人选择申购</w:t>
      </w:r>
      <w:r w:rsidR="00B15440">
        <w:rPr>
          <w:rFonts w:ascii="宋体" w:eastAsia="宋体" w:hAnsi="宋体" w:cs="Arial" w:hint="eastAsia"/>
          <w:color w:val="000000" w:themeColor="text1"/>
          <w:kern w:val="0"/>
          <w:sz w:val="24"/>
          <w:szCs w:val="24"/>
        </w:rPr>
        <w:t>A类</w:t>
      </w:r>
      <w:r w:rsidR="00F62A67" w:rsidRPr="00F62A67">
        <w:rPr>
          <w:rFonts w:ascii="宋体" w:eastAsia="宋体" w:hAnsi="宋体" w:cs="Arial" w:hint="eastAsia"/>
          <w:color w:val="000000" w:themeColor="text1"/>
          <w:kern w:val="0"/>
          <w:sz w:val="24"/>
          <w:szCs w:val="24"/>
        </w:rPr>
        <w:t>基金份额时，申购份额的计算方法如下：</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1）</w:t>
      </w:r>
      <w:r w:rsidR="00B15440" w:rsidRPr="00B15440">
        <w:rPr>
          <w:rFonts w:ascii="宋体" w:eastAsia="宋体" w:hAnsi="宋体" w:cs="Arial" w:hint="eastAsia"/>
          <w:color w:val="000000" w:themeColor="text1"/>
          <w:kern w:val="0"/>
          <w:sz w:val="24"/>
          <w:szCs w:val="24"/>
        </w:rPr>
        <w:t>A类基金份额的</w:t>
      </w:r>
      <w:r w:rsidRPr="00061A69">
        <w:rPr>
          <w:rFonts w:ascii="宋体" w:eastAsia="宋体" w:hAnsi="宋体" w:cs="Arial" w:hint="eastAsia"/>
          <w:color w:val="000000" w:themeColor="text1"/>
          <w:kern w:val="0"/>
          <w:sz w:val="24"/>
          <w:szCs w:val="24"/>
        </w:rPr>
        <w:t>申购费率适用比例费率时：</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净申购金额=申购金额/（1＋申购费率）</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申购费用=申购金额-净申购金额</w:t>
      </w:r>
    </w:p>
    <w:p w:rsidR="00061A69" w:rsidRPr="00061A69" w:rsidRDefault="00061A69" w:rsidP="00061A69">
      <w:pPr>
        <w:widowControl/>
        <w:shd w:val="clear" w:color="auto" w:fill="FFFFFF"/>
        <w:tabs>
          <w:tab w:val="left" w:pos="6413"/>
        </w:tabs>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申购份额=净申购金额/申购当日</w:t>
      </w:r>
      <w:r w:rsidR="00B15440">
        <w:rPr>
          <w:rFonts w:ascii="宋体" w:eastAsia="宋体" w:hAnsi="宋体" w:cs="Arial" w:hint="eastAsia"/>
          <w:color w:val="000000" w:themeColor="text1"/>
          <w:kern w:val="0"/>
          <w:sz w:val="24"/>
          <w:szCs w:val="24"/>
        </w:rPr>
        <w:t>该类</w:t>
      </w:r>
      <w:r w:rsidRPr="00061A69">
        <w:rPr>
          <w:rFonts w:ascii="宋体" w:eastAsia="宋体" w:hAnsi="宋体" w:cs="Arial" w:hint="eastAsia"/>
          <w:color w:val="000000" w:themeColor="text1"/>
          <w:kern w:val="0"/>
          <w:sz w:val="24"/>
          <w:szCs w:val="24"/>
        </w:rPr>
        <w:t>基金份额净值</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2）</w:t>
      </w:r>
      <w:r w:rsidR="00B15440" w:rsidRPr="00B15440">
        <w:rPr>
          <w:rFonts w:ascii="宋体" w:eastAsia="宋体" w:hAnsi="宋体" w:cs="Arial" w:hint="eastAsia"/>
          <w:color w:val="000000" w:themeColor="text1"/>
          <w:kern w:val="0"/>
          <w:sz w:val="24"/>
          <w:szCs w:val="24"/>
        </w:rPr>
        <w:t>A类基金份额的</w:t>
      </w:r>
      <w:r w:rsidRPr="00061A69">
        <w:rPr>
          <w:rFonts w:ascii="宋体" w:eastAsia="宋体" w:hAnsi="宋体" w:cs="Arial" w:hint="eastAsia"/>
          <w:color w:val="000000" w:themeColor="text1"/>
          <w:kern w:val="0"/>
          <w:sz w:val="24"/>
          <w:szCs w:val="24"/>
        </w:rPr>
        <w:t>申购费率适用固定金额时：</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净申购金额=申购金额-固定金额</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申购费用=固定金额</w:t>
      </w:r>
    </w:p>
    <w:p w:rsidR="00061A69" w:rsidRDefault="00061A69"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申购份额=净申购金额/申购当日</w:t>
      </w:r>
      <w:r w:rsidR="00B15440">
        <w:rPr>
          <w:rFonts w:ascii="宋体" w:eastAsia="宋体" w:hAnsi="宋体" w:cs="Arial" w:hint="eastAsia"/>
          <w:color w:val="000000" w:themeColor="text1"/>
          <w:kern w:val="0"/>
          <w:sz w:val="24"/>
          <w:szCs w:val="24"/>
        </w:rPr>
        <w:t>该类</w:t>
      </w:r>
      <w:r w:rsidRPr="00061A69">
        <w:rPr>
          <w:rFonts w:ascii="宋体" w:eastAsia="宋体" w:hAnsi="宋体" w:cs="Arial" w:hint="eastAsia"/>
          <w:color w:val="000000" w:themeColor="text1"/>
          <w:kern w:val="0"/>
          <w:sz w:val="24"/>
          <w:szCs w:val="24"/>
        </w:rPr>
        <w:t>基金份额净值</w:t>
      </w:r>
    </w:p>
    <w:p w:rsidR="00B87A1A" w:rsidRPr="00B87A1A" w:rsidRDefault="00B87A1A" w:rsidP="00B87A1A">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B87A1A">
        <w:rPr>
          <w:rFonts w:ascii="宋体" w:eastAsia="宋体" w:hAnsi="宋体" w:cs="Arial" w:hint="eastAsia"/>
          <w:color w:val="000000" w:themeColor="text1"/>
          <w:kern w:val="0"/>
          <w:sz w:val="24"/>
          <w:szCs w:val="24"/>
        </w:rPr>
        <w:t>（2）当投资人选择申购C类基金份额时，不收取申购费，申购份额的计算方法如下：</w:t>
      </w:r>
    </w:p>
    <w:p w:rsidR="00B87A1A" w:rsidRPr="00B87A1A" w:rsidRDefault="00B87A1A" w:rsidP="00B87A1A">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B87A1A">
        <w:rPr>
          <w:rFonts w:ascii="宋体" w:eastAsia="宋体" w:hAnsi="宋体" w:cs="Arial" w:hint="eastAsia"/>
          <w:color w:val="000000" w:themeColor="text1"/>
          <w:kern w:val="0"/>
          <w:sz w:val="24"/>
          <w:szCs w:val="24"/>
        </w:rPr>
        <w:t>申购份额＝申购金额/申购当日该类基金份额净值</w:t>
      </w:r>
    </w:p>
    <w:p w:rsidR="0081412D" w:rsidRDefault="0016570E"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（3</w:t>
      </w:r>
      <w:r>
        <w:rPr>
          <w:rFonts w:ascii="宋体" w:eastAsia="宋体" w:hAnsi="宋体" w:cs="Arial"/>
          <w:color w:val="000000" w:themeColor="text1"/>
          <w:kern w:val="0"/>
          <w:sz w:val="24"/>
          <w:szCs w:val="24"/>
        </w:rPr>
        <w:t>）</w:t>
      </w:r>
      <w:r w:rsidR="00F62A67" w:rsidRPr="00F62A67">
        <w:rPr>
          <w:rFonts w:ascii="宋体" w:eastAsia="宋体" w:hAnsi="宋体" w:cs="Arial" w:hint="eastAsia"/>
          <w:color w:val="000000" w:themeColor="text1"/>
          <w:kern w:val="0"/>
          <w:sz w:val="24"/>
          <w:szCs w:val="24"/>
        </w:rPr>
        <w:t>申购的有效份额单位为份，上述计算结果均按四舍五</w:t>
      </w:r>
      <w:r w:rsidR="00F62A67">
        <w:rPr>
          <w:rFonts w:ascii="宋体" w:eastAsia="宋体" w:hAnsi="宋体" w:cs="Arial" w:hint="eastAsia"/>
          <w:color w:val="000000" w:themeColor="text1"/>
          <w:kern w:val="0"/>
          <w:sz w:val="24"/>
          <w:szCs w:val="24"/>
        </w:rPr>
        <w:t>入方法，保留到小数点后两位，由此产生的收益或损失由基金财产承担</w:t>
      </w:r>
      <w:r w:rsidR="0081412D" w:rsidRPr="0081412D">
        <w:rPr>
          <w:rFonts w:ascii="宋体" w:eastAsia="宋体" w:hAnsi="宋体" w:cs="Arial" w:hint="eastAsia"/>
          <w:color w:val="000000" w:themeColor="text1"/>
          <w:kern w:val="0"/>
          <w:sz w:val="24"/>
          <w:szCs w:val="24"/>
        </w:rPr>
        <w:t>。</w:t>
      </w:r>
    </w:p>
    <w:p w:rsidR="004E4306" w:rsidRDefault="004E4306"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基金管理人可以在基金合同约定的范围内调整费率或收费方式，并最迟应于新的费率或收费方式实施日前依照《</w:t>
      </w:r>
      <w:r>
        <w:rPr>
          <w:rFonts w:ascii="宋体" w:eastAsia="宋体" w:hAnsi="宋体" w:cs="Arial" w:hint="eastAsia"/>
          <w:color w:val="000000" w:themeColor="text1"/>
          <w:kern w:val="0"/>
          <w:sz w:val="24"/>
          <w:szCs w:val="24"/>
        </w:rPr>
        <w:t>公开募集</w:t>
      </w:r>
      <w:r w:rsidRPr="008B1F27">
        <w:rPr>
          <w:rFonts w:ascii="宋体" w:eastAsia="宋体" w:hAnsi="宋体" w:cs="Arial" w:hint="eastAsia"/>
          <w:color w:val="000000" w:themeColor="text1"/>
          <w:kern w:val="0"/>
          <w:sz w:val="24"/>
          <w:szCs w:val="24"/>
        </w:rPr>
        <w:t>证券投资基金</w:t>
      </w:r>
      <w:r w:rsidRPr="008B1F27">
        <w:rPr>
          <w:rFonts w:ascii="宋体" w:eastAsia="宋体" w:hAnsi="宋体" w:cs="Arial"/>
          <w:color w:val="000000" w:themeColor="text1"/>
          <w:kern w:val="0"/>
          <w:sz w:val="24"/>
          <w:szCs w:val="24"/>
        </w:rPr>
        <w:t>信息披露</w:t>
      </w:r>
      <w:r w:rsidRPr="008B1F27">
        <w:rPr>
          <w:rFonts w:ascii="宋体" w:eastAsia="宋体" w:hAnsi="宋体" w:cs="Arial" w:hint="eastAsia"/>
          <w:color w:val="000000" w:themeColor="text1"/>
          <w:kern w:val="0"/>
          <w:sz w:val="24"/>
          <w:szCs w:val="24"/>
        </w:rPr>
        <w:t>管理</w:t>
      </w:r>
      <w:r w:rsidRPr="008B1F27">
        <w:rPr>
          <w:rFonts w:ascii="宋体" w:eastAsia="宋体" w:hAnsi="宋体" w:cs="Arial"/>
          <w:color w:val="000000" w:themeColor="text1"/>
          <w:kern w:val="0"/>
          <w:sz w:val="24"/>
          <w:szCs w:val="24"/>
        </w:rPr>
        <w:t>办法》的有关规定在</w:t>
      </w:r>
      <w:r>
        <w:rPr>
          <w:rFonts w:ascii="宋体" w:eastAsia="宋体" w:hAnsi="宋体" w:cs="Arial"/>
          <w:color w:val="000000" w:themeColor="text1"/>
          <w:kern w:val="0"/>
          <w:sz w:val="24"/>
          <w:szCs w:val="24"/>
        </w:rPr>
        <w:t>规定</w:t>
      </w:r>
      <w:r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上公告。</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3.</w:t>
      </w:r>
      <w:r w:rsidR="00B15440">
        <w:rPr>
          <w:rFonts w:ascii="宋体" w:eastAsia="宋体" w:hAnsi="宋体" w:cs="Arial"/>
          <w:b/>
          <w:bCs/>
          <w:color w:val="000000" w:themeColor="text1"/>
          <w:kern w:val="0"/>
          <w:sz w:val="24"/>
          <w:szCs w:val="24"/>
        </w:rPr>
        <w:t>4</w:t>
      </w:r>
      <w:r w:rsidRPr="008B1F27">
        <w:rPr>
          <w:rFonts w:ascii="宋体" w:eastAsia="宋体" w:hAnsi="宋体" w:cs="Arial"/>
          <w:b/>
          <w:bCs/>
          <w:color w:val="000000" w:themeColor="text1"/>
          <w:kern w:val="0"/>
          <w:sz w:val="24"/>
          <w:szCs w:val="24"/>
        </w:rPr>
        <w:t>其他与申购相关的事项</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或无效，则申购款项本金退还给投资人。</w:t>
      </w:r>
    </w:p>
    <w:p w:rsidR="00FD53BC" w:rsidRDefault="00061A69" w:rsidP="006C0AD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销售机构对申购申请的受理并不代表申请一定成功，而仅代表销售机构确实接收到该申购申请。申购申请的确认以登记机构的确认结果为准。对于申请的确认情况，投资人应及时查询并妥善行使合法权利</w:t>
      </w:r>
      <w:r w:rsidR="00FE7C78" w:rsidRPr="00FE7C78">
        <w:rPr>
          <w:rFonts w:ascii="宋体" w:eastAsia="宋体" w:hAnsi="宋体" w:cs="Arial" w:hint="eastAsia"/>
          <w:color w:val="000000" w:themeColor="text1"/>
          <w:kern w:val="0"/>
          <w:sz w:val="24"/>
          <w:szCs w:val="24"/>
        </w:rPr>
        <w:t>，否则，由此产生的任何损失由投资人自行承担</w:t>
      </w:r>
      <w:r w:rsidRPr="00061A69">
        <w:rPr>
          <w:rFonts w:ascii="宋体" w:eastAsia="宋体" w:hAnsi="宋体" w:cs="Arial" w:hint="eastAsia"/>
          <w:color w:val="000000" w:themeColor="text1"/>
          <w:kern w:val="0"/>
          <w:sz w:val="24"/>
          <w:szCs w:val="24"/>
        </w:rPr>
        <w:t>。</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申购以金额申请，遵循“未知价”原则，即申购价格</w:t>
      </w:r>
      <w:r w:rsidR="006C3B53">
        <w:rPr>
          <w:rFonts w:ascii="宋体" w:eastAsia="宋体" w:hAnsi="宋体" w:cs="Arial" w:hint="eastAsia"/>
          <w:color w:val="000000" w:themeColor="text1"/>
          <w:kern w:val="0"/>
          <w:sz w:val="24"/>
          <w:szCs w:val="24"/>
        </w:rPr>
        <w:t>以申请当日</w:t>
      </w:r>
      <w:r w:rsidR="00061A69" w:rsidRPr="00061A69">
        <w:rPr>
          <w:rFonts w:ascii="宋体" w:eastAsia="宋体" w:hAnsi="宋体" w:cs="Arial" w:hint="eastAsia"/>
          <w:color w:val="000000" w:themeColor="text1"/>
          <w:kern w:val="0"/>
          <w:sz w:val="24"/>
          <w:szCs w:val="24"/>
        </w:rPr>
        <w:t>收市后计算</w:t>
      </w:r>
      <w:r w:rsidR="006C3B53">
        <w:rPr>
          <w:rFonts w:ascii="宋体" w:eastAsia="宋体" w:hAnsi="宋体" w:cs="Arial" w:hint="eastAsia"/>
          <w:color w:val="000000" w:themeColor="text1"/>
          <w:kern w:val="0"/>
          <w:sz w:val="24"/>
          <w:szCs w:val="24"/>
        </w:rPr>
        <w:t>的</w:t>
      </w:r>
      <w:r w:rsidR="00141D2D">
        <w:rPr>
          <w:rFonts w:ascii="宋体" w:eastAsia="宋体" w:hAnsi="宋体" w:cs="Arial" w:hint="eastAsia"/>
          <w:color w:val="000000" w:themeColor="text1"/>
          <w:kern w:val="0"/>
          <w:sz w:val="24"/>
          <w:szCs w:val="24"/>
        </w:rPr>
        <w:t>该类</w:t>
      </w:r>
      <w:r w:rsidR="006C3B53">
        <w:rPr>
          <w:rFonts w:ascii="宋体" w:eastAsia="宋体" w:hAnsi="宋体" w:cs="Arial" w:hint="eastAsia"/>
          <w:color w:val="000000" w:themeColor="text1"/>
          <w:kern w:val="0"/>
          <w:sz w:val="24"/>
          <w:szCs w:val="24"/>
        </w:rPr>
        <w:t>基金份额净值为基准</w:t>
      </w:r>
      <w:r w:rsidRPr="008B1F27">
        <w:rPr>
          <w:rFonts w:ascii="宋体" w:eastAsia="宋体" w:hAnsi="宋体" w:cs="Arial"/>
          <w:color w:val="000000" w:themeColor="text1"/>
          <w:kern w:val="0"/>
          <w:sz w:val="24"/>
          <w:szCs w:val="24"/>
        </w:rPr>
        <w:t>进行计算。</w:t>
      </w:r>
    </w:p>
    <w:p w:rsidR="00FD53BC" w:rsidRPr="008B1F27" w:rsidRDefault="002157D9" w:rsidP="002157D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投资人在提交申购申请时须按销售机构规定的方式备足申购资金，否则所提交的申购申请不成立。</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当日的申购申请可以在基金管理人规定的时间以内撤销。</w:t>
      </w:r>
    </w:p>
    <w:p w:rsidR="00D42103" w:rsidRPr="008B1F27" w:rsidRDefault="00D42103"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 日常赎回业务</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4.1赎回份额限制</w:t>
      </w:r>
    </w:p>
    <w:p w:rsidR="00FD53BC" w:rsidRDefault="00C55052"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C55052">
        <w:rPr>
          <w:rFonts w:ascii="宋体" w:eastAsia="宋体" w:hAnsi="宋体" w:cs="Arial" w:hint="eastAsia"/>
          <w:color w:val="000000" w:themeColor="text1"/>
          <w:kern w:val="0"/>
          <w:sz w:val="24"/>
          <w:szCs w:val="24"/>
        </w:rPr>
        <w:t>投资人赎回本基金各类基金份额时，可申请将其持有的部分或全部该类基金份额赎回，但每笔最低赎回份额不得低于10份；各类基金份额的账户最低余额为10份基金份额，若某笔赎回将导致投资人在销售机构托管的本基金某类基金份额余额不足10份时，该笔赎回业务应包括账户内全部该类基金份额，否则，基金管理人有权将剩余部分的该类基金份额强制赎回。各销售机构对最低赎回份额及账户最低余额有其他规定的，以各销售机构的业务规定为准。</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基金管理人可在法律法规允许的情况下，调整上述规定赎回份额的数量限制。基金管理人必须在调整</w:t>
      </w:r>
      <w:r w:rsidR="00982EC9" w:rsidRPr="008B1F27">
        <w:rPr>
          <w:rFonts w:ascii="宋体" w:eastAsia="宋体" w:hAnsi="宋体" w:cs="Arial" w:hint="eastAsia"/>
          <w:color w:val="000000" w:themeColor="text1"/>
          <w:kern w:val="0"/>
          <w:sz w:val="24"/>
          <w:szCs w:val="24"/>
        </w:rPr>
        <w:t>实施</w:t>
      </w:r>
      <w:r w:rsidRPr="008B1F27">
        <w:rPr>
          <w:rFonts w:ascii="宋体" w:eastAsia="宋体" w:hAnsi="宋体" w:cs="Arial"/>
          <w:color w:val="000000" w:themeColor="text1"/>
          <w:kern w:val="0"/>
          <w:sz w:val="24"/>
          <w:szCs w:val="24"/>
        </w:rPr>
        <w:t>前依照《</w:t>
      </w:r>
      <w:r w:rsidR="007600A8">
        <w:rPr>
          <w:rFonts w:ascii="宋体" w:eastAsia="宋体" w:hAnsi="宋体" w:cs="Arial" w:hint="eastAsia"/>
          <w:color w:val="000000" w:themeColor="text1"/>
          <w:kern w:val="0"/>
          <w:sz w:val="24"/>
          <w:szCs w:val="24"/>
        </w:rPr>
        <w:t>公开募集</w:t>
      </w:r>
      <w:r w:rsidRPr="008B1F27">
        <w:rPr>
          <w:rFonts w:ascii="宋体" w:eastAsia="宋体" w:hAnsi="宋体" w:cs="Arial"/>
          <w:color w:val="000000" w:themeColor="text1"/>
          <w:kern w:val="0"/>
          <w:sz w:val="24"/>
          <w:szCs w:val="24"/>
        </w:rPr>
        <w:t>证券投资基金信息披露</w:t>
      </w:r>
      <w:r w:rsidR="00E70793" w:rsidRPr="008B1F27">
        <w:rPr>
          <w:rFonts w:ascii="宋体" w:eastAsia="宋体" w:hAnsi="宋体" w:cs="Arial" w:hint="eastAsia"/>
          <w:color w:val="000000" w:themeColor="text1"/>
          <w:kern w:val="0"/>
          <w:sz w:val="24"/>
          <w:szCs w:val="24"/>
        </w:rPr>
        <w:t>管理</w:t>
      </w:r>
      <w:r w:rsidRPr="008B1F27">
        <w:rPr>
          <w:rFonts w:ascii="宋体" w:eastAsia="宋体" w:hAnsi="宋体" w:cs="Arial"/>
          <w:color w:val="000000" w:themeColor="text1"/>
          <w:kern w:val="0"/>
          <w:sz w:val="24"/>
          <w:szCs w:val="24"/>
        </w:rPr>
        <w:t>办法》的有关规定在</w:t>
      </w:r>
      <w:r w:rsidR="00BF15FA">
        <w:rPr>
          <w:rFonts w:ascii="宋体" w:eastAsia="宋体" w:hAnsi="宋体" w:cs="Arial"/>
          <w:color w:val="000000" w:themeColor="text1"/>
          <w:kern w:val="0"/>
          <w:sz w:val="24"/>
          <w:szCs w:val="24"/>
        </w:rPr>
        <w:t>规定</w:t>
      </w:r>
      <w:r w:rsidR="00975BFA"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上公告。</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4.2赎回费率</w:t>
      </w:r>
    </w:p>
    <w:p w:rsidR="00E15ABB" w:rsidRPr="00E15ABB" w:rsidRDefault="004E4306" w:rsidP="00E15ABB">
      <w:pPr>
        <w:autoSpaceDE w:val="0"/>
        <w:autoSpaceDN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（1）</w:t>
      </w:r>
      <w:r w:rsidR="00E15ABB" w:rsidRPr="00E15ABB">
        <w:rPr>
          <w:rFonts w:ascii="宋体" w:eastAsia="宋体" w:hAnsi="宋体" w:cs="Arial" w:hint="eastAsia"/>
          <w:color w:val="000000" w:themeColor="text1"/>
          <w:kern w:val="0"/>
          <w:sz w:val="24"/>
          <w:szCs w:val="24"/>
        </w:rPr>
        <w:t>本基金</w:t>
      </w:r>
      <w:r w:rsidR="00CA5DC0" w:rsidRPr="00CA5DC0">
        <w:rPr>
          <w:rFonts w:ascii="宋体" w:eastAsia="宋体" w:hAnsi="宋体" w:cs="Arial" w:hint="eastAsia"/>
          <w:color w:val="000000" w:themeColor="text1"/>
          <w:kern w:val="0"/>
          <w:sz w:val="24"/>
          <w:szCs w:val="24"/>
        </w:rPr>
        <w:t>A类</w:t>
      </w:r>
      <w:r w:rsidR="00E15ABB" w:rsidRPr="00E15ABB">
        <w:rPr>
          <w:rFonts w:ascii="宋体" w:eastAsia="宋体" w:hAnsi="宋体" w:cs="Arial" w:hint="eastAsia"/>
          <w:color w:val="000000" w:themeColor="text1"/>
          <w:kern w:val="0"/>
          <w:sz w:val="24"/>
          <w:szCs w:val="24"/>
        </w:rPr>
        <w:t>基金份额的赎回费率如下表所示：</w:t>
      </w:r>
    </w:p>
    <w:tbl>
      <w:tblPr>
        <w:tblW w:w="5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88"/>
      </w:tblGrid>
      <w:tr w:rsidR="00E15ABB" w:rsidRPr="00E15ABB" w:rsidTr="00BA70F0">
        <w:trPr>
          <w:trHeight w:val="524"/>
          <w:jc w:val="center"/>
        </w:trPr>
        <w:tc>
          <w:tcPr>
            <w:tcW w:w="2605" w:type="dxa"/>
            <w:shd w:val="clear" w:color="auto" w:fill="auto"/>
            <w:noWrap/>
            <w:vAlign w:val="center"/>
            <w:hideMark/>
          </w:tcPr>
          <w:p w:rsidR="00E15ABB" w:rsidRPr="00E15ABB" w:rsidRDefault="00CA5DC0" w:rsidP="0052499F">
            <w:pPr>
              <w:widowControl/>
              <w:jc w:val="center"/>
              <w:rPr>
                <w:rFonts w:ascii="宋体" w:eastAsia="宋体" w:hAnsi="宋体" w:cs="宋体"/>
                <w:b/>
                <w:bCs/>
                <w:kern w:val="0"/>
                <w:sz w:val="24"/>
                <w:szCs w:val="24"/>
              </w:rPr>
            </w:pPr>
            <w:r w:rsidRPr="00CA5DC0">
              <w:rPr>
                <w:rFonts w:ascii="宋体" w:eastAsia="宋体" w:hAnsi="宋体" w:cs="宋体" w:hint="eastAsia"/>
                <w:b/>
                <w:bCs/>
                <w:kern w:val="0"/>
                <w:sz w:val="24"/>
                <w:szCs w:val="24"/>
              </w:rPr>
              <w:t>A类基金份额</w:t>
            </w:r>
            <w:r w:rsidR="00E15ABB" w:rsidRPr="00E15ABB">
              <w:rPr>
                <w:rFonts w:ascii="宋体" w:eastAsia="宋体" w:hAnsi="宋体" w:cs="宋体" w:hint="eastAsia"/>
                <w:b/>
                <w:bCs/>
                <w:kern w:val="0"/>
                <w:sz w:val="24"/>
                <w:szCs w:val="24"/>
              </w:rPr>
              <w:t>持有期限D（天）</w:t>
            </w:r>
          </w:p>
        </w:tc>
        <w:tc>
          <w:tcPr>
            <w:tcW w:w="2688" w:type="dxa"/>
            <w:shd w:val="clear" w:color="auto" w:fill="auto"/>
            <w:noWrap/>
            <w:vAlign w:val="center"/>
            <w:hideMark/>
          </w:tcPr>
          <w:p w:rsidR="00E15ABB" w:rsidRPr="00E15ABB" w:rsidRDefault="00CA5DC0" w:rsidP="0052499F">
            <w:pPr>
              <w:widowControl/>
              <w:jc w:val="center"/>
              <w:rPr>
                <w:rFonts w:ascii="宋体" w:eastAsia="宋体" w:hAnsi="宋体" w:cs="宋体"/>
                <w:b/>
                <w:bCs/>
                <w:kern w:val="0"/>
                <w:sz w:val="24"/>
                <w:szCs w:val="24"/>
              </w:rPr>
            </w:pPr>
            <w:r w:rsidRPr="00CA5DC0">
              <w:rPr>
                <w:rFonts w:ascii="宋体" w:eastAsia="宋体" w:hAnsi="宋体" w:cs="宋体" w:hint="eastAsia"/>
                <w:b/>
                <w:bCs/>
                <w:kern w:val="0"/>
                <w:sz w:val="24"/>
                <w:szCs w:val="24"/>
              </w:rPr>
              <w:t>A类基金份额</w:t>
            </w:r>
            <w:r w:rsidR="00E15ABB" w:rsidRPr="00E15ABB">
              <w:rPr>
                <w:rFonts w:ascii="宋体" w:eastAsia="宋体" w:hAnsi="宋体" w:cs="宋体" w:hint="eastAsia"/>
                <w:b/>
                <w:bCs/>
                <w:kern w:val="0"/>
                <w:sz w:val="24"/>
                <w:szCs w:val="24"/>
              </w:rPr>
              <w:t>赎回费率</w:t>
            </w:r>
          </w:p>
        </w:tc>
      </w:tr>
      <w:tr w:rsidR="00E15ABB" w:rsidRPr="00E15ABB" w:rsidTr="00BA70F0">
        <w:trPr>
          <w:trHeight w:val="270"/>
          <w:jc w:val="center"/>
        </w:trPr>
        <w:tc>
          <w:tcPr>
            <w:tcW w:w="2605" w:type="dxa"/>
            <w:shd w:val="clear" w:color="auto" w:fill="auto"/>
            <w:noWrap/>
            <w:vAlign w:val="center"/>
            <w:hideMark/>
          </w:tcPr>
          <w:p w:rsidR="00E15ABB" w:rsidRPr="00E15ABB" w:rsidRDefault="00E15ABB" w:rsidP="0052499F">
            <w:pPr>
              <w:widowControl/>
              <w:jc w:val="center"/>
              <w:rPr>
                <w:rFonts w:ascii="宋体" w:eastAsia="宋体" w:hAnsi="宋体" w:cs="宋体"/>
                <w:kern w:val="0"/>
                <w:sz w:val="24"/>
                <w:szCs w:val="24"/>
              </w:rPr>
            </w:pPr>
            <w:r w:rsidRPr="00E15ABB">
              <w:rPr>
                <w:rFonts w:ascii="宋体" w:eastAsia="宋体" w:hAnsi="宋体" w:cs="宋体"/>
                <w:kern w:val="0"/>
                <w:sz w:val="24"/>
                <w:szCs w:val="24"/>
              </w:rPr>
              <w:t>D＜7</w:t>
            </w:r>
          </w:p>
        </w:tc>
        <w:tc>
          <w:tcPr>
            <w:tcW w:w="2688" w:type="dxa"/>
            <w:shd w:val="clear" w:color="auto" w:fill="auto"/>
            <w:noWrap/>
            <w:vAlign w:val="center"/>
            <w:hideMark/>
          </w:tcPr>
          <w:p w:rsidR="00E15ABB" w:rsidRPr="00E15ABB" w:rsidRDefault="00E15ABB" w:rsidP="0052499F">
            <w:pPr>
              <w:widowControl/>
              <w:jc w:val="center"/>
              <w:rPr>
                <w:rFonts w:ascii="宋体" w:eastAsia="宋体" w:hAnsi="宋体" w:cs="宋体"/>
                <w:kern w:val="0"/>
                <w:sz w:val="24"/>
                <w:szCs w:val="24"/>
              </w:rPr>
            </w:pPr>
            <w:r w:rsidRPr="00E15ABB">
              <w:rPr>
                <w:rFonts w:ascii="宋体" w:eastAsia="宋体" w:hAnsi="宋体" w:cs="宋体"/>
                <w:kern w:val="0"/>
                <w:sz w:val="24"/>
                <w:szCs w:val="24"/>
              </w:rPr>
              <w:t>1.5</w:t>
            </w:r>
            <w:r w:rsidRPr="00E15ABB">
              <w:rPr>
                <w:rFonts w:ascii="宋体" w:eastAsia="宋体" w:hAnsi="宋体" w:cs="宋体" w:hint="eastAsia"/>
                <w:kern w:val="0"/>
                <w:sz w:val="24"/>
                <w:szCs w:val="24"/>
              </w:rPr>
              <w:t>0</w:t>
            </w:r>
            <w:r w:rsidRPr="00E15ABB">
              <w:rPr>
                <w:rFonts w:ascii="宋体" w:eastAsia="宋体" w:hAnsi="宋体" w:cs="宋体"/>
                <w:kern w:val="0"/>
                <w:sz w:val="24"/>
                <w:szCs w:val="24"/>
              </w:rPr>
              <w:t>%</w:t>
            </w:r>
          </w:p>
        </w:tc>
      </w:tr>
      <w:tr w:rsidR="0088566C" w:rsidRPr="00E15ABB" w:rsidTr="00BA70F0">
        <w:trPr>
          <w:trHeight w:val="270"/>
          <w:jc w:val="center"/>
        </w:trPr>
        <w:tc>
          <w:tcPr>
            <w:tcW w:w="2605" w:type="dxa"/>
            <w:shd w:val="clear" w:color="auto" w:fill="auto"/>
            <w:noWrap/>
            <w:vAlign w:val="center"/>
            <w:hideMark/>
          </w:tcPr>
          <w:p w:rsidR="0088566C" w:rsidRPr="00E15ABB" w:rsidRDefault="0088566C" w:rsidP="0088566C">
            <w:pPr>
              <w:widowControl/>
              <w:jc w:val="center"/>
              <w:rPr>
                <w:rFonts w:ascii="宋体" w:eastAsia="宋体" w:hAnsi="宋体" w:cs="宋体"/>
                <w:kern w:val="0"/>
                <w:sz w:val="24"/>
                <w:szCs w:val="24"/>
              </w:rPr>
            </w:pPr>
            <w:r w:rsidRPr="00FE7C78">
              <w:rPr>
                <w:rFonts w:ascii="宋体" w:eastAsia="宋体" w:hAnsi="宋体" w:cs="宋体"/>
                <w:kern w:val="0"/>
                <w:sz w:val="24"/>
                <w:szCs w:val="24"/>
              </w:rPr>
              <w:t>D</w:t>
            </w:r>
            <w:r w:rsidRPr="00FE7C78">
              <w:rPr>
                <w:rFonts w:ascii="宋体" w:eastAsia="宋体" w:hAnsi="宋体" w:cs="宋体" w:hint="eastAsia"/>
                <w:kern w:val="0"/>
                <w:sz w:val="24"/>
                <w:szCs w:val="24"/>
              </w:rPr>
              <w:t>≥</w:t>
            </w:r>
            <w:r w:rsidRPr="00FE7C78">
              <w:rPr>
                <w:rFonts w:ascii="宋体" w:eastAsia="宋体" w:hAnsi="宋体" w:cs="宋体"/>
                <w:kern w:val="0"/>
                <w:sz w:val="24"/>
                <w:szCs w:val="24"/>
              </w:rPr>
              <w:t>7</w:t>
            </w:r>
          </w:p>
        </w:tc>
        <w:tc>
          <w:tcPr>
            <w:tcW w:w="2688" w:type="dxa"/>
            <w:shd w:val="clear" w:color="auto" w:fill="auto"/>
            <w:noWrap/>
            <w:vAlign w:val="center"/>
            <w:hideMark/>
          </w:tcPr>
          <w:p w:rsidR="0088566C" w:rsidRPr="00E15ABB" w:rsidRDefault="0088566C" w:rsidP="0088566C">
            <w:pPr>
              <w:widowControl/>
              <w:jc w:val="center"/>
              <w:rPr>
                <w:rFonts w:ascii="宋体" w:eastAsia="宋体" w:hAnsi="宋体" w:cs="宋体"/>
                <w:kern w:val="0"/>
                <w:sz w:val="24"/>
                <w:szCs w:val="24"/>
              </w:rPr>
            </w:pPr>
            <w:r w:rsidRPr="00FE7C78">
              <w:rPr>
                <w:rFonts w:ascii="宋体" w:eastAsia="宋体" w:hAnsi="宋体" w:cs="宋体"/>
                <w:kern w:val="0"/>
                <w:sz w:val="24"/>
                <w:szCs w:val="24"/>
              </w:rPr>
              <w:t>0%</w:t>
            </w:r>
          </w:p>
        </w:tc>
      </w:tr>
    </w:tbl>
    <w:p w:rsidR="00CA5DC0" w:rsidRPr="00CA5DC0" w:rsidRDefault="003A1E9E" w:rsidP="00CA5DC0">
      <w:pPr>
        <w:spacing w:line="360" w:lineRule="auto"/>
        <w:ind w:firstLine="420"/>
        <w:rPr>
          <w:rFonts w:ascii="宋体" w:eastAsia="宋体" w:hAnsi="宋体" w:cs="Arial"/>
          <w:color w:val="000000" w:themeColor="text1"/>
          <w:kern w:val="0"/>
          <w:sz w:val="24"/>
          <w:szCs w:val="24"/>
        </w:rPr>
      </w:pPr>
      <w:r w:rsidRPr="003A1E9E">
        <w:rPr>
          <w:rFonts w:ascii="宋体" w:eastAsia="宋体" w:hAnsi="宋体" w:cs="Arial" w:hint="eastAsia"/>
          <w:color w:val="000000" w:themeColor="text1"/>
          <w:kern w:val="0"/>
          <w:sz w:val="24"/>
          <w:szCs w:val="24"/>
        </w:rPr>
        <w:t>投资人可将其持有的全部或部分A类基金份额赎回。赎回费由赎回A类基金份额的基金份额持有人承担，在基金份额持有人赎回A类基金份额时收取。对持续持有期少于7天的A类基金份额的基金份额持有人收取的赎回费全额计入基金财产。</w:t>
      </w:r>
    </w:p>
    <w:p w:rsidR="00CA5DC0" w:rsidRPr="00CA5DC0" w:rsidRDefault="00CA5DC0" w:rsidP="00CA5DC0">
      <w:pPr>
        <w:spacing w:line="360" w:lineRule="auto"/>
        <w:ind w:firstLine="420"/>
        <w:rPr>
          <w:rFonts w:ascii="宋体" w:eastAsia="宋体" w:hAnsi="宋体" w:cs="Arial"/>
          <w:color w:val="000000" w:themeColor="text1"/>
          <w:kern w:val="0"/>
          <w:sz w:val="24"/>
          <w:szCs w:val="24"/>
        </w:rPr>
      </w:pPr>
      <w:r w:rsidRPr="00CA5DC0">
        <w:rPr>
          <w:rFonts w:ascii="宋体" w:eastAsia="宋体" w:hAnsi="宋体" w:cs="Arial" w:hint="eastAsia"/>
          <w:color w:val="000000" w:themeColor="text1"/>
          <w:kern w:val="0"/>
          <w:sz w:val="24"/>
          <w:szCs w:val="24"/>
        </w:rPr>
        <w:t>（2）本基金C类基金份额</w:t>
      </w:r>
      <w:r w:rsidR="003A1E9E">
        <w:rPr>
          <w:rFonts w:ascii="宋体" w:eastAsia="宋体" w:hAnsi="宋体" w:cs="Arial" w:hint="eastAsia"/>
          <w:color w:val="000000" w:themeColor="text1"/>
          <w:kern w:val="0"/>
          <w:sz w:val="24"/>
          <w:szCs w:val="24"/>
        </w:rPr>
        <w:t>的</w:t>
      </w:r>
      <w:r w:rsidRPr="00CA5DC0">
        <w:rPr>
          <w:rFonts w:ascii="宋体" w:eastAsia="宋体" w:hAnsi="宋体" w:cs="Arial" w:hint="eastAsia"/>
          <w:color w:val="000000" w:themeColor="text1"/>
          <w:kern w:val="0"/>
          <w:sz w:val="24"/>
          <w:szCs w:val="24"/>
        </w:rPr>
        <w:t>赎回费率如下表所示：</w:t>
      </w:r>
    </w:p>
    <w:tbl>
      <w:tblPr>
        <w:tblW w:w="5293" w:type="dxa"/>
        <w:jc w:val="center"/>
        <w:tblLook w:val="04A0"/>
      </w:tblPr>
      <w:tblGrid>
        <w:gridCol w:w="2605"/>
        <w:gridCol w:w="2688"/>
      </w:tblGrid>
      <w:tr w:rsidR="00CA5DC0" w:rsidTr="00523F01">
        <w:trPr>
          <w:trHeight w:val="524"/>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b/>
                <w:bCs/>
                <w:kern w:val="0"/>
                <w:sz w:val="24"/>
              </w:rPr>
            </w:pPr>
            <w:r w:rsidRPr="00CA5DC0">
              <w:rPr>
                <w:rFonts w:ascii="宋体" w:hAnsi="宋体" w:cs="宋体" w:hint="eastAsia"/>
                <w:b/>
                <w:bCs/>
                <w:kern w:val="0"/>
                <w:sz w:val="24"/>
              </w:rPr>
              <w:t>C类基金份额持有期限D（天）</w:t>
            </w:r>
          </w:p>
        </w:tc>
        <w:tc>
          <w:tcPr>
            <w:tcW w:w="2688" w:type="dxa"/>
            <w:tcBorders>
              <w:top w:val="single" w:sz="4" w:space="0" w:color="auto"/>
              <w:left w:val="nil"/>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b/>
                <w:bCs/>
                <w:kern w:val="0"/>
                <w:sz w:val="24"/>
              </w:rPr>
            </w:pPr>
            <w:r w:rsidRPr="00CA5DC0">
              <w:rPr>
                <w:rFonts w:ascii="宋体" w:hAnsi="宋体" w:cs="宋体" w:hint="eastAsia"/>
                <w:b/>
                <w:bCs/>
                <w:kern w:val="0"/>
                <w:sz w:val="24"/>
              </w:rPr>
              <w:t>C类基金份额赎回费率</w:t>
            </w:r>
          </w:p>
        </w:tc>
      </w:tr>
      <w:tr w:rsidR="00CA5DC0" w:rsidTr="00523F01">
        <w:trPr>
          <w:trHeight w:val="350"/>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kern w:val="0"/>
                <w:sz w:val="24"/>
              </w:rPr>
            </w:pPr>
            <w:r w:rsidRPr="00CA5DC0">
              <w:rPr>
                <w:rFonts w:ascii="宋体" w:hAnsi="宋体" w:cs="宋体"/>
                <w:kern w:val="0"/>
                <w:sz w:val="24"/>
              </w:rPr>
              <w:t>D＜7</w:t>
            </w:r>
          </w:p>
        </w:tc>
        <w:tc>
          <w:tcPr>
            <w:tcW w:w="2688" w:type="dxa"/>
            <w:tcBorders>
              <w:top w:val="single" w:sz="4" w:space="0" w:color="auto"/>
              <w:left w:val="nil"/>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kern w:val="0"/>
                <w:sz w:val="24"/>
              </w:rPr>
            </w:pPr>
            <w:r w:rsidRPr="00CA5DC0">
              <w:rPr>
                <w:rFonts w:ascii="宋体" w:hAnsi="宋体" w:cs="宋体"/>
                <w:kern w:val="0"/>
                <w:sz w:val="24"/>
              </w:rPr>
              <w:t>1.50%</w:t>
            </w:r>
          </w:p>
        </w:tc>
      </w:tr>
      <w:tr w:rsidR="00CA5DC0" w:rsidTr="00523F01">
        <w:trPr>
          <w:trHeight w:val="350"/>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DC0" w:rsidRPr="00CA5DC0" w:rsidRDefault="00CA5DC0" w:rsidP="00B13C3F">
            <w:pPr>
              <w:widowControl/>
              <w:jc w:val="center"/>
              <w:rPr>
                <w:rFonts w:ascii="宋体" w:hAnsi="宋体" w:cs="宋体"/>
                <w:kern w:val="0"/>
                <w:sz w:val="24"/>
              </w:rPr>
            </w:pPr>
            <w:r w:rsidRPr="00CA5DC0">
              <w:rPr>
                <w:rFonts w:ascii="宋体" w:hAnsi="宋体" w:cs="宋体"/>
                <w:kern w:val="0"/>
                <w:sz w:val="24"/>
              </w:rPr>
              <w:t>D</w:t>
            </w:r>
            <w:r w:rsidRPr="00CA5DC0">
              <w:rPr>
                <w:rFonts w:ascii="宋体" w:hAnsi="宋体" w:cs="宋体" w:hint="eastAsia"/>
                <w:kern w:val="0"/>
                <w:sz w:val="24"/>
              </w:rPr>
              <w:t>≥</w:t>
            </w:r>
            <w:r w:rsidR="003A1E9E">
              <w:rPr>
                <w:rFonts w:ascii="宋体" w:hAnsi="宋体" w:cs="宋体" w:hint="eastAsia"/>
                <w:kern w:val="0"/>
                <w:sz w:val="24"/>
              </w:rPr>
              <w:t>7</w:t>
            </w:r>
          </w:p>
        </w:tc>
        <w:tc>
          <w:tcPr>
            <w:tcW w:w="2688" w:type="dxa"/>
            <w:tcBorders>
              <w:top w:val="single" w:sz="4" w:space="0" w:color="auto"/>
              <w:left w:val="nil"/>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kern w:val="0"/>
                <w:sz w:val="24"/>
              </w:rPr>
            </w:pPr>
            <w:r w:rsidRPr="00CA5DC0">
              <w:rPr>
                <w:rFonts w:ascii="宋体" w:hAnsi="宋体" w:cs="宋体"/>
                <w:kern w:val="0"/>
                <w:sz w:val="24"/>
              </w:rPr>
              <w:t>0%</w:t>
            </w:r>
          </w:p>
        </w:tc>
      </w:tr>
    </w:tbl>
    <w:p w:rsidR="0088566C" w:rsidRDefault="003A1E9E" w:rsidP="00CA5DC0">
      <w:pPr>
        <w:spacing w:line="360" w:lineRule="auto"/>
        <w:ind w:firstLine="420"/>
        <w:rPr>
          <w:rFonts w:ascii="宋体" w:eastAsia="宋体" w:hAnsi="宋体" w:cs="Arial"/>
          <w:color w:val="000000" w:themeColor="text1"/>
          <w:kern w:val="0"/>
          <w:sz w:val="24"/>
          <w:szCs w:val="24"/>
        </w:rPr>
      </w:pPr>
      <w:r w:rsidRPr="003A1E9E">
        <w:rPr>
          <w:rFonts w:ascii="宋体" w:eastAsia="宋体" w:hAnsi="宋体" w:cs="Arial" w:hint="eastAsia"/>
          <w:color w:val="000000" w:themeColor="text1"/>
          <w:kern w:val="0"/>
          <w:sz w:val="24"/>
          <w:szCs w:val="24"/>
        </w:rPr>
        <w:t>投资人可将其持有的全部或部分C类基金份额赎回。赎回费用由赎回C类基金份额的基金份额持有人承担，在基金份额持有人赎回C类基金份额时收取。对持续持有期少于7天的C类基金份额的基金份额持有人收取的赎回费全额计入基金财产。</w:t>
      </w:r>
    </w:p>
    <w:p w:rsidR="004E4306" w:rsidRPr="008B1F27" w:rsidRDefault="004E4306" w:rsidP="004E4306">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w:t>
      </w:r>
      <w:r>
        <w:rPr>
          <w:rFonts w:ascii="宋体" w:eastAsia="宋体" w:hAnsi="宋体" w:cs="Arial"/>
          <w:b/>
          <w:bCs/>
          <w:color w:val="000000" w:themeColor="text1"/>
          <w:kern w:val="0"/>
          <w:sz w:val="24"/>
          <w:szCs w:val="24"/>
        </w:rPr>
        <w:t>3</w:t>
      </w:r>
      <w:r w:rsidRPr="008B1F27">
        <w:rPr>
          <w:rFonts w:ascii="宋体" w:eastAsia="宋体" w:hAnsi="宋体" w:cs="Arial"/>
          <w:b/>
          <w:bCs/>
          <w:color w:val="000000" w:themeColor="text1"/>
          <w:kern w:val="0"/>
          <w:sz w:val="24"/>
          <w:szCs w:val="24"/>
        </w:rPr>
        <w:t>赎回</w:t>
      </w:r>
      <w:r>
        <w:rPr>
          <w:rFonts w:ascii="宋体" w:eastAsia="宋体" w:hAnsi="宋体" w:cs="Arial" w:hint="eastAsia"/>
          <w:b/>
          <w:bCs/>
          <w:color w:val="000000" w:themeColor="text1"/>
          <w:kern w:val="0"/>
          <w:sz w:val="24"/>
          <w:szCs w:val="24"/>
        </w:rPr>
        <w:t>金额</w:t>
      </w:r>
      <w:r>
        <w:rPr>
          <w:rFonts w:ascii="宋体" w:eastAsia="宋体" w:hAnsi="宋体" w:cs="Arial"/>
          <w:b/>
          <w:bCs/>
          <w:color w:val="000000" w:themeColor="text1"/>
          <w:kern w:val="0"/>
          <w:sz w:val="24"/>
          <w:szCs w:val="24"/>
        </w:rPr>
        <w:t>的计算</w:t>
      </w:r>
      <w:r w:rsidRPr="004E4306">
        <w:rPr>
          <w:rFonts w:ascii="宋体" w:eastAsia="宋体" w:hAnsi="宋体" w:cs="Arial" w:hint="eastAsia"/>
          <w:b/>
          <w:bCs/>
          <w:color w:val="000000" w:themeColor="text1"/>
          <w:kern w:val="0"/>
          <w:sz w:val="24"/>
          <w:szCs w:val="24"/>
        </w:rPr>
        <w:t>及处理方式</w:t>
      </w:r>
    </w:p>
    <w:p w:rsidR="004E4306" w:rsidRDefault="004E4306" w:rsidP="0088566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4E4306">
        <w:rPr>
          <w:rFonts w:ascii="宋体" w:eastAsia="宋体" w:hAnsi="宋体" w:cs="Arial" w:hint="eastAsia"/>
          <w:color w:val="000000" w:themeColor="text1"/>
          <w:kern w:val="0"/>
          <w:sz w:val="24"/>
          <w:szCs w:val="24"/>
        </w:rPr>
        <w:t>本基金A类基金份额和C类基金份额的赎回金额的计算方式相同，按照各自对应的当日该类基金份额净值和赎回费率计算，赎回金额为赎回总金额扣减赎回费用。赎回金额的计算方式如下：</w:t>
      </w:r>
    </w:p>
    <w:p w:rsidR="0088566C" w:rsidRPr="0088566C" w:rsidRDefault="0088566C" w:rsidP="0088566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8566C">
        <w:rPr>
          <w:rFonts w:ascii="宋体" w:eastAsia="宋体" w:hAnsi="宋体" w:cs="Arial" w:hint="eastAsia"/>
          <w:color w:val="000000" w:themeColor="text1"/>
          <w:kern w:val="0"/>
          <w:sz w:val="24"/>
          <w:szCs w:val="24"/>
        </w:rPr>
        <w:t>赎回总金额</w:t>
      </w:r>
      <w:r w:rsidRPr="0088566C">
        <w:rPr>
          <w:rFonts w:ascii="宋体" w:eastAsia="宋体" w:hAnsi="宋体" w:cs="Arial"/>
          <w:color w:val="000000" w:themeColor="text1"/>
          <w:kern w:val="0"/>
          <w:sz w:val="24"/>
          <w:szCs w:val="24"/>
        </w:rPr>
        <w:t>=</w:t>
      </w:r>
      <w:r w:rsidRPr="0088566C">
        <w:rPr>
          <w:rFonts w:ascii="宋体" w:eastAsia="宋体" w:hAnsi="宋体" w:cs="Arial" w:hint="eastAsia"/>
          <w:color w:val="000000" w:themeColor="text1"/>
          <w:kern w:val="0"/>
          <w:sz w:val="24"/>
          <w:szCs w:val="24"/>
        </w:rPr>
        <w:t>赎回份额</w:t>
      </w:r>
      <w:r w:rsidRPr="009C7479">
        <w:rPr>
          <w:rFonts w:ascii="宋体" w:hAnsi="宋体"/>
          <w:szCs w:val="21"/>
        </w:rPr>
        <w:sym w:font="Symbol" w:char="F0B4"/>
      </w:r>
      <w:r w:rsidRPr="0088566C">
        <w:rPr>
          <w:rFonts w:ascii="宋体" w:eastAsia="宋体" w:hAnsi="宋体" w:cs="Arial" w:hint="eastAsia"/>
          <w:color w:val="000000" w:themeColor="text1"/>
          <w:kern w:val="0"/>
          <w:sz w:val="24"/>
          <w:szCs w:val="24"/>
        </w:rPr>
        <w:t>赎回当日</w:t>
      </w:r>
      <w:r w:rsidR="00CA5DC0">
        <w:rPr>
          <w:rFonts w:ascii="宋体" w:eastAsia="宋体" w:hAnsi="宋体" w:cs="Arial" w:hint="eastAsia"/>
          <w:color w:val="000000" w:themeColor="text1"/>
          <w:kern w:val="0"/>
          <w:sz w:val="24"/>
          <w:szCs w:val="24"/>
        </w:rPr>
        <w:t>该类</w:t>
      </w:r>
      <w:r w:rsidRPr="0088566C">
        <w:rPr>
          <w:rFonts w:ascii="宋体" w:eastAsia="宋体" w:hAnsi="宋体" w:cs="Arial" w:hint="eastAsia"/>
          <w:color w:val="000000" w:themeColor="text1"/>
          <w:kern w:val="0"/>
          <w:sz w:val="24"/>
          <w:szCs w:val="24"/>
        </w:rPr>
        <w:t>基金份额净值</w:t>
      </w:r>
    </w:p>
    <w:p w:rsidR="0088566C" w:rsidRPr="0088566C" w:rsidRDefault="0088566C" w:rsidP="0088566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8566C">
        <w:rPr>
          <w:rFonts w:ascii="宋体" w:eastAsia="宋体" w:hAnsi="宋体" w:cs="Arial" w:hint="eastAsia"/>
          <w:color w:val="000000" w:themeColor="text1"/>
          <w:kern w:val="0"/>
          <w:sz w:val="24"/>
          <w:szCs w:val="24"/>
        </w:rPr>
        <w:t>赎回费用</w:t>
      </w:r>
      <w:r w:rsidRPr="0088566C">
        <w:rPr>
          <w:rFonts w:ascii="宋体" w:eastAsia="宋体" w:hAnsi="宋体" w:cs="Arial"/>
          <w:color w:val="000000" w:themeColor="text1"/>
          <w:kern w:val="0"/>
          <w:sz w:val="24"/>
          <w:szCs w:val="24"/>
        </w:rPr>
        <w:t>=</w:t>
      </w:r>
      <w:r w:rsidRPr="0088566C">
        <w:rPr>
          <w:rFonts w:ascii="宋体" w:eastAsia="宋体" w:hAnsi="宋体" w:cs="Arial" w:hint="eastAsia"/>
          <w:color w:val="000000" w:themeColor="text1"/>
          <w:kern w:val="0"/>
          <w:sz w:val="24"/>
          <w:szCs w:val="24"/>
        </w:rPr>
        <w:t>赎回总金额</w:t>
      </w:r>
      <w:r w:rsidRPr="009C7479">
        <w:rPr>
          <w:rFonts w:ascii="宋体" w:hAnsi="宋体"/>
          <w:szCs w:val="21"/>
        </w:rPr>
        <w:sym w:font="Symbol" w:char="F0B4"/>
      </w:r>
      <w:r w:rsidRPr="0088566C">
        <w:rPr>
          <w:rFonts w:ascii="宋体" w:eastAsia="宋体" w:hAnsi="宋体" w:cs="Arial" w:hint="eastAsia"/>
          <w:color w:val="000000" w:themeColor="text1"/>
          <w:kern w:val="0"/>
          <w:sz w:val="24"/>
          <w:szCs w:val="24"/>
        </w:rPr>
        <w:t>赎回费率</w:t>
      </w:r>
    </w:p>
    <w:p w:rsidR="00BA5C90" w:rsidRDefault="0088566C"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8566C">
        <w:rPr>
          <w:rFonts w:ascii="宋体" w:eastAsia="宋体" w:hAnsi="宋体" w:cs="Arial" w:hint="eastAsia"/>
          <w:color w:val="000000" w:themeColor="text1"/>
          <w:kern w:val="0"/>
          <w:sz w:val="24"/>
          <w:szCs w:val="24"/>
        </w:rPr>
        <w:t>赎回金额</w:t>
      </w:r>
      <w:r w:rsidRPr="0088566C">
        <w:rPr>
          <w:rFonts w:ascii="宋体" w:eastAsia="宋体" w:hAnsi="宋体" w:cs="Arial"/>
          <w:color w:val="000000" w:themeColor="text1"/>
          <w:kern w:val="0"/>
          <w:sz w:val="24"/>
          <w:szCs w:val="24"/>
        </w:rPr>
        <w:t>=</w:t>
      </w:r>
      <w:r w:rsidRPr="0088566C">
        <w:rPr>
          <w:rFonts w:ascii="宋体" w:eastAsia="宋体" w:hAnsi="宋体" w:cs="Arial" w:hint="eastAsia"/>
          <w:color w:val="000000" w:themeColor="text1"/>
          <w:kern w:val="0"/>
          <w:sz w:val="24"/>
          <w:szCs w:val="24"/>
        </w:rPr>
        <w:t>赎回总金额</w:t>
      </w:r>
      <w:r w:rsidRPr="009C7479">
        <w:rPr>
          <w:rFonts w:ascii="宋体" w:hAnsi="宋体"/>
          <w:szCs w:val="21"/>
        </w:rPr>
        <w:sym w:font="Symbol" w:char="F02D"/>
      </w:r>
      <w:r w:rsidRPr="0088566C">
        <w:rPr>
          <w:rFonts w:ascii="宋体" w:eastAsia="宋体" w:hAnsi="宋体" w:cs="Arial" w:hint="eastAsia"/>
          <w:color w:val="000000" w:themeColor="text1"/>
          <w:kern w:val="0"/>
          <w:sz w:val="24"/>
          <w:szCs w:val="24"/>
        </w:rPr>
        <w:t>赎回费用</w:t>
      </w:r>
    </w:p>
    <w:p w:rsidR="00FE7C78" w:rsidRPr="00FE7C78" w:rsidRDefault="00FE7C78"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FE7C78">
        <w:rPr>
          <w:rFonts w:ascii="宋体" w:eastAsia="宋体" w:hAnsi="宋体" w:cs="Arial" w:hint="eastAsia"/>
          <w:color w:val="000000" w:themeColor="text1"/>
          <w:kern w:val="0"/>
          <w:sz w:val="24"/>
          <w:szCs w:val="24"/>
        </w:rPr>
        <w:t>赎回金额单位为元，上述计算结果均按四舍五入方法，保留到小数点后两位，由此产生的收益或损失由基金财产承担。</w:t>
      </w:r>
    </w:p>
    <w:p w:rsidR="004E4306" w:rsidRDefault="004E4306" w:rsidP="004E4306">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基金管理人可以在基金合同约定的范围内调整费率或收费方式，并最迟应于新的费率或收费方式实施日前依照《</w:t>
      </w:r>
      <w:r>
        <w:rPr>
          <w:rFonts w:ascii="宋体" w:eastAsia="宋体" w:hAnsi="宋体" w:cs="Arial" w:hint="eastAsia"/>
          <w:color w:val="000000" w:themeColor="text1"/>
          <w:kern w:val="0"/>
          <w:sz w:val="24"/>
          <w:szCs w:val="24"/>
        </w:rPr>
        <w:t>公开募集</w:t>
      </w:r>
      <w:r w:rsidRPr="008B1F27">
        <w:rPr>
          <w:rFonts w:ascii="宋体" w:eastAsia="宋体" w:hAnsi="宋体" w:cs="Arial"/>
          <w:color w:val="000000" w:themeColor="text1"/>
          <w:kern w:val="0"/>
          <w:sz w:val="24"/>
          <w:szCs w:val="24"/>
        </w:rPr>
        <w:t>证券投资基金信息披露管理办法》的有关规定在</w:t>
      </w:r>
      <w:r>
        <w:rPr>
          <w:rFonts w:ascii="宋体" w:eastAsia="宋体" w:hAnsi="宋体" w:cs="Arial"/>
          <w:color w:val="000000" w:themeColor="text1"/>
          <w:kern w:val="0"/>
          <w:sz w:val="24"/>
          <w:szCs w:val="24"/>
        </w:rPr>
        <w:t>规定</w:t>
      </w:r>
      <w:r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上公告。</w:t>
      </w:r>
    </w:p>
    <w:p w:rsidR="00FD53BC" w:rsidRPr="008B1F27" w:rsidRDefault="00FD53BC" w:rsidP="0081412D">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w:t>
      </w:r>
      <w:r w:rsidR="006E1DDE">
        <w:rPr>
          <w:rFonts w:ascii="宋体" w:eastAsia="宋体" w:hAnsi="宋体" w:cs="Arial" w:hint="eastAsia"/>
          <w:b/>
          <w:bCs/>
          <w:color w:val="000000" w:themeColor="text1"/>
          <w:kern w:val="0"/>
          <w:sz w:val="24"/>
          <w:szCs w:val="24"/>
        </w:rPr>
        <w:t>4</w:t>
      </w:r>
      <w:r w:rsidRPr="008B1F27">
        <w:rPr>
          <w:rFonts w:ascii="宋体" w:eastAsia="宋体" w:hAnsi="宋体" w:cs="Arial"/>
          <w:b/>
          <w:bCs/>
          <w:color w:val="000000" w:themeColor="text1"/>
          <w:kern w:val="0"/>
          <w:sz w:val="24"/>
          <w:szCs w:val="24"/>
        </w:rPr>
        <w:t>其他与赎回相关的事项</w:t>
      </w:r>
    </w:p>
    <w:p w:rsidR="00E15ABB" w:rsidRPr="00E15ABB" w:rsidRDefault="00E15ABB" w:rsidP="00E15AB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基金管理人应以交易时间结束前受理有效</w:t>
      </w:r>
      <w:r w:rsidRPr="00E15ABB">
        <w:rPr>
          <w:rFonts w:ascii="宋体" w:eastAsia="宋体" w:hAnsi="宋体" w:cs="Arial" w:hint="eastAsia"/>
          <w:color w:val="000000" w:themeColor="text1"/>
          <w:kern w:val="0"/>
          <w:sz w:val="24"/>
          <w:szCs w:val="24"/>
        </w:rPr>
        <w:t>赎回申请的当天作为赎回申请日(T日)，在正常情况下，本基金登记机构在T+1日内对该交易的有效性进行确认。T日提交的有效申请，投资人应在T+2日后(包括该日)及时到销售网点柜台或以销售机构规定的其他方式查询申请的确认情况。</w:t>
      </w:r>
    </w:p>
    <w:p w:rsidR="0081412D" w:rsidRDefault="00E15ABB"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15ABB">
        <w:rPr>
          <w:rFonts w:ascii="宋体" w:eastAsia="宋体" w:hAnsi="宋体" w:cs="Arial" w:hint="eastAsia"/>
          <w:color w:val="000000" w:themeColor="text1"/>
          <w:kern w:val="0"/>
          <w:sz w:val="24"/>
          <w:szCs w:val="24"/>
        </w:rPr>
        <w:t>销售机构对赎回申请的受理并不代表申请一定成功，而仅代表销售机构确实接收到该赎回申请。赎回申请的确认以登记机构的确认结果为准。对于申请的确认情况，投资人应及时查询并妥善行使合法权利</w:t>
      </w:r>
      <w:r w:rsidR="00256F76" w:rsidRPr="00256F76">
        <w:rPr>
          <w:rFonts w:ascii="宋体" w:eastAsia="宋体" w:hAnsi="宋体" w:cs="Arial" w:hint="eastAsia"/>
          <w:color w:val="000000" w:themeColor="text1"/>
          <w:kern w:val="0"/>
          <w:sz w:val="24"/>
          <w:szCs w:val="24"/>
        </w:rPr>
        <w:t>，否则，由此产生的任何损失由投资人自行承担</w:t>
      </w:r>
      <w:r w:rsidRPr="00E15ABB">
        <w:rPr>
          <w:rFonts w:ascii="宋体" w:eastAsia="宋体" w:hAnsi="宋体" w:cs="Arial" w:hint="eastAsia"/>
          <w:color w:val="000000" w:themeColor="text1"/>
          <w:kern w:val="0"/>
          <w:sz w:val="24"/>
          <w:szCs w:val="24"/>
        </w:rPr>
        <w:t>。</w:t>
      </w:r>
    </w:p>
    <w:p w:rsidR="00FD53BC" w:rsidRPr="006C3B53"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赎回以份额申请，遵循“未知价”原则，即赎回价格</w:t>
      </w:r>
      <w:r w:rsidR="006C3B53">
        <w:rPr>
          <w:rFonts w:ascii="宋体" w:eastAsia="宋体" w:hAnsi="宋体" w:cs="Arial" w:hint="eastAsia"/>
          <w:color w:val="000000" w:themeColor="text1"/>
          <w:kern w:val="0"/>
          <w:sz w:val="24"/>
          <w:szCs w:val="24"/>
        </w:rPr>
        <w:t>以申请当日</w:t>
      </w:r>
      <w:r w:rsidR="006C0DA3" w:rsidRPr="00061A69">
        <w:rPr>
          <w:rFonts w:ascii="宋体" w:eastAsia="宋体" w:hAnsi="宋体" w:cs="Arial" w:hint="eastAsia"/>
          <w:color w:val="000000" w:themeColor="text1"/>
          <w:kern w:val="0"/>
          <w:sz w:val="24"/>
          <w:szCs w:val="24"/>
        </w:rPr>
        <w:t>收市后计算</w:t>
      </w:r>
      <w:r w:rsidR="006C3B53">
        <w:rPr>
          <w:rFonts w:ascii="宋体" w:eastAsia="宋体" w:hAnsi="宋体" w:cs="Arial" w:hint="eastAsia"/>
          <w:color w:val="000000" w:themeColor="text1"/>
          <w:kern w:val="0"/>
          <w:sz w:val="24"/>
          <w:szCs w:val="24"/>
        </w:rPr>
        <w:t>的</w:t>
      </w:r>
      <w:r w:rsidR="00CA5DC0">
        <w:rPr>
          <w:rFonts w:ascii="宋体" w:eastAsia="宋体" w:hAnsi="宋体" w:cs="Arial" w:hint="eastAsia"/>
          <w:color w:val="000000" w:themeColor="text1"/>
          <w:kern w:val="0"/>
          <w:sz w:val="24"/>
          <w:szCs w:val="24"/>
        </w:rPr>
        <w:t>该类</w:t>
      </w:r>
      <w:r w:rsidR="006C3B53">
        <w:rPr>
          <w:rFonts w:ascii="宋体" w:eastAsia="宋体" w:hAnsi="宋体" w:cs="Arial" w:hint="eastAsia"/>
          <w:color w:val="000000" w:themeColor="text1"/>
          <w:kern w:val="0"/>
          <w:sz w:val="24"/>
          <w:szCs w:val="24"/>
        </w:rPr>
        <w:t>基金份额净值为基准</w:t>
      </w:r>
      <w:r w:rsidRPr="008B1F27">
        <w:rPr>
          <w:rFonts w:ascii="宋体" w:eastAsia="宋体" w:hAnsi="宋体" w:cs="Arial"/>
          <w:color w:val="000000" w:themeColor="text1"/>
          <w:kern w:val="0"/>
          <w:sz w:val="24"/>
          <w:szCs w:val="24"/>
        </w:rPr>
        <w:t>进行计算。</w:t>
      </w:r>
    </w:p>
    <w:p w:rsidR="00FD53BC" w:rsidRPr="008B1F27" w:rsidRDefault="00707B63" w:rsidP="00707B6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赎回遵循“先进先出”原则，即按照投资人认购、申购的先后次序进行顺序赎回</w:t>
      </w:r>
      <w:r w:rsidR="00FD53BC" w:rsidRPr="008B1F27">
        <w:rPr>
          <w:rFonts w:ascii="宋体" w:eastAsia="宋体" w:hAnsi="宋体" w:cs="Arial"/>
          <w:color w:val="000000" w:themeColor="text1"/>
          <w:kern w:val="0"/>
          <w:sz w:val="24"/>
          <w:szCs w:val="24"/>
        </w:rPr>
        <w:t>。</w:t>
      </w:r>
    </w:p>
    <w:p w:rsidR="002157D9" w:rsidRPr="008B1F27" w:rsidRDefault="002157D9" w:rsidP="002157D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投资人在提交赎回申请时须持有足够的基金份额余额，否则所提交的赎回申请不成立。</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当日的赎回申请可以在基金管理人规定的时间以内撤销。</w:t>
      </w:r>
    </w:p>
    <w:p w:rsidR="00EC0026" w:rsidRDefault="00E15ABB"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15ABB">
        <w:rPr>
          <w:rFonts w:ascii="宋体" w:eastAsia="宋体" w:hAnsi="宋体" w:cs="Arial" w:hint="eastAsia"/>
          <w:color w:val="000000" w:themeColor="text1"/>
          <w:kern w:val="0"/>
          <w:sz w:val="24"/>
          <w:szCs w:val="24"/>
        </w:rPr>
        <w:t>投资</w:t>
      </w:r>
      <w:r w:rsidR="00761BBA">
        <w:rPr>
          <w:rFonts w:ascii="宋体" w:eastAsia="宋体" w:hAnsi="宋体" w:cs="Arial" w:hint="eastAsia"/>
          <w:color w:val="000000" w:themeColor="text1"/>
          <w:kern w:val="0"/>
          <w:sz w:val="24"/>
          <w:szCs w:val="24"/>
        </w:rPr>
        <w:t>者</w:t>
      </w:r>
      <w:r w:rsidR="006C0DA3">
        <w:rPr>
          <w:rFonts w:ascii="宋体" w:eastAsia="宋体" w:hAnsi="宋体" w:cs="Arial" w:hint="eastAsia"/>
          <w:color w:val="000000" w:themeColor="text1"/>
          <w:kern w:val="0"/>
          <w:sz w:val="24"/>
          <w:szCs w:val="24"/>
        </w:rPr>
        <w:t>T日</w:t>
      </w:r>
      <w:r w:rsidRPr="00E15ABB">
        <w:rPr>
          <w:rFonts w:ascii="宋体" w:eastAsia="宋体" w:hAnsi="宋体" w:cs="Arial" w:hint="eastAsia"/>
          <w:color w:val="000000" w:themeColor="text1"/>
          <w:kern w:val="0"/>
          <w:sz w:val="24"/>
          <w:szCs w:val="24"/>
        </w:rPr>
        <w:t>赎回申请</w:t>
      </w:r>
      <w:r w:rsidR="007D56A3">
        <w:rPr>
          <w:rFonts w:ascii="宋体" w:eastAsia="宋体" w:hAnsi="宋体" w:cs="Arial" w:hint="eastAsia"/>
          <w:color w:val="000000" w:themeColor="text1"/>
          <w:kern w:val="0"/>
          <w:sz w:val="24"/>
          <w:szCs w:val="24"/>
        </w:rPr>
        <w:t>生效</w:t>
      </w:r>
      <w:r w:rsidRPr="00E15ABB">
        <w:rPr>
          <w:rFonts w:ascii="宋体" w:eastAsia="宋体" w:hAnsi="宋体" w:cs="Arial" w:hint="eastAsia"/>
          <w:color w:val="000000" w:themeColor="text1"/>
          <w:kern w:val="0"/>
          <w:sz w:val="24"/>
          <w:szCs w:val="24"/>
        </w:rPr>
        <w:t>后，基金管理人将在T＋7日(包括该日)内支付赎回款项。在发生巨额赎回或基金合同载明的其他暂停赎回或延缓支付赎回款项的情形时，款项的支付办法参照基金合同有关条款处理。</w:t>
      </w:r>
    </w:p>
    <w:p w:rsidR="00D42103" w:rsidRPr="008B1F27" w:rsidRDefault="00D42103"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A9575C" w:rsidRPr="008B1F27" w:rsidRDefault="00A9575C" w:rsidP="00A9575C">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8B1F27">
        <w:rPr>
          <w:rFonts w:ascii="宋体" w:eastAsia="宋体" w:hAnsi="宋体" w:cs="Arial" w:hint="eastAsia"/>
          <w:b/>
          <w:bCs/>
          <w:color w:val="000000" w:themeColor="text1"/>
          <w:kern w:val="0"/>
          <w:sz w:val="24"/>
          <w:szCs w:val="24"/>
        </w:rPr>
        <w:t>5. 日常转换业务</w:t>
      </w:r>
    </w:p>
    <w:p w:rsidR="00F04AF7" w:rsidRPr="00F04AF7" w:rsidRDefault="00F04AF7" w:rsidP="00F04AF7">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F04AF7">
        <w:rPr>
          <w:rFonts w:ascii="宋体" w:eastAsia="宋体" w:hAnsi="宋体" w:cs="Arial" w:hint="eastAsia"/>
          <w:b/>
          <w:bCs/>
          <w:color w:val="000000" w:themeColor="text1"/>
          <w:kern w:val="0"/>
          <w:sz w:val="24"/>
          <w:szCs w:val="24"/>
        </w:rPr>
        <w:t>5.1转换费用</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（1）基金转换费用由转出基金的赎回费用和基金转换的申购补差费两部分构成，具体收取情况视每次转换时两只基金的申购费差异情况和转出基金的赎回费而定。基金转换费用由基金份额持有人承担。</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1）转出基金赎回费按转出基金的赎回费率收取，并按照相关法规</w:t>
      </w:r>
      <w:r w:rsidR="00813D0A">
        <w:rPr>
          <w:rFonts w:ascii="宋体" w:eastAsia="宋体" w:hAnsi="宋体" w:cs="Arial" w:hint="eastAsia"/>
          <w:bCs/>
          <w:color w:val="000000" w:themeColor="text1"/>
          <w:kern w:val="0"/>
          <w:sz w:val="24"/>
          <w:szCs w:val="24"/>
        </w:rPr>
        <w:t>及《基金合同》、《招募说明书》等法律文件</w:t>
      </w:r>
      <w:r w:rsidRPr="00F04AF7">
        <w:rPr>
          <w:rFonts w:ascii="宋体" w:eastAsia="宋体" w:hAnsi="宋体" w:cs="Arial" w:hint="eastAsia"/>
          <w:bCs/>
          <w:color w:val="000000" w:themeColor="text1"/>
          <w:kern w:val="0"/>
          <w:sz w:val="24"/>
          <w:szCs w:val="24"/>
        </w:rPr>
        <w:t>的规定将部分赎回费计入转出基金的基金财产。</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2）申购补差费指转入基金与转出基金的申购费的差额。当转入基金的申购费高于转出基金的申购费时，应缴纳转入基金和转出基金的申购费差额，反之则不收取申购补差费。</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（2）基金转换的计算公式</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转出金额＝转出基金份额×转出基金当日基金份额净值</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转换费用＝赎回费用＋补差费用</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赎回费用＝转出金额×赎回费率</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补差费用：分以下两种情况计算</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1）转入基金的申购费＞转出基金的申购费</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补差费用＝转入基金申购费－转出基金申购费</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2）转入基金的申购费≤转出基金的申购费</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补差费用＝0</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其中：</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转入基金的申购费=（转出金额－赎回费用）×转入基金申购费率/（1＋转入基金申购费率），或，转入基金固定申购费金额</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转出基金的申购费=（转出金额－赎回费用）×转出基金申购费率/（1＋转出基金申购费率），或，转出基金固定申购费金额</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转入金额＝转出金额－转换费用</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转入份额＝转入金额/转入基金转入申请当日基金份额净值</w:t>
      </w:r>
    </w:p>
    <w:p w:rsidR="006C0DA3" w:rsidRPr="008B1F27" w:rsidRDefault="00F04AF7"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具体份额以注册登记机构的记录为准。转出基金赎回费用、转出转入基金申购补差费用保留小数点后两位，两位以后的部分四舍五入，由此产生的误差计入基金财产。</w:t>
      </w:r>
    </w:p>
    <w:p w:rsidR="006C0DA3" w:rsidRPr="008B1F27" w:rsidRDefault="006C0DA3" w:rsidP="006C0DA3">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8B1F27">
        <w:rPr>
          <w:rFonts w:ascii="宋体" w:eastAsia="宋体" w:hAnsi="宋体" w:cs="Arial" w:hint="eastAsia"/>
          <w:b/>
          <w:bCs/>
          <w:color w:val="000000" w:themeColor="text1"/>
          <w:kern w:val="0"/>
          <w:sz w:val="24"/>
          <w:szCs w:val="24"/>
        </w:rPr>
        <w:t>5.2其他与转换相关的事项</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1）转换的两只基金必须都是由同一销售机构销售、同一基金管理人管理、并在同一登记机构处注册登记的基金。投资人办理基金转换业务时，转出方的基金必须处于可赎回状态，转入方的基金必须处于可申购状态。</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（2）投资人可在基金开放日申请办理基金转换业务,具体办理时间与基金申购、赎回业务办理时间相同。本公司公告暂停申购、赎回或转换时除外。</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（3）交易限额参见相关基金招募说明书和相关公告中对申购和赎回限额的规定。</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（4）投资人提出的基金转换申请,在当日交易时间结束前可以撤销,交易时间结束后不得撤销。</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（5）</w:t>
      </w:r>
      <w:r w:rsidR="00B53CBD" w:rsidRPr="00B53CBD">
        <w:rPr>
          <w:rFonts w:ascii="宋体" w:eastAsia="宋体" w:hAnsi="宋体" w:cs="Arial" w:hint="eastAsia"/>
          <w:bCs/>
          <w:color w:val="000000" w:themeColor="text1"/>
          <w:kern w:val="0"/>
          <w:sz w:val="24"/>
          <w:szCs w:val="24"/>
        </w:rPr>
        <w:t>本基金与本公司旗下其他已开通转换业务的开放式基金之间的转换规则以本公告为准，本公司旗下其他已开通转换业务的开放式基金相互之间的转换规则以其相关公告为准。</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（6）开通基金转换业务的销售机构</w:t>
      </w:r>
    </w:p>
    <w:p w:rsidR="002D4764" w:rsidRDefault="00F04AF7" w:rsidP="00B0410C">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由于各销售机构的系统差异以及业务安排等原因，开展转换业务的时间和基金品种及其他未尽事宜详见各销售机构的相关业务规则和相关公告。</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（7）</w:t>
      </w:r>
      <w:r w:rsidR="00CA5DC0" w:rsidRPr="00CA5DC0">
        <w:rPr>
          <w:rFonts w:ascii="宋体" w:eastAsia="宋体" w:hAnsi="宋体" w:cs="Arial" w:hint="eastAsia"/>
          <w:bCs/>
          <w:color w:val="000000" w:themeColor="text1"/>
          <w:kern w:val="0"/>
          <w:sz w:val="24"/>
          <w:szCs w:val="24"/>
        </w:rPr>
        <w:t>本基金A/C类基金份额不支持相互转换。</w:t>
      </w:r>
      <w:r w:rsidRPr="008B1F27">
        <w:rPr>
          <w:rFonts w:ascii="宋体" w:eastAsia="宋体" w:hAnsi="宋体" w:cs="Arial" w:hint="eastAsia"/>
          <w:bCs/>
          <w:color w:val="000000" w:themeColor="text1"/>
          <w:kern w:val="0"/>
          <w:sz w:val="24"/>
          <w:szCs w:val="24"/>
        </w:rPr>
        <w:t>自公告开放日起，本公司直销机构和</w:t>
      </w:r>
      <w:r w:rsidR="002D4764">
        <w:rPr>
          <w:rFonts w:ascii="宋体" w:eastAsia="宋体" w:hAnsi="宋体" w:cs="Arial"/>
          <w:bCs/>
          <w:color w:val="000000" w:themeColor="text1"/>
          <w:kern w:val="0"/>
          <w:sz w:val="24"/>
          <w:szCs w:val="24"/>
        </w:rPr>
        <w:t>非直销销售</w:t>
      </w:r>
      <w:r w:rsidRPr="008B1F27">
        <w:rPr>
          <w:rFonts w:ascii="宋体" w:eastAsia="宋体" w:hAnsi="宋体" w:cs="Arial" w:hint="eastAsia"/>
          <w:bCs/>
          <w:color w:val="000000" w:themeColor="text1"/>
          <w:kern w:val="0"/>
          <w:sz w:val="24"/>
          <w:szCs w:val="24"/>
        </w:rPr>
        <w:t>机构将同时开通本基金与本公司旗下其他已开通转换业务的开放式基金之间的转换业务。具体开通的基金范围以各销售机构的相关公告为准。</w:t>
      </w:r>
    </w:p>
    <w:p w:rsidR="00A9575C" w:rsidRPr="00261EE7" w:rsidRDefault="006C0DA3" w:rsidP="00261EE7">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bCs/>
          <w:color w:val="000000" w:themeColor="text1"/>
          <w:kern w:val="0"/>
          <w:sz w:val="24"/>
          <w:szCs w:val="24"/>
        </w:rPr>
        <w:t>（8）投资人通过本公司直销柜台或电子直销交易系统（已开通</w:t>
      </w:r>
      <w:r w:rsidR="001A6EA7">
        <w:rPr>
          <w:rFonts w:ascii="宋体" w:eastAsia="宋体" w:hAnsi="宋体" w:cs="Arial" w:hint="eastAsia"/>
          <w:bCs/>
          <w:color w:val="000000" w:themeColor="text1"/>
          <w:kern w:val="0"/>
          <w:sz w:val="24"/>
          <w:szCs w:val="24"/>
        </w:rPr>
        <w:t>中国银行、</w:t>
      </w:r>
      <w:r w:rsidRPr="008B1F27">
        <w:rPr>
          <w:rFonts w:ascii="宋体" w:eastAsia="宋体" w:hAnsi="宋体" w:cs="Arial" w:hint="eastAsia"/>
          <w:bCs/>
          <w:color w:val="000000" w:themeColor="text1"/>
          <w:kern w:val="0"/>
          <w:sz w:val="24"/>
          <w:szCs w:val="24"/>
        </w:rPr>
        <w:t>中国工商银行、中国建设银行、中国农业银行、招商银行、交通银行、</w:t>
      </w:r>
      <w:r w:rsidR="00045593">
        <w:rPr>
          <w:rFonts w:ascii="宋体" w:eastAsia="宋体" w:hAnsi="宋体" w:cs="Arial" w:hint="eastAsia"/>
          <w:bCs/>
          <w:color w:val="000000" w:themeColor="text1"/>
          <w:kern w:val="0"/>
          <w:sz w:val="24"/>
          <w:szCs w:val="24"/>
        </w:rPr>
        <w:t>兴业银行、</w:t>
      </w:r>
      <w:r w:rsidRPr="008B1F27">
        <w:rPr>
          <w:rFonts w:ascii="宋体" w:eastAsia="宋体" w:hAnsi="宋体" w:cs="Arial" w:hint="eastAsia"/>
          <w:bCs/>
          <w:color w:val="000000" w:themeColor="text1"/>
          <w:kern w:val="0"/>
          <w:sz w:val="24"/>
          <w:szCs w:val="24"/>
        </w:rPr>
        <w:t>通联支付）办理基金转换业务，享受零申购补差费优惠，只收取赎回费。如遇业务调整或网上交易支付渠道规则变动，将另行公告。</w:t>
      </w:r>
    </w:p>
    <w:p w:rsidR="00A9575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p>
    <w:p w:rsidR="00FD53BC" w:rsidRPr="008B1F27" w:rsidRDefault="00A9575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C077CA" w:rsidRPr="008B1F27">
        <w:rPr>
          <w:rFonts w:ascii="宋体" w:eastAsia="宋体" w:hAnsi="宋体" w:cs="Arial"/>
          <w:b/>
          <w:bCs/>
          <w:color w:val="000000" w:themeColor="text1"/>
          <w:kern w:val="0"/>
          <w:sz w:val="24"/>
          <w:szCs w:val="24"/>
        </w:rPr>
        <w:t>.</w:t>
      </w:r>
      <w:r w:rsidR="00FD53BC" w:rsidRPr="008B1F27">
        <w:rPr>
          <w:rFonts w:ascii="宋体" w:eastAsia="宋体" w:hAnsi="宋体" w:cs="Arial"/>
          <w:b/>
          <w:bCs/>
          <w:color w:val="000000" w:themeColor="text1"/>
          <w:kern w:val="0"/>
          <w:sz w:val="24"/>
          <w:szCs w:val="24"/>
        </w:rPr>
        <w:t xml:space="preserve"> 定期定额投资业务</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.1开通定投业务的销售机构</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直销机构：前海开源基金管理有限公司。</w:t>
      </w:r>
    </w:p>
    <w:p w:rsidR="001362B6" w:rsidRDefault="00D42103" w:rsidP="00B0410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非直销销售机构：本基金管理人可根据有关法律法规的要求，选择符合要求的机构开通</w:t>
      </w:r>
      <w:r>
        <w:rPr>
          <w:rFonts w:ascii="宋体" w:eastAsia="宋体" w:hAnsi="宋体" w:cs="Arial" w:hint="eastAsia"/>
          <w:color w:val="000000" w:themeColor="text1"/>
          <w:kern w:val="0"/>
          <w:sz w:val="24"/>
          <w:szCs w:val="24"/>
        </w:rPr>
        <w:t>定投</w:t>
      </w:r>
      <w:r w:rsidRPr="00D42103">
        <w:rPr>
          <w:rFonts w:ascii="宋体" w:eastAsia="宋体" w:hAnsi="宋体" w:cs="Arial" w:hint="eastAsia"/>
          <w:color w:val="000000" w:themeColor="text1"/>
          <w:kern w:val="0"/>
          <w:sz w:val="24"/>
          <w:szCs w:val="24"/>
        </w:rPr>
        <w:t>业务，并在</w:t>
      </w:r>
      <w:r w:rsidR="00071F33">
        <w:rPr>
          <w:rFonts w:ascii="宋体" w:eastAsia="宋体" w:hAnsi="宋体" w:cs="Arial" w:hint="eastAsia"/>
          <w:color w:val="000000" w:themeColor="text1"/>
          <w:kern w:val="0"/>
          <w:sz w:val="24"/>
          <w:szCs w:val="24"/>
        </w:rPr>
        <w:t>基金</w:t>
      </w:r>
      <w:r w:rsidRPr="00D42103">
        <w:rPr>
          <w:rFonts w:ascii="宋体" w:eastAsia="宋体" w:hAnsi="宋体" w:cs="Arial" w:hint="eastAsia"/>
          <w:color w:val="000000" w:themeColor="text1"/>
          <w:kern w:val="0"/>
          <w:sz w:val="24"/>
          <w:szCs w:val="24"/>
        </w:rPr>
        <w:t>管理人网站公示。</w:t>
      </w:r>
    </w:p>
    <w:p w:rsidR="00FD53BC" w:rsidRPr="008B1F27" w:rsidRDefault="00A9575C" w:rsidP="00CA5DC0">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.2办理方式</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投资人开立基金账户后即可到上述机构的网点(包括电子化服务渠道)申请办理本基金的基金定投业务，具体安排请遵循各销售机构的相关规定。</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.3办理时间</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基金定投的申请受理时间与基金日常申购业务受理时间相同。</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.4申购金额</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投资人可与各销售机构约定每期申购金额，每期最低申购金额不受基金招募说明书中有关申购金额的限制。</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投资人应与相关销售机构约定扣款日期。</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销售机构将按照投资人申请时约定的每期扣款日、申购金额扣款，若遇非基金开放日则以销售机构的相关规定为准，并将投资人申购的实际扣款日期视为基金申购申请日（T日）。</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投资人需指定相关销售机构认可的资金账户作为每期固定扣款账户。</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.5申购费率</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若无另行公告，定投费率及计费方式与一般的申购业务相同。部分销售机构处于定投费率优惠活动期间的，本基金将依照各销售机构的相关规定执行。</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.6扣款和交易确认</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基金的登记机构按照基金申购申请日（T日）的基金份额净值为基准计算申购份额。申购份额将在T</w:t>
      </w:r>
      <w:r w:rsidR="007C470C" w:rsidRPr="007C470C">
        <w:rPr>
          <w:rFonts w:ascii="宋体" w:eastAsia="宋体" w:hAnsi="宋体" w:cs="Arial"/>
          <w:color w:val="000000" w:themeColor="text1"/>
          <w:kern w:val="0"/>
          <w:sz w:val="24"/>
          <w:szCs w:val="24"/>
        </w:rPr>
        <w:t>+</w:t>
      </w:r>
      <w:r w:rsidR="0088236E">
        <w:rPr>
          <w:rFonts w:ascii="宋体" w:eastAsia="宋体" w:hAnsi="宋体" w:cs="Arial"/>
          <w:color w:val="000000" w:themeColor="text1"/>
          <w:kern w:val="0"/>
          <w:sz w:val="24"/>
          <w:szCs w:val="24"/>
        </w:rPr>
        <w:t>1</w:t>
      </w:r>
      <w:r w:rsidRPr="008B1F27">
        <w:rPr>
          <w:rFonts w:ascii="宋体" w:eastAsia="宋体" w:hAnsi="宋体" w:cs="Arial"/>
          <w:color w:val="000000" w:themeColor="text1"/>
          <w:kern w:val="0"/>
          <w:sz w:val="24"/>
          <w:szCs w:val="24"/>
        </w:rPr>
        <w:t>日进行确认，投资人可自T+</w:t>
      </w:r>
      <w:r w:rsidR="0088236E">
        <w:rPr>
          <w:rFonts w:ascii="宋体" w:eastAsia="宋体" w:hAnsi="宋体" w:cs="Arial"/>
          <w:color w:val="000000" w:themeColor="text1"/>
          <w:kern w:val="0"/>
          <w:sz w:val="24"/>
          <w:szCs w:val="24"/>
        </w:rPr>
        <w:t>2</w:t>
      </w:r>
      <w:r w:rsidRPr="008B1F27">
        <w:rPr>
          <w:rFonts w:ascii="宋体" w:eastAsia="宋体" w:hAnsi="宋体" w:cs="Arial"/>
          <w:color w:val="000000" w:themeColor="text1"/>
          <w:kern w:val="0"/>
          <w:sz w:val="24"/>
          <w:szCs w:val="24"/>
        </w:rPr>
        <w:t>日起查询申购成交情况。</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.7变更与解约</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如果投资人变更每期申购金额、扣款日期、扣款方式或者终止定投业务，请遵循销售机构的相关规定。</w:t>
      </w:r>
    </w:p>
    <w:p w:rsidR="00D42103" w:rsidRPr="008B1F27" w:rsidRDefault="00D42103"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7</w:t>
      </w:r>
      <w:r w:rsidR="00FD53BC" w:rsidRPr="008B1F27">
        <w:rPr>
          <w:rFonts w:ascii="宋体" w:eastAsia="宋体" w:hAnsi="宋体" w:cs="Arial"/>
          <w:b/>
          <w:bCs/>
          <w:color w:val="000000" w:themeColor="text1"/>
          <w:kern w:val="0"/>
          <w:sz w:val="24"/>
          <w:szCs w:val="24"/>
        </w:rPr>
        <w:t>. 基金销售机构</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7</w:t>
      </w:r>
      <w:r w:rsidR="00B31DD9" w:rsidRPr="008B1F27">
        <w:rPr>
          <w:rFonts w:ascii="宋体" w:eastAsia="宋体" w:hAnsi="宋体" w:cs="Arial"/>
          <w:b/>
          <w:bCs/>
          <w:color w:val="000000" w:themeColor="text1"/>
          <w:kern w:val="0"/>
          <w:sz w:val="24"/>
          <w:szCs w:val="24"/>
        </w:rPr>
        <w:t>.1</w:t>
      </w:r>
      <w:r w:rsidR="00FD53BC" w:rsidRPr="008B1F27">
        <w:rPr>
          <w:rFonts w:ascii="宋体" w:eastAsia="宋体" w:hAnsi="宋体" w:cs="Arial"/>
          <w:b/>
          <w:bCs/>
          <w:color w:val="000000" w:themeColor="text1"/>
          <w:kern w:val="0"/>
          <w:sz w:val="24"/>
          <w:szCs w:val="24"/>
        </w:rPr>
        <w:t>直销机构</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（1）前海开源基金管理有限公司直销柜台</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办公地址：</w:t>
      </w:r>
      <w:r w:rsidR="0049683E" w:rsidRPr="008B1F27">
        <w:rPr>
          <w:rFonts w:ascii="宋体" w:eastAsia="宋体" w:hAnsi="宋体" w:cs="Arial" w:hint="eastAsia"/>
          <w:color w:val="000000" w:themeColor="text1"/>
          <w:kern w:val="0"/>
          <w:sz w:val="24"/>
          <w:szCs w:val="24"/>
        </w:rPr>
        <w:t>深圳市福田区深南大道7006号万科富春东方大厦10楼</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联系人：</w:t>
      </w:r>
      <w:r w:rsidR="0088236E">
        <w:rPr>
          <w:rFonts w:ascii="宋体" w:eastAsia="宋体" w:hAnsi="宋体" w:cs="Arial" w:hint="eastAsia"/>
          <w:color w:val="000000" w:themeColor="text1"/>
          <w:kern w:val="0"/>
          <w:sz w:val="24"/>
          <w:szCs w:val="24"/>
        </w:rPr>
        <w:t>何凌</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电话：（0755）83181190</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传真：（0755）83180622</w:t>
      </w:r>
    </w:p>
    <w:p w:rsidR="00D42103" w:rsidRPr="00D42103" w:rsidRDefault="00D42103" w:rsidP="00D4210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（2）前海开源基金管理有限公司电子直销交易</w:t>
      </w:r>
    </w:p>
    <w:p w:rsidR="00D42103" w:rsidRPr="00D42103" w:rsidRDefault="00D42103" w:rsidP="00D4210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前海开源基金网上交易系统（http:// www.qhkyfund.com）</w:t>
      </w:r>
    </w:p>
    <w:p w:rsidR="00D42103" w:rsidRPr="00D42103" w:rsidRDefault="00D42103" w:rsidP="00D4210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前海开源基金APP</w:t>
      </w:r>
    </w:p>
    <w:p w:rsidR="000A365E" w:rsidRPr="008B1F27" w:rsidRDefault="00D42103"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前海开源基金微信小程序</w:t>
      </w:r>
    </w:p>
    <w:p w:rsidR="00A02369" w:rsidRPr="008B1F27" w:rsidRDefault="00A9575C" w:rsidP="00A02369">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8B1F27">
        <w:rPr>
          <w:rFonts w:ascii="宋体" w:eastAsia="宋体" w:hAnsi="宋体" w:cs="Arial" w:hint="eastAsia"/>
          <w:b/>
          <w:bCs/>
          <w:color w:val="000000" w:themeColor="text1"/>
          <w:kern w:val="0"/>
          <w:sz w:val="24"/>
          <w:szCs w:val="24"/>
        </w:rPr>
        <w:t>7</w:t>
      </w:r>
      <w:r w:rsidR="00FD53BC" w:rsidRPr="008B1F27">
        <w:rPr>
          <w:rFonts w:ascii="宋体" w:eastAsia="宋体" w:hAnsi="宋体" w:cs="Arial"/>
          <w:b/>
          <w:bCs/>
          <w:color w:val="000000" w:themeColor="text1"/>
          <w:kern w:val="0"/>
          <w:sz w:val="24"/>
          <w:szCs w:val="24"/>
        </w:rPr>
        <w:t>.2</w:t>
      </w:r>
      <w:r w:rsidR="00D42103" w:rsidRPr="00D42103">
        <w:rPr>
          <w:rFonts w:ascii="宋体" w:eastAsia="宋体" w:hAnsi="宋体" w:cs="Arial" w:hint="eastAsia"/>
          <w:b/>
          <w:bCs/>
          <w:color w:val="000000" w:themeColor="text1"/>
          <w:kern w:val="0"/>
          <w:sz w:val="24"/>
          <w:szCs w:val="24"/>
        </w:rPr>
        <w:t>非直销销售机构</w:t>
      </w:r>
    </w:p>
    <w:p w:rsidR="00475105" w:rsidRPr="005D3AB5" w:rsidRDefault="00D42103" w:rsidP="00475105">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本基金管理人可根据有关法律法规的要求，选择符合要求的机构销售本基金，并在</w:t>
      </w:r>
      <w:r w:rsidR="000535E8">
        <w:rPr>
          <w:rFonts w:ascii="宋体" w:eastAsia="宋体" w:hAnsi="宋体" w:cs="Arial" w:hint="eastAsia"/>
          <w:color w:val="000000" w:themeColor="text1"/>
          <w:kern w:val="0"/>
          <w:sz w:val="24"/>
          <w:szCs w:val="24"/>
        </w:rPr>
        <w:t>基金</w:t>
      </w:r>
      <w:r w:rsidRPr="00D42103">
        <w:rPr>
          <w:rFonts w:ascii="宋体" w:eastAsia="宋体" w:hAnsi="宋体" w:cs="Arial" w:hint="eastAsia"/>
          <w:color w:val="000000" w:themeColor="text1"/>
          <w:kern w:val="0"/>
          <w:sz w:val="24"/>
          <w:szCs w:val="24"/>
        </w:rPr>
        <w:t>管理人网站公示。</w:t>
      </w:r>
    </w:p>
    <w:p w:rsidR="00D42103" w:rsidRDefault="007A585D" w:rsidP="0035261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投资人可以通过本基金销售机构办理本基金日常申购、赎回</w:t>
      </w:r>
      <w:r w:rsidR="003C4917">
        <w:rPr>
          <w:rFonts w:ascii="宋体" w:eastAsia="宋体" w:hAnsi="宋体" w:cs="Arial" w:hint="eastAsia"/>
          <w:color w:val="000000" w:themeColor="text1"/>
          <w:kern w:val="0"/>
          <w:sz w:val="24"/>
          <w:szCs w:val="24"/>
        </w:rPr>
        <w:t>、转换</w:t>
      </w:r>
      <w:r w:rsidRPr="008B1F27">
        <w:rPr>
          <w:rFonts w:ascii="宋体" w:eastAsia="宋体" w:hAnsi="宋体" w:cs="Arial" w:hint="eastAsia"/>
          <w:color w:val="000000" w:themeColor="text1"/>
          <w:kern w:val="0"/>
          <w:sz w:val="24"/>
          <w:szCs w:val="24"/>
        </w:rPr>
        <w:t>及定投业务（</w:t>
      </w:r>
      <w:r w:rsidR="00D42103">
        <w:rPr>
          <w:rFonts w:ascii="宋体" w:eastAsia="宋体" w:hAnsi="宋体" w:cs="Arial" w:hint="eastAsia"/>
          <w:color w:val="000000" w:themeColor="text1"/>
          <w:kern w:val="0"/>
          <w:sz w:val="24"/>
          <w:szCs w:val="24"/>
        </w:rPr>
        <w:t>非直销销售</w:t>
      </w:r>
      <w:r w:rsidRPr="008B1F27">
        <w:rPr>
          <w:rFonts w:ascii="宋体" w:eastAsia="宋体" w:hAnsi="宋体" w:cs="Arial" w:hint="eastAsia"/>
          <w:color w:val="000000" w:themeColor="text1"/>
          <w:kern w:val="0"/>
          <w:sz w:val="24"/>
          <w:szCs w:val="24"/>
        </w:rPr>
        <w:t>机构办理基金的业务范围不同，具体请咨询各</w:t>
      </w:r>
      <w:r w:rsidR="00D42103">
        <w:rPr>
          <w:rFonts w:ascii="宋体" w:eastAsia="宋体" w:hAnsi="宋体" w:cs="Arial" w:hint="eastAsia"/>
          <w:color w:val="000000" w:themeColor="text1"/>
          <w:kern w:val="0"/>
          <w:sz w:val="24"/>
          <w:szCs w:val="24"/>
        </w:rPr>
        <w:t>非直销销售</w:t>
      </w:r>
      <w:r w:rsidRPr="008B1F27">
        <w:rPr>
          <w:rFonts w:ascii="宋体" w:eastAsia="宋体" w:hAnsi="宋体" w:cs="Arial" w:hint="eastAsia"/>
          <w:color w:val="000000" w:themeColor="text1"/>
          <w:kern w:val="0"/>
          <w:sz w:val="24"/>
          <w:szCs w:val="24"/>
        </w:rPr>
        <w:t>机构）。</w:t>
      </w:r>
      <w:r w:rsidR="005A7B7A" w:rsidRPr="005A7B7A">
        <w:rPr>
          <w:rFonts w:ascii="宋体" w:eastAsia="宋体" w:hAnsi="宋体" w:cs="Arial" w:hint="eastAsia"/>
          <w:color w:val="000000" w:themeColor="text1"/>
          <w:kern w:val="0"/>
          <w:sz w:val="24"/>
          <w:szCs w:val="24"/>
        </w:rPr>
        <w:t>基金管理人可根据情况变更或增减销售机构，并在</w:t>
      </w:r>
      <w:r w:rsidR="000535E8">
        <w:rPr>
          <w:rFonts w:ascii="宋体" w:eastAsia="宋体" w:hAnsi="宋体" w:cs="Arial" w:hint="eastAsia"/>
          <w:color w:val="000000" w:themeColor="text1"/>
          <w:kern w:val="0"/>
          <w:sz w:val="24"/>
          <w:szCs w:val="24"/>
        </w:rPr>
        <w:t>基金</w:t>
      </w:r>
      <w:r w:rsidR="005A7B7A" w:rsidRPr="005A7B7A">
        <w:rPr>
          <w:rFonts w:ascii="宋体" w:eastAsia="宋体" w:hAnsi="宋体" w:cs="Arial" w:hint="eastAsia"/>
          <w:color w:val="000000" w:themeColor="text1"/>
          <w:kern w:val="0"/>
          <w:sz w:val="24"/>
          <w:szCs w:val="24"/>
        </w:rPr>
        <w:t>管理人网站公示</w:t>
      </w:r>
      <w:r w:rsidRPr="008B1F27">
        <w:rPr>
          <w:rFonts w:ascii="宋体" w:eastAsia="宋体" w:hAnsi="宋体" w:cs="Arial" w:hint="eastAsia"/>
          <w:color w:val="000000" w:themeColor="text1"/>
          <w:kern w:val="0"/>
          <w:sz w:val="24"/>
          <w:szCs w:val="24"/>
        </w:rPr>
        <w:t>，敬请投资人留意。</w:t>
      </w:r>
    </w:p>
    <w:p w:rsidR="008B1F27" w:rsidRPr="008B1F27" w:rsidRDefault="008B1F27" w:rsidP="007A585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8</w:t>
      </w:r>
      <w:r w:rsidR="00FD53BC" w:rsidRPr="008B1F27">
        <w:rPr>
          <w:rFonts w:ascii="宋体" w:eastAsia="宋体" w:hAnsi="宋体" w:cs="Arial"/>
          <w:b/>
          <w:bCs/>
          <w:color w:val="000000" w:themeColor="text1"/>
          <w:kern w:val="0"/>
          <w:sz w:val="24"/>
          <w:szCs w:val="24"/>
        </w:rPr>
        <w:t>. 基金份额净值公告/基金收益公告的披露安排</w:t>
      </w:r>
    </w:p>
    <w:p w:rsidR="003C4917" w:rsidRPr="003C4917" w:rsidRDefault="003C4917" w:rsidP="003C4917">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bookmarkStart w:id="1" w:name="t_2_8_2756_a1_fm1"/>
      <w:bookmarkEnd w:id="1"/>
      <w:r w:rsidRPr="003C4917">
        <w:rPr>
          <w:rFonts w:ascii="宋体" w:eastAsia="宋体" w:hAnsi="宋体" w:cs="Arial" w:hint="eastAsia"/>
          <w:color w:val="000000" w:themeColor="text1"/>
          <w:kern w:val="0"/>
          <w:sz w:val="24"/>
          <w:szCs w:val="24"/>
        </w:rPr>
        <w:t>在开始办理基金份额申购或者赎回后，基金管理人应当在不晚于每个开放日的次日，通过</w:t>
      </w:r>
      <w:r w:rsidR="00BF15FA">
        <w:rPr>
          <w:rFonts w:ascii="宋体" w:eastAsia="宋体" w:hAnsi="宋体" w:cs="Arial" w:hint="eastAsia"/>
          <w:color w:val="000000" w:themeColor="text1"/>
          <w:kern w:val="0"/>
          <w:sz w:val="24"/>
          <w:szCs w:val="24"/>
        </w:rPr>
        <w:t>规定</w:t>
      </w:r>
      <w:r w:rsidRPr="003C4917">
        <w:rPr>
          <w:rFonts w:ascii="宋体" w:eastAsia="宋体" w:hAnsi="宋体" w:cs="Arial" w:hint="eastAsia"/>
          <w:color w:val="000000" w:themeColor="text1"/>
          <w:kern w:val="0"/>
          <w:sz w:val="24"/>
          <w:szCs w:val="24"/>
        </w:rPr>
        <w:t>网站、基金销售机构网站或者营业网点披露开放日的</w:t>
      </w:r>
      <w:r w:rsidR="00713532">
        <w:rPr>
          <w:rFonts w:ascii="宋体" w:eastAsia="宋体" w:hAnsi="宋体" w:cs="Arial" w:hint="eastAsia"/>
          <w:color w:val="000000" w:themeColor="text1"/>
          <w:kern w:val="0"/>
          <w:sz w:val="24"/>
          <w:szCs w:val="24"/>
        </w:rPr>
        <w:t>各类</w:t>
      </w:r>
      <w:r w:rsidRPr="003C4917">
        <w:rPr>
          <w:rFonts w:ascii="宋体" w:eastAsia="宋体" w:hAnsi="宋体" w:cs="Arial" w:hint="eastAsia"/>
          <w:color w:val="000000" w:themeColor="text1"/>
          <w:kern w:val="0"/>
          <w:sz w:val="24"/>
          <w:szCs w:val="24"/>
        </w:rPr>
        <w:t>基金份额净值和</w:t>
      </w:r>
      <w:r w:rsidR="00713532">
        <w:rPr>
          <w:rFonts w:ascii="宋体" w:eastAsia="宋体" w:hAnsi="宋体" w:cs="Arial" w:hint="eastAsia"/>
          <w:color w:val="000000" w:themeColor="text1"/>
          <w:kern w:val="0"/>
          <w:sz w:val="24"/>
          <w:szCs w:val="24"/>
        </w:rPr>
        <w:t>各类</w:t>
      </w:r>
      <w:r w:rsidRPr="003C4917">
        <w:rPr>
          <w:rFonts w:ascii="宋体" w:eastAsia="宋体" w:hAnsi="宋体" w:cs="Arial" w:hint="eastAsia"/>
          <w:color w:val="000000" w:themeColor="text1"/>
          <w:kern w:val="0"/>
          <w:sz w:val="24"/>
          <w:szCs w:val="24"/>
        </w:rPr>
        <w:t>基金份额累计净值。</w:t>
      </w:r>
    </w:p>
    <w:p w:rsidR="0002092E" w:rsidRDefault="003C4917" w:rsidP="0002092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3C4917">
        <w:rPr>
          <w:rFonts w:ascii="宋体" w:eastAsia="宋体" w:hAnsi="宋体" w:cs="Arial" w:hint="eastAsia"/>
          <w:color w:val="000000" w:themeColor="text1"/>
          <w:kern w:val="0"/>
          <w:sz w:val="24"/>
          <w:szCs w:val="24"/>
        </w:rPr>
        <w:t>基金管理人应当在不晚于半年度和年度最后一日的次日，在</w:t>
      </w:r>
      <w:r w:rsidR="00BF15FA">
        <w:rPr>
          <w:rFonts w:ascii="宋体" w:eastAsia="宋体" w:hAnsi="宋体" w:cs="Arial" w:hint="eastAsia"/>
          <w:color w:val="000000" w:themeColor="text1"/>
          <w:kern w:val="0"/>
          <w:sz w:val="24"/>
          <w:szCs w:val="24"/>
        </w:rPr>
        <w:t>规定</w:t>
      </w:r>
      <w:r w:rsidRPr="003C4917">
        <w:rPr>
          <w:rFonts w:ascii="宋体" w:eastAsia="宋体" w:hAnsi="宋体" w:cs="Arial" w:hint="eastAsia"/>
          <w:color w:val="000000" w:themeColor="text1"/>
          <w:kern w:val="0"/>
          <w:sz w:val="24"/>
          <w:szCs w:val="24"/>
        </w:rPr>
        <w:t>网站披露半年度和年度最后一日</w:t>
      </w:r>
      <w:r w:rsidR="00713532">
        <w:rPr>
          <w:rFonts w:ascii="宋体" w:eastAsia="宋体" w:hAnsi="宋体" w:cs="Arial" w:hint="eastAsia"/>
          <w:color w:val="000000" w:themeColor="text1"/>
          <w:kern w:val="0"/>
          <w:sz w:val="24"/>
          <w:szCs w:val="24"/>
        </w:rPr>
        <w:t>的各类</w:t>
      </w:r>
      <w:r w:rsidRPr="003C4917">
        <w:rPr>
          <w:rFonts w:ascii="宋体" w:eastAsia="宋体" w:hAnsi="宋体" w:cs="Arial" w:hint="eastAsia"/>
          <w:color w:val="000000" w:themeColor="text1"/>
          <w:kern w:val="0"/>
          <w:sz w:val="24"/>
          <w:szCs w:val="24"/>
        </w:rPr>
        <w:t>基金份额净值和</w:t>
      </w:r>
      <w:r w:rsidR="00713532">
        <w:rPr>
          <w:rFonts w:ascii="宋体" w:eastAsia="宋体" w:hAnsi="宋体" w:cs="Arial" w:hint="eastAsia"/>
          <w:color w:val="000000" w:themeColor="text1"/>
          <w:kern w:val="0"/>
          <w:sz w:val="24"/>
          <w:szCs w:val="24"/>
        </w:rPr>
        <w:t>各类</w:t>
      </w:r>
      <w:r w:rsidRPr="003C4917">
        <w:rPr>
          <w:rFonts w:ascii="宋体" w:eastAsia="宋体" w:hAnsi="宋体" w:cs="Arial" w:hint="eastAsia"/>
          <w:color w:val="000000" w:themeColor="text1"/>
          <w:kern w:val="0"/>
          <w:sz w:val="24"/>
          <w:szCs w:val="24"/>
        </w:rPr>
        <w:t>基金份额累计净值。</w:t>
      </w:r>
    </w:p>
    <w:p w:rsidR="00EC0026" w:rsidRPr="008B1F27" w:rsidRDefault="00EC0026"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9</w:t>
      </w:r>
      <w:r w:rsidR="00FD53BC" w:rsidRPr="008B1F27">
        <w:rPr>
          <w:rFonts w:ascii="宋体" w:eastAsia="宋体" w:hAnsi="宋体" w:cs="Arial"/>
          <w:b/>
          <w:bCs/>
          <w:color w:val="000000" w:themeColor="text1"/>
          <w:kern w:val="0"/>
          <w:sz w:val="24"/>
          <w:szCs w:val="24"/>
        </w:rPr>
        <w:t>. 其他需要提示的事项</w:t>
      </w:r>
    </w:p>
    <w:p w:rsidR="00D87011" w:rsidRPr="00D87011"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本公告仅对本基金上述业务的有关事项予以说明。投资人欲了解本基金的详细情况，请仔细阅读</w:t>
      </w:r>
      <w:r w:rsidR="00A9575C" w:rsidRPr="008B1F27">
        <w:rPr>
          <w:rFonts w:ascii="宋体" w:eastAsia="宋体" w:hAnsi="宋体" w:cs="Arial" w:hint="eastAsia"/>
          <w:color w:val="000000" w:themeColor="text1"/>
          <w:kern w:val="0"/>
          <w:sz w:val="24"/>
          <w:szCs w:val="24"/>
        </w:rPr>
        <w:t>刊登</w:t>
      </w:r>
      <w:r w:rsidRPr="008B1F27">
        <w:rPr>
          <w:rFonts w:ascii="宋体" w:eastAsia="宋体" w:hAnsi="宋体" w:cs="Arial"/>
          <w:color w:val="000000" w:themeColor="text1"/>
          <w:kern w:val="0"/>
          <w:sz w:val="24"/>
          <w:szCs w:val="24"/>
        </w:rPr>
        <w:t>在</w:t>
      </w:r>
      <w:r w:rsidR="00821C10" w:rsidRPr="008B1F27">
        <w:rPr>
          <w:rFonts w:ascii="宋体" w:eastAsia="宋体" w:hAnsi="宋体" w:cs="Arial" w:hint="eastAsia"/>
          <w:color w:val="000000" w:themeColor="text1"/>
          <w:kern w:val="0"/>
          <w:sz w:val="24"/>
          <w:szCs w:val="24"/>
        </w:rPr>
        <w:t>中国证监会</w:t>
      </w:r>
      <w:r w:rsidR="00BF15FA">
        <w:rPr>
          <w:rFonts w:ascii="宋体" w:eastAsia="宋体" w:hAnsi="宋体" w:cs="Arial" w:hint="eastAsia"/>
          <w:color w:val="000000" w:themeColor="text1"/>
          <w:kern w:val="0"/>
          <w:sz w:val="24"/>
          <w:szCs w:val="24"/>
        </w:rPr>
        <w:t>规定</w:t>
      </w:r>
      <w:r w:rsidR="008C03EA"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上的《</w:t>
      </w:r>
      <w:r w:rsidR="003A1E9E">
        <w:rPr>
          <w:rFonts w:ascii="宋体" w:eastAsia="宋体" w:hAnsi="宋体" w:cs="Arial" w:hint="eastAsia"/>
          <w:color w:val="000000" w:themeColor="text1"/>
          <w:kern w:val="0"/>
          <w:sz w:val="24"/>
          <w:szCs w:val="24"/>
        </w:rPr>
        <w:t>前海开源北证50成份指数型发起式证券投资基金</w:t>
      </w:r>
      <w:r w:rsidRPr="008B1F27">
        <w:rPr>
          <w:rFonts w:ascii="宋体" w:eastAsia="宋体" w:hAnsi="宋体" w:cs="Arial"/>
          <w:color w:val="000000" w:themeColor="text1"/>
          <w:kern w:val="0"/>
          <w:sz w:val="24"/>
          <w:szCs w:val="24"/>
        </w:rPr>
        <w:t>招募说明书》</w:t>
      </w:r>
      <w:r w:rsidR="00D77196" w:rsidRPr="008B1F27">
        <w:rPr>
          <w:rFonts w:ascii="宋体" w:eastAsia="宋体" w:hAnsi="宋体" w:cs="Arial" w:hint="eastAsia"/>
          <w:color w:val="000000" w:themeColor="text1"/>
          <w:kern w:val="0"/>
          <w:sz w:val="24"/>
          <w:szCs w:val="24"/>
        </w:rPr>
        <w:t>，</w:t>
      </w:r>
      <w:r w:rsidRPr="008B1F27">
        <w:rPr>
          <w:rFonts w:ascii="宋体" w:eastAsia="宋体" w:hAnsi="宋体" w:cs="Arial"/>
          <w:color w:val="000000" w:themeColor="text1"/>
          <w:kern w:val="0"/>
          <w:sz w:val="24"/>
          <w:szCs w:val="24"/>
        </w:rPr>
        <w:t>亦可到基金管理人网站（www.qhkyfund.com）</w:t>
      </w:r>
      <w:r w:rsidR="002B053B" w:rsidRPr="002B053B">
        <w:rPr>
          <w:rFonts w:ascii="宋体" w:eastAsia="宋体" w:hAnsi="宋体" w:cs="Arial" w:hint="eastAsia"/>
          <w:color w:val="000000" w:themeColor="text1"/>
          <w:kern w:val="0"/>
          <w:sz w:val="24"/>
          <w:szCs w:val="24"/>
        </w:rPr>
        <w:t>或中国证监会基金电子披露网站（http://eid.csrc.gov.cn/fund）</w:t>
      </w:r>
      <w:r w:rsidRPr="008B1F27">
        <w:rPr>
          <w:rFonts w:ascii="宋体" w:eastAsia="宋体" w:hAnsi="宋体" w:cs="Arial"/>
          <w:color w:val="000000" w:themeColor="text1"/>
          <w:kern w:val="0"/>
          <w:sz w:val="24"/>
          <w:szCs w:val="24"/>
        </w:rPr>
        <w:t>查询。</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对未开设销售网点地区的投资人及希望了解本基金其它有关信息的投资人，可拨打基金管理人的客户服务热线（4001-666-998）咨询相关事宜。</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由于各</w:t>
      </w:r>
      <w:r w:rsidR="00D42103">
        <w:rPr>
          <w:rFonts w:ascii="宋体" w:eastAsia="宋体" w:hAnsi="宋体" w:cs="Arial" w:hint="eastAsia"/>
          <w:color w:val="000000" w:themeColor="text1"/>
          <w:kern w:val="0"/>
          <w:sz w:val="24"/>
          <w:szCs w:val="24"/>
        </w:rPr>
        <w:t>非直销</w:t>
      </w:r>
      <w:r w:rsidR="00D42103">
        <w:rPr>
          <w:rFonts w:ascii="宋体" w:eastAsia="宋体" w:hAnsi="宋体" w:cs="Arial"/>
          <w:color w:val="000000" w:themeColor="text1"/>
          <w:kern w:val="0"/>
          <w:sz w:val="24"/>
          <w:szCs w:val="24"/>
        </w:rPr>
        <w:t>销售</w:t>
      </w:r>
      <w:r w:rsidRPr="008B1F27">
        <w:rPr>
          <w:rFonts w:ascii="宋体" w:eastAsia="宋体" w:hAnsi="宋体" w:cs="Arial"/>
          <w:color w:val="000000" w:themeColor="text1"/>
          <w:kern w:val="0"/>
          <w:sz w:val="24"/>
          <w:szCs w:val="24"/>
        </w:rPr>
        <w:t>机构系统及业务安排等原因，可能开展上述业务的时间有所不同，投资</w:t>
      </w:r>
      <w:r w:rsidR="001C6802" w:rsidRPr="008B1F27">
        <w:rPr>
          <w:rFonts w:ascii="宋体" w:eastAsia="宋体" w:hAnsi="宋体" w:cs="Arial" w:hint="eastAsia"/>
          <w:color w:val="000000" w:themeColor="text1"/>
          <w:kern w:val="0"/>
          <w:sz w:val="24"/>
          <w:szCs w:val="24"/>
        </w:rPr>
        <w:t>人</w:t>
      </w:r>
      <w:r w:rsidRPr="008B1F27">
        <w:rPr>
          <w:rFonts w:ascii="宋体" w:eastAsia="宋体" w:hAnsi="宋体" w:cs="Arial"/>
          <w:color w:val="000000" w:themeColor="text1"/>
          <w:kern w:val="0"/>
          <w:sz w:val="24"/>
          <w:szCs w:val="24"/>
        </w:rPr>
        <w:t>应以各</w:t>
      </w:r>
      <w:r w:rsidR="00D42103">
        <w:rPr>
          <w:rFonts w:ascii="宋体" w:eastAsia="宋体" w:hAnsi="宋体" w:cs="Arial" w:hint="eastAsia"/>
          <w:color w:val="000000" w:themeColor="text1"/>
          <w:kern w:val="0"/>
          <w:sz w:val="24"/>
          <w:szCs w:val="24"/>
        </w:rPr>
        <w:t>非直销</w:t>
      </w:r>
      <w:r w:rsidR="00D42103">
        <w:rPr>
          <w:rFonts w:ascii="宋体" w:eastAsia="宋体" w:hAnsi="宋体" w:cs="Arial"/>
          <w:color w:val="000000" w:themeColor="text1"/>
          <w:kern w:val="0"/>
          <w:sz w:val="24"/>
          <w:szCs w:val="24"/>
        </w:rPr>
        <w:t>销售</w:t>
      </w:r>
      <w:r w:rsidRPr="008B1F27">
        <w:rPr>
          <w:rFonts w:ascii="宋体" w:eastAsia="宋体" w:hAnsi="宋体" w:cs="Arial"/>
          <w:color w:val="000000" w:themeColor="text1"/>
          <w:kern w:val="0"/>
          <w:sz w:val="24"/>
          <w:szCs w:val="24"/>
        </w:rPr>
        <w:t>机构具体规定的时间为准。</w:t>
      </w:r>
    </w:p>
    <w:p w:rsidR="002E347C" w:rsidRDefault="00FD53BC" w:rsidP="00DD1346">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上述业务的解释权归本基金管理人。</w:t>
      </w:r>
    </w:p>
    <w:p w:rsidR="008B1F27" w:rsidRDefault="008B1F27" w:rsidP="002E347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DD763F" w:rsidRDefault="00FD53BC" w:rsidP="00E6250E">
      <w:pPr>
        <w:widowControl/>
        <w:shd w:val="clear" w:color="auto" w:fill="FFFFFF"/>
        <w:adjustRightInd w:val="0"/>
        <w:snapToGrid w:val="0"/>
        <w:spacing w:line="360" w:lineRule="auto"/>
        <w:ind w:firstLineChars="200" w:firstLine="482"/>
        <w:rPr>
          <w:rFonts w:ascii="宋体" w:eastAsia="宋体" w:hAnsi="宋体" w:cs="Arial"/>
          <w:b/>
          <w:color w:val="000000" w:themeColor="text1"/>
          <w:kern w:val="0"/>
          <w:sz w:val="24"/>
          <w:szCs w:val="24"/>
        </w:rPr>
      </w:pPr>
      <w:r w:rsidRPr="002E347C">
        <w:rPr>
          <w:rFonts w:ascii="宋体" w:eastAsia="宋体" w:hAnsi="宋体" w:cs="Arial"/>
          <w:b/>
          <w:color w:val="000000" w:themeColor="text1"/>
          <w:kern w:val="0"/>
          <w:sz w:val="24"/>
          <w:szCs w:val="24"/>
        </w:rPr>
        <w:t>风险提示：</w:t>
      </w:r>
      <w:r w:rsidR="00E6250E" w:rsidRPr="00E6250E">
        <w:rPr>
          <w:rFonts w:ascii="宋体" w:eastAsia="宋体" w:hAnsi="宋体" w:cs="Arial" w:hint="eastAsia"/>
          <w:b/>
          <w:color w:val="000000" w:themeColor="text1"/>
          <w:kern w:val="0"/>
          <w:sz w:val="24"/>
          <w:szCs w:val="24"/>
        </w:rPr>
        <w:t>基金管理人承诺本着诚实信用、勤勉尽责的原则管理和运用基金资产，但不保证基金一定盈利，也不保证最低收益。投资人投资本基金前应认真阅读本基金的基金合同、招募说明书、</w:t>
      </w:r>
      <w:r w:rsidR="00A973A1">
        <w:rPr>
          <w:rFonts w:ascii="宋体" w:eastAsia="宋体" w:hAnsi="宋体" w:cs="Arial" w:hint="eastAsia"/>
          <w:b/>
          <w:color w:val="000000" w:themeColor="text1"/>
          <w:kern w:val="0"/>
          <w:sz w:val="24"/>
          <w:szCs w:val="24"/>
        </w:rPr>
        <w:t>基金</w:t>
      </w:r>
      <w:r w:rsidR="00E6250E" w:rsidRPr="00E6250E">
        <w:rPr>
          <w:rFonts w:ascii="宋体" w:eastAsia="宋体" w:hAnsi="宋体" w:cs="Arial" w:hint="eastAsia"/>
          <w:b/>
          <w:color w:val="000000" w:themeColor="text1"/>
          <w:kern w:val="0"/>
          <w:sz w:val="24"/>
          <w:szCs w:val="24"/>
        </w:rPr>
        <w:t>产品资料概要(及其更新文件)等法律文件。</w:t>
      </w:r>
      <w:r w:rsidR="00DD763F" w:rsidRPr="00DD763F">
        <w:rPr>
          <w:rFonts w:ascii="宋体" w:eastAsia="宋体" w:hAnsi="宋体" w:cs="Arial" w:hint="eastAsia"/>
          <w:b/>
          <w:color w:val="000000" w:themeColor="text1"/>
          <w:kern w:val="0"/>
          <w:sz w:val="24"/>
          <w:szCs w:val="24"/>
        </w:rPr>
        <w:t>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敬请投资者留意投资风险。</w:t>
      </w:r>
    </w:p>
    <w:p w:rsidR="005A5C2D" w:rsidRDefault="00E6250E" w:rsidP="00E6250E">
      <w:pPr>
        <w:widowControl/>
        <w:shd w:val="clear" w:color="auto" w:fill="FFFFFF"/>
        <w:adjustRightInd w:val="0"/>
        <w:snapToGrid w:val="0"/>
        <w:spacing w:line="360" w:lineRule="auto"/>
        <w:ind w:firstLineChars="200" w:firstLine="482"/>
        <w:rPr>
          <w:rFonts w:ascii="宋体" w:eastAsia="宋体" w:hAnsi="宋体" w:cs="Arial"/>
          <w:b/>
          <w:color w:val="000000" w:themeColor="text1"/>
          <w:kern w:val="0"/>
          <w:sz w:val="24"/>
          <w:szCs w:val="24"/>
        </w:rPr>
      </w:pPr>
      <w:r w:rsidRPr="00E6250E">
        <w:rPr>
          <w:rFonts w:ascii="宋体" w:eastAsia="宋体" w:hAnsi="宋体" w:cs="Arial" w:hint="eastAsia"/>
          <w:b/>
          <w:color w:val="000000" w:themeColor="text1"/>
          <w:kern w:val="0"/>
          <w:sz w:val="24"/>
          <w:szCs w:val="24"/>
        </w:rPr>
        <w:t>基金转换是指投资者可将其通过销售机构购买并持有的本公司旗下某只开放式基金的全部或部分基金份额转换为本公司管理的其他开放式基金的基金份额。转换的两只基金必须都是由同一销售机构销售、同一基金管理人管理、并在同一登记机构处</w:t>
      </w:r>
      <w:r w:rsidR="000535E8">
        <w:rPr>
          <w:rFonts w:ascii="宋体" w:eastAsia="宋体" w:hAnsi="宋体" w:cs="Arial" w:hint="eastAsia"/>
          <w:b/>
          <w:color w:val="000000" w:themeColor="text1"/>
          <w:kern w:val="0"/>
          <w:sz w:val="24"/>
          <w:szCs w:val="24"/>
        </w:rPr>
        <w:t>注册</w:t>
      </w:r>
      <w:r w:rsidRPr="00E6250E">
        <w:rPr>
          <w:rFonts w:ascii="宋体" w:eastAsia="宋体" w:hAnsi="宋体" w:cs="Arial" w:hint="eastAsia"/>
          <w:b/>
          <w:color w:val="000000" w:themeColor="text1"/>
          <w:kern w:val="0"/>
          <w:sz w:val="24"/>
          <w:szCs w:val="24"/>
        </w:rPr>
        <w:t>登记的基金。同一基金不同份额之间暂不开通转换。基金转换费用与转换业务规则可参照本公司发布的《前海开源基金管理有限公司关于旗下基金开通转换业务并在直销机构实行申购补差费率优惠的公告》、《前海开源基金管理有限公司关于调整旗下部分开放式证券投资基金转换业务补差费用计算方法的公告》等相关公告。</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特此公告</w:t>
      </w:r>
    </w:p>
    <w:p w:rsidR="00B31DD9" w:rsidRPr="008B1F27" w:rsidRDefault="00B31DD9"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FD53BC" w:rsidP="00B31DD9">
      <w:pPr>
        <w:widowControl/>
        <w:shd w:val="clear" w:color="auto" w:fill="FFFFFF"/>
        <w:adjustRightInd w:val="0"/>
        <w:snapToGrid w:val="0"/>
        <w:spacing w:line="360" w:lineRule="auto"/>
        <w:ind w:firstLineChars="200" w:firstLine="480"/>
        <w:jc w:val="right"/>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前海开源基金管理有限公司</w:t>
      </w:r>
    </w:p>
    <w:p w:rsidR="00053E97" w:rsidRPr="00842941" w:rsidRDefault="00370653" w:rsidP="0025087C">
      <w:pPr>
        <w:widowControl/>
        <w:shd w:val="clear" w:color="auto" w:fill="FFFFFF"/>
        <w:adjustRightInd w:val="0"/>
        <w:snapToGrid w:val="0"/>
        <w:spacing w:line="360" w:lineRule="auto"/>
        <w:ind w:firstLineChars="200" w:firstLine="480"/>
        <w:jc w:val="right"/>
        <w:rPr>
          <w:rFonts w:ascii="宋体" w:eastAsia="宋体" w:hAnsi="宋体"/>
          <w:color w:val="000000" w:themeColor="text1"/>
          <w:sz w:val="24"/>
          <w:szCs w:val="24"/>
        </w:rPr>
      </w:pPr>
      <w:r w:rsidRPr="008B1F27">
        <w:rPr>
          <w:rFonts w:ascii="宋体" w:eastAsia="宋体" w:hAnsi="宋体" w:cs="Arial"/>
          <w:color w:val="000000" w:themeColor="text1"/>
          <w:kern w:val="0"/>
          <w:sz w:val="24"/>
          <w:szCs w:val="24"/>
        </w:rPr>
        <w:t>二〇二</w:t>
      </w:r>
      <w:r w:rsidR="00D42103">
        <w:rPr>
          <w:rFonts w:ascii="宋体" w:eastAsia="宋体" w:hAnsi="宋体" w:cs="Arial" w:hint="eastAsia"/>
          <w:color w:val="000000" w:themeColor="text1"/>
          <w:kern w:val="0"/>
          <w:sz w:val="24"/>
          <w:szCs w:val="24"/>
        </w:rPr>
        <w:t>五</w:t>
      </w:r>
      <w:r w:rsidRPr="008B1F27">
        <w:rPr>
          <w:rFonts w:ascii="宋体" w:eastAsia="宋体" w:hAnsi="宋体" w:cs="Arial"/>
          <w:color w:val="000000" w:themeColor="text1"/>
          <w:kern w:val="0"/>
          <w:sz w:val="24"/>
          <w:szCs w:val="24"/>
        </w:rPr>
        <w:t>年</w:t>
      </w:r>
      <w:r w:rsidR="0070747F">
        <w:rPr>
          <w:rFonts w:ascii="宋体" w:eastAsia="宋体" w:hAnsi="宋体" w:cs="Arial" w:hint="eastAsia"/>
          <w:color w:val="000000" w:themeColor="text1"/>
          <w:kern w:val="0"/>
          <w:sz w:val="24"/>
          <w:szCs w:val="24"/>
        </w:rPr>
        <w:t>三</w:t>
      </w:r>
      <w:r w:rsidRPr="008B1F27">
        <w:rPr>
          <w:rFonts w:ascii="宋体" w:eastAsia="宋体" w:hAnsi="宋体" w:cs="Arial" w:hint="eastAsia"/>
          <w:color w:val="000000" w:themeColor="text1"/>
          <w:kern w:val="0"/>
          <w:sz w:val="24"/>
          <w:szCs w:val="24"/>
        </w:rPr>
        <w:t>月</w:t>
      </w:r>
      <w:r w:rsidR="00D42103">
        <w:rPr>
          <w:rFonts w:ascii="宋体" w:eastAsia="宋体" w:hAnsi="宋体" w:cs="Arial"/>
          <w:color w:val="000000" w:themeColor="text1"/>
          <w:kern w:val="0"/>
          <w:sz w:val="24"/>
          <w:szCs w:val="24"/>
        </w:rPr>
        <w:t>十</w:t>
      </w:r>
      <w:r w:rsidR="0070747F">
        <w:rPr>
          <w:rFonts w:ascii="宋体" w:eastAsia="宋体" w:hAnsi="宋体" w:cs="Arial" w:hint="eastAsia"/>
          <w:color w:val="000000" w:themeColor="text1"/>
          <w:kern w:val="0"/>
          <w:sz w:val="24"/>
          <w:szCs w:val="24"/>
        </w:rPr>
        <w:t>七</w:t>
      </w:r>
      <w:r w:rsidRPr="008B1F27">
        <w:rPr>
          <w:rFonts w:ascii="宋体" w:eastAsia="宋体" w:hAnsi="宋体" w:cs="Arial" w:hint="eastAsia"/>
          <w:color w:val="000000" w:themeColor="text1"/>
          <w:kern w:val="0"/>
          <w:sz w:val="24"/>
          <w:szCs w:val="24"/>
        </w:rPr>
        <w:t>日</w:t>
      </w:r>
    </w:p>
    <w:sectPr w:rsidR="00053E97" w:rsidRPr="00842941" w:rsidSect="008A5B0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3A0" w:rsidRDefault="004D73A0" w:rsidP="00564377">
      <w:r>
        <w:separator/>
      </w:r>
    </w:p>
  </w:endnote>
  <w:endnote w:type="continuationSeparator" w:id="0">
    <w:p w:rsidR="004D73A0" w:rsidRDefault="004D73A0" w:rsidP="00564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323029"/>
      <w:docPartObj>
        <w:docPartGallery w:val="Page Numbers (Bottom of Page)"/>
        <w:docPartUnique/>
      </w:docPartObj>
    </w:sdtPr>
    <w:sdtContent>
      <w:p w:rsidR="00111063" w:rsidRDefault="002042EA">
        <w:pPr>
          <w:pStyle w:val="a8"/>
          <w:jc w:val="center"/>
        </w:pPr>
        <w:r>
          <w:fldChar w:fldCharType="begin"/>
        </w:r>
        <w:r w:rsidR="00111063">
          <w:instrText>PAGE   \* MERGEFORMAT</w:instrText>
        </w:r>
        <w:r>
          <w:fldChar w:fldCharType="separate"/>
        </w:r>
        <w:r w:rsidR="002C586D" w:rsidRPr="002C586D">
          <w:rPr>
            <w:noProof/>
            <w:lang w:val="zh-CN"/>
          </w:rPr>
          <w:t>1</w:t>
        </w:r>
        <w:r>
          <w:fldChar w:fldCharType="end"/>
        </w:r>
      </w:p>
    </w:sdtContent>
  </w:sdt>
  <w:p w:rsidR="00111063" w:rsidRDefault="0011106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3A0" w:rsidRDefault="004D73A0" w:rsidP="00564377">
      <w:r>
        <w:separator/>
      </w:r>
    </w:p>
  </w:footnote>
  <w:footnote w:type="continuationSeparator" w:id="0">
    <w:p w:rsidR="004D73A0" w:rsidRDefault="004D73A0" w:rsidP="00564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63" w:rsidRPr="00564377" w:rsidRDefault="00111063" w:rsidP="00417BDA">
    <w:pPr>
      <w:pStyle w:val="a7"/>
      <w:tabs>
        <w:tab w:val="clear" w:pos="4153"/>
        <w:tab w:val="clear" w:pos="8306"/>
        <w:tab w:val="left" w:pos="3180"/>
      </w:tabs>
      <w:jc w:val="both"/>
    </w:pPr>
    <w:r>
      <w:rPr>
        <w:noProof/>
      </w:rPr>
      <w:drawing>
        <wp:inline distT="0" distB="0" distL="0" distR="0">
          <wp:extent cx="1276350" cy="3188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主logo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5736" cy="318704"/>
                  </a:xfrm>
                  <a:prstGeom prst="rect">
                    <a:avLst/>
                  </a:prstGeom>
                </pic:spPr>
              </pic:pic>
            </a:graphicData>
          </a:graphic>
        </wp:inline>
      </w:drawing>
    </w: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临时公告</w:t>
    </w:r>
  </w:p>
  <w:p w:rsidR="00111063" w:rsidRPr="00417BDA" w:rsidRDefault="00111063" w:rsidP="00B9765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63B9"/>
    <w:multiLevelType w:val="multilevel"/>
    <w:tmpl w:val="08DC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442E8"/>
    <w:multiLevelType w:val="multilevel"/>
    <w:tmpl w:val="0BC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12378"/>
    <w:multiLevelType w:val="multilevel"/>
    <w:tmpl w:val="CDFA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9531E"/>
    <w:multiLevelType w:val="multilevel"/>
    <w:tmpl w:val="DCB6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61C94"/>
    <w:multiLevelType w:val="multilevel"/>
    <w:tmpl w:val="37A8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32A22"/>
    <w:multiLevelType w:val="multilevel"/>
    <w:tmpl w:val="1B38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3F092D"/>
    <w:multiLevelType w:val="multilevel"/>
    <w:tmpl w:val="882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704DF"/>
    <w:multiLevelType w:val="multilevel"/>
    <w:tmpl w:val="2C6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D07BD"/>
    <w:multiLevelType w:val="multilevel"/>
    <w:tmpl w:val="35D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9315D"/>
    <w:multiLevelType w:val="multilevel"/>
    <w:tmpl w:val="FA92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74CA6"/>
    <w:multiLevelType w:val="multilevel"/>
    <w:tmpl w:val="780E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F4572"/>
    <w:multiLevelType w:val="hybridMultilevel"/>
    <w:tmpl w:val="FCDC1F02"/>
    <w:lvl w:ilvl="0" w:tplc="E2C4116E">
      <w:start w:val="1"/>
      <w:numFmt w:val="decimal"/>
      <w:lvlText w:val="%1."/>
      <w:lvlJc w:val="left"/>
      <w:pPr>
        <w:ind w:left="840" w:hanging="360"/>
      </w:pPr>
      <w:rPr>
        <w:rFonts w:hint="default"/>
        <w:b/>
        <w:sz w:val="2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B3F64B1"/>
    <w:multiLevelType w:val="multilevel"/>
    <w:tmpl w:val="348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F67CE"/>
    <w:multiLevelType w:val="multilevel"/>
    <w:tmpl w:val="3D5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323E9D"/>
    <w:multiLevelType w:val="multilevel"/>
    <w:tmpl w:val="769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334444"/>
    <w:multiLevelType w:val="multilevel"/>
    <w:tmpl w:val="6C74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30380D"/>
    <w:multiLevelType w:val="multilevel"/>
    <w:tmpl w:val="0E4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0747A7"/>
    <w:multiLevelType w:val="hybridMultilevel"/>
    <w:tmpl w:val="F9EC7F1E"/>
    <w:lvl w:ilvl="0" w:tplc="4E9E883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BC70C94"/>
    <w:multiLevelType w:val="multilevel"/>
    <w:tmpl w:val="902C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4657A2"/>
    <w:multiLevelType w:val="multilevel"/>
    <w:tmpl w:val="474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DB489B"/>
    <w:multiLevelType w:val="multilevel"/>
    <w:tmpl w:val="3F5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8B4C77"/>
    <w:multiLevelType w:val="multilevel"/>
    <w:tmpl w:val="87DC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0"/>
  </w:num>
  <w:num w:numId="4">
    <w:abstractNumId w:val="9"/>
  </w:num>
  <w:num w:numId="5">
    <w:abstractNumId w:val="18"/>
  </w:num>
  <w:num w:numId="6">
    <w:abstractNumId w:val="14"/>
  </w:num>
  <w:num w:numId="7">
    <w:abstractNumId w:val="4"/>
  </w:num>
  <w:num w:numId="8">
    <w:abstractNumId w:val="13"/>
  </w:num>
  <w:num w:numId="9">
    <w:abstractNumId w:val="6"/>
  </w:num>
  <w:num w:numId="10">
    <w:abstractNumId w:val="15"/>
  </w:num>
  <w:num w:numId="11">
    <w:abstractNumId w:val="19"/>
  </w:num>
  <w:num w:numId="12">
    <w:abstractNumId w:val="12"/>
  </w:num>
  <w:num w:numId="13">
    <w:abstractNumId w:val="8"/>
  </w:num>
  <w:num w:numId="14">
    <w:abstractNumId w:val="16"/>
  </w:num>
  <w:num w:numId="15">
    <w:abstractNumId w:val="7"/>
  </w:num>
  <w:num w:numId="16">
    <w:abstractNumId w:val="3"/>
  </w:num>
  <w:num w:numId="17">
    <w:abstractNumId w:val="1"/>
  </w:num>
  <w:num w:numId="18">
    <w:abstractNumId w:val="20"/>
  </w:num>
  <w:num w:numId="19">
    <w:abstractNumId w:val="2"/>
  </w:num>
  <w:num w:numId="20">
    <w:abstractNumId w:val="5"/>
  </w:num>
  <w:num w:numId="21">
    <w:abstractNumId w:val="1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16D"/>
    <w:rsid w:val="00000D23"/>
    <w:rsid w:val="000020D1"/>
    <w:rsid w:val="00005DF6"/>
    <w:rsid w:val="00006F30"/>
    <w:rsid w:val="0000734F"/>
    <w:rsid w:val="0001164A"/>
    <w:rsid w:val="0002092E"/>
    <w:rsid w:val="00022481"/>
    <w:rsid w:val="000302D4"/>
    <w:rsid w:val="00035434"/>
    <w:rsid w:val="00035F3F"/>
    <w:rsid w:val="000378AB"/>
    <w:rsid w:val="00040BEB"/>
    <w:rsid w:val="00043FFA"/>
    <w:rsid w:val="00045593"/>
    <w:rsid w:val="00046817"/>
    <w:rsid w:val="00052654"/>
    <w:rsid w:val="00053499"/>
    <w:rsid w:val="000535E8"/>
    <w:rsid w:val="00053E97"/>
    <w:rsid w:val="00056513"/>
    <w:rsid w:val="00057467"/>
    <w:rsid w:val="00061096"/>
    <w:rsid w:val="00061A69"/>
    <w:rsid w:val="00071664"/>
    <w:rsid w:val="00071F33"/>
    <w:rsid w:val="000762CF"/>
    <w:rsid w:val="000825DD"/>
    <w:rsid w:val="00085D6B"/>
    <w:rsid w:val="00086C1C"/>
    <w:rsid w:val="0009025E"/>
    <w:rsid w:val="000903BD"/>
    <w:rsid w:val="000906D2"/>
    <w:rsid w:val="0009634F"/>
    <w:rsid w:val="00097094"/>
    <w:rsid w:val="000A12A4"/>
    <w:rsid w:val="000A365E"/>
    <w:rsid w:val="000B5021"/>
    <w:rsid w:val="000C1BC3"/>
    <w:rsid w:val="000C2719"/>
    <w:rsid w:val="000C2A1E"/>
    <w:rsid w:val="000C2E50"/>
    <w:rsid w:val="000C36C0"/>
    <w:rsid w:val="000C522F"/>
    <w:rsid w:val="000C6A8D"/>
    <w:rsid w:val="000D05FD"/>
    <w:rsid w:val="000D1E5B"/>
    <w:rsid w:val="000D26E2"/>
    <w:rsid w:val="000D5B84"/>
    <w:rsid w:val="000E4935"/>
    <w:rsid w:val="000F11B8"/>
    <w:rsid w:val="000F5D27"/>
    <w:rsid w:val="000F7235"/>
    <w:rsid w:val="000F7505"/>
    <w:rsid w:val="00100BC3"/>
    <w:rsid w:val="001073D1"/>
    <w:rsid w:val="00111063"/>
    <w:rsid w:val="00112F85"/>
    <w:rsid w:val="001138A8"/>
    <w:rsid w:val="00114BB9"/>
    <w:rsid w:val="00115C55"/>
    <w:rsid w:val="00123CE6"/>
    <w:rsid w:val="001267A8"/>
    <w:rsid w:val="001270E5"/>
    <w:rsid w:val="001310A7"/>
    <w:rsid w:val="001362B6"/>
    <w:rsid w:val="00141D2D"/>
    <w:rsid w:val="001448F3"/>
    <w:rsid w:val="00146AB9"/>
    <w:rsid w:val="00146B4E"/>
    <w:rsid w:val="00151AEA"/>
    <w:rsid w:val="001533AD"/>
    <w:rsid w:val="0016375E"/>
    <w:rsid w:val="00164AEE"/>
    <w:rsid w:val="0016570E"/>
    <w:rsid w:val="00167C91"/>
    <w:rsid w:val="00174D40"/>
    <w:rsid w:val="00175DE5"/>
    <w:rsid w:val="00186045"/>
    <w:rsid w:val="00190FFB"/>
    <w:rsid w:val="00193034"/>
    <w:rsid w:val="00193445"/>
    <w:rsid w:val="0019567F"/>
    <w:rsid w:val="001A03F7"/>
    <w:rsid w:val="001A6EA7"/>
    <w:rsid w:val="001B38FE"/>
    <w:rsid w:val="001B3C8A"/>
    <w:rsid w:val="001B48CE"/>
    <w:rsid w:val="001B4C6E"/>
    <w:rsid w:val="001B6CA3"/>
    <w:rsid w:val="001B7D87"/>
    <w:rsid w:val="001C2757"/>
    <w:rsid w:val="001C4974"/>
    <w:rsid w:val="001C5C35"/>
    <w:rsid w:val="001C6802"/>
    <w:rsid w:val="001D267D"/>
    <w:rsid w:val="001D511D"/>
    <w:rsid w:val="001D5F8A"/>
    <w:rsid w:val="001D742C"/>
    <w:rsid w:val="001E6974"/>
    <w:rsid w:val="001E742A"/>
    <w:rsid w:val="001E7B3F"/>
    <w:rsid w:val="001F0961"/>
    <w:rsid w:val="00201D7D"/>
    <w:rsid w:val="00202A8A"/>
    <w:rsid w:val="002042EA"/>
    <w:rsid w:val="002157D9"/>
    <w:rsid w:val="00215EA1"/>
    <w:rsid w:val="00217647"/>
    <w:rsid w:val="002233CB"/>
    <w:rsid w:val="002250F1"/>
    <w:rsid w:val="00230610"/>
    <w:rsid w:val="00230793"/>
    <w:rsid w:val="0023121A"/>
    <w:rsid w:val="00232331"/>
    <w:rsid w:val="00232EFD"/>
    <w:rsid w:val="00233CC9"/>
    <w:rsid w:val="00236E71"/>
    <w:rsid w:val="00246602"/>
    <w:rsid w:val="00246F8C"/>
    <w:rsid w:val="0025087C"/>
    <w:rsid w:val="0025416F"/>
    <w:rsid w:val="0025520F"/>
    <w:rsid w:val="00256F76"/>
    <w:rsid w:val="00261EE7"/>
    <w:rsid w:val="00262CB2"/>
    <w:rsid w:val="00263DA5"/>
    <w:rsid w:val="00267F31"/>
    <w:rsid w:val="002701B3"/>
    <w:rsid w:val="0027383B"/>
    <w:rsid w:val="00275BDD"/>
    <w:rsid w:val="00277D27"/>
    <w:rsid w:val="00281A74"/>
    <w:rsid w:val="002833E8"/>
    <w:rsid w:val="00283843"/>
    <w:rsid w:val="00285908"/>
    <w:rsid w:val="002860AB"/>
    <w:rsid w:val="00291D2D"/>
    <w:rsid w:val="002922B1"/>
    <w:rsid w:val="00294CFA"/>
    <w:rsid w:val="00295ADA"/>
    <w:rsid w:val="00297A0D"/>
    <w:rsid w:val="00297C5F"/>
    <w:rsid w:val="002A1E52"/>
    <w:rsid w:val="002A6148"/>
    <w:rsid w:val="002B053B"/>
    <w:rsid w:val="002B0CE9"/>
    <w:rsid w:val="002B1F46"/>
    <w:rsid w:val="002B3EB3"/>
    <w:rsid w:val="002B4282"/>
    <w:rsid w:val="002C1023"/>
    <w:rsid w:val="002C1E04"/>
    <w:rsid w:val="002C4ECF"/>
    <w:rsid w:val="002C586D"/>
    <w:rsid w:val="002C77ED"/>
    <w:rsid w:val="002D4764"/>
    <w:rsid w:val="002E0301"/>
    <w:rsid w:val="002E347C"/>
    <w:rsid w:val="002E6824"/>
    <w:rsid w:val="002F24D6"/>
    <w:rsid w:val="002F26AA"/>
    <w:rsid w:val="002F316D"/>
    <w:rsid w:val="002F3DD8"/>
    <w:rsid w:val="002F4A29"/>
    <w:rsid w:val="002F4AAD"/>
    <w:rsid w:val="002F6BDC"/>
    <w:rsid w:val="0030104C"/>
    <w:rsid w:val="00303822"/>
    <w:rsid w:val="0030531D"/>
    <w:rsid w:val="0030576E"/>
    <w:rsid w:val="003129AE"/>
    <w:rsid w:val="0031375D"/>
    <w:rsid w:val="00315F61"/>
    <w:rsid w:val="00323FAF"/>
    <w:rsid w:val="00326F88"/>
    <w:rsid w:val="003339A6"/>
    <w:rsid w:val="0035261C"/>
    <w:rsid w:val="00356FDF"/>
    <w:rsid w:val="00357ADB"/>
    <w:rsid w:val="0036217B"/>
    <w:rsid w:val="00362782"/>
    <w:rsid w:val="003664A1"/>
    <w:rsid w:val="00370653"/>
    <w:rsid w:val="00373AF9"/>
    <w:rsid w:val="00374D8B"/>
    <w:rsid w:val="00386F33"/>
    <w:rsid w:val="0039345E"/>
    <w:rsid w:val="00396C68"/>
    <w:rsid w:val="0039748C"/>
    <w:rsid w:val="003A092F"/>
    <w:rsid w:val="003A1E9E"/>
    <w:rsid w:val="003B5BF3"/>
    <w:rsid w:val="003C0265"/>
    <w:rsid w:val="003C2848"/>
    <w:rsid w:val="003C3756"/>
    <w:rsid w:val="003C4917"/>
    <w:rsid w:val="003D4D10"/>
    <w:rsid w:val="003D5215"/>
    <w:rsid w:val="003D6877"/>
    <w:rsid w:val="003E3223"/>
    <w:rsid w:val="003E3B4F"/>
    <w:rsid w:val="003E50A4"/>
    <w:rsid w:val="003E5FE9"/>
    <w:rsid w:val="003E7069"/>
    <w:rsid w:val="003F0C33"/>
    <w:rsid w:val="003F2787"/>
    <w:rsid w:val="003F60B0"/>
    <w:rsid w:val="003F641A"/>
    <w:rsid w:val="00400CBD"/>
    <w:rsid w:val="00402104"/>
    <w:rsid w:val="0041420C"/>
    <w:rsid w:val="004170E4"/>
    <w:rsid w:val="004172CF"/>
    <w:rsid w:val="00417BDA"/>
    <w:rsid w:val="00422DF1"/>
    <w:rsid w:val="00424616"/>
    <w:rsid w:val="00426834"/>
    <w:rsid w:val="00427E8C"/>
    <w:rsid w:val="0043407A"/>
    <w:rsid w:val="00436D44"/>
    <w:rsid w:val="00440E7E"/>
    <w:rsid w:val="00441C2B"/>
    <w:rsid w:val="00446935"/>
    <w:rsid w:val="004514AD"/>
    <w:rsid w:val="004517B9"/>
    <w:rsid w:val="004529AD"/>
    <w:rsid w:val="004578CA"/>
    <w:rsid w:val="00464C03"/>
    <w:rsid w:val="0047051A"/>
    <w:rsid w:val="00471425"/>
    <w:rsid w:val="0047343D"/>
    <w:rsid w:val="00475105"/>
    <w:rsid w:val="004751F6"/>
    <w:rsid w:val="004774D2"/>
    <w:rsid w:val="00480C5E"/>
    <w:rsid w:val="00482610"/>
    <w:rsid w:val="0048431D"/>
    <w:rsid w:val="00495286"/>
    <w:rsid w:val="0049683E"/>
    <w:rsid w:val="004A27F2"/>
    <w:rsid w:val="004A2BB9"/>
    <w:rsid w:val="004A6A05"/>
    <w:rsid w:val="004B2891"/>
    <w:rsid w:val="004B29FB"/>
    <w:rsid w:val="004C37D2"/>
    <w:rsid w:val="004D2F25"/>
    <w:rsid w:val="004D73A0"/>
    <w:rsid w:val="004D7596"/>
    <w:rsid w:val="004E0BBF"/>
    <w:rsid w:val="004E4306"/>
    <w:rsid w:val="004F1A62"/>
    <w:rsid w:val="004F7351"/>
    <w:rsid w:val="00500BF1"/>
    <w:rsid w:val="0050578E"/>
    <w:rsid w:val="00506DEF"/>
    <w:rsid w:val="00506E92"/>
    <w:rsid w:val="0050794C"/>
    <w:rsid w:val="00512E06"/>
    <w:rsid w:val="005131A7"/>
    <w:rsid w:val="0051324F"/>
    <w:rsid w:val="00513E48"/>
    <w:rsid w:val="00514046"/>
    <w:rsid w:val="005164F5"/>
    <w:rsid w:val="00517616"/>
    <w:rsid w:val="00523596"/>
    <w:rsid w:val="00523F01"/>
    <w:rsid w:val="0052499F"/>
    <w:rsid w:val="0053020B"/>
    <w:rsid w:val="00531DBF"/>
    <w:rsid w:val="00532B0C"/>
    <w:rsid w:val="00532F9E"/>
    <w:rsid w:val="0053406B"/>
    <w:rsid w:val="00540274"/>
    <w:rsid w:val="00547E52"/>
    <w:rsid w:val="00553DCE"/>
    <w:rsid w:val="005542B8"/>
    <w:rsid w:val="00556975"/>
    <w:rsid w:val="00557428"/>
    <w:rsid w:val="005576E2"/>
    <w:rsid w:val="00563C3E"/>
    <w:rsid w:val="00564377"/>
    <w:rsid w:val="00571EB8"/>
    <w:rsid w:val="00576C11"/>
    <w:rsid w:val="005860B9"/>
    <w:rsid w:val="005863FF"/>
    <w:rsid w:val="005866C5"/>
    <w:rsid w:val="005874FB"/>
    <w:rsid w:val="005876A1"/>
    <w:rsid w:val="005A01CE"/>
    <w:rsid w:val="005A07FB"/>
    <w:rsid w:val="005A1041"/>
    <w:rsid w:val="005A5C2D"/>
    <w:rsid w:val="005A7B7A"/>
    <w:rsid w:val="005B22F1"/>
    <w:rsid w:val="005B23C8"/>
    <w:rsid w:val="005B6CF0"/>
    <w:rsid w:val="005B7651"/>
    <w:rsid w:val="005B7915"/>
    <w:rsid w:val="005C132B"/>
    <w:rsid w:val="005C5D11"/>
    <w:rsid w:val="005C5D25"/>
    <w:rsid w:val="005C64D1"/>
    <w:rsid w:val="005C7ED7"/>
    <w:rsid w:val="005D3420"/>
    <w:rsid w:val="005D365D"/>
    <w:rsid w:val="005D74B0"/>
    <w:rsid w:val="005E0AB1"/>
    <w:rsid w:val="005E3BE3"/>
    <w:rsid w:val="005E6DE4"/>
    <w:rsid w:val="005E7390"/>
    <w:rsid w:val="005F5871"/>
    <w:rsid w:val="00600BEE"/>
    <w:rsid w:val="00610E2A"/>
    <w:rsid w:val="00610FF7"/>
    <w:rsid w:val="00611D72"/>
    <w:rsid w:val="00612A9B"/>
    <w:rsid w:val="006146D6"/>
    <w:rsid w:val="00616840"/>
    <w:rsid w:val="00620CD2"/>
    <w:rsid w:val="00621BD5"/>
    <w:rsid w:val="0062381C"/>
    <w:rsid w:val="00624242"/>
    <w:rsid w:val="0063028B"/>
    <w:rsid w:val="00646155"/>
    <w:rsid w:val="0064720C"/>
    <w:rsid w:val="00652516"/>
    <w:rsid w:val="006545C0"/>
    <w:rsid w:val="00656DAE"/>
    <w:rsid w:val="00661C87"/>
    <w:rsid w:val="006622E7"/>
    <w:rsid w:val="00666457"/>
    <w:rsid w:val="006730CF"/>
    <w:rsid w:val="0067472C"/>
    <w:rsid w:val="006819D1"/>
    <w:rsid w:val="00685782"/>
    <w:rsid w:val="00686790"/>
    <w:rsid w:val="00692625"/>
    <w:rsid w:val="00693048"/>
    <w:rsid w:val="00695EC2"/>
    <w:rsid w:val="006A238C"/>
    <w:rsid w:val="006A404C"/>
    <w:rsid w:val="006A4BE8"/>
    <w:rsid w:val="006A5AFD"/>
    <w:rsid w:val="006A6262"/>
    <w:rsid w:val="006A6FAA"/>
    <w:rsid w:val="006A770C"/>
    <w:rsid w:val="006B0683"/>
    <w:rsid w:val="006B3157"/>
    <w:rsid w:val="006B6542"/>
    <w:rsid w:val="006C0109"/>
    <w:rsid w:val="006C0740"/>
    <w:rsid w:val="006C08A3"/>
    <w:rsid w:val="006C0ADD"/>
    <w:rsid w:val="006C0C14"/>
    <w:rsid w:val="006C0DA3"/>
    <w:rsid w:val="006C1F78"/>
    <w:rsid w:val="006C3B53"/>
    <w:rsid w:val="006C3CE7"/>
    <w:rsid w:val="006C4110"/>
    <w:rsid w:val="006D0F99"/>
    <w:rsid w:val="006D452B"/>
    <w:rsid w:val="006D55BB"/>
    <w:rsid w:val="006D5662"/>
    <w:rsid w:val="006D5DDB"/>
    <w:rsid w:val="006D64AD"/>
    <w:rsid w:val="006E0EEB"/>
    <w:rsid w:val="006E1A63"/>
    <w:rsid w:val="006E1DDE"/>
    <w:rsid w:val="006E7677"/>
    <w:rsid w:val="006F01E7"/>
    <w:rsid w:val="006F0B65"/>
    <w:rsid w:val="006F15D1"/>
    <w:rsid w:val="006F29F9"/>
    <w:rsid w:val="006F422A"/>
    <w:rsid w:val="006F4381"/>
    <w:rsid w:val="006F7540"/>
    <w:rsid w:val="00700F77"/>
    <w:rsid w:val="00705FC1"/>
    <w:rsid w:val="0070747F"/>
    <w:rsid w:val="00707B63"/>
    <w:rsid w:val="00713532"/>
    <w:rsid w:val="00720347"/>
    <w:rsid w:val="007223C2"/>
    <w:rsid w:val="00724B07"/>
    <w:rsid w:val="007255CC"/>
    <w:rsid w:val="007302D2"/>
    <w:rsid w:val="00730ED0"/>
    <w:rsid w:val="00734D8A"/>
    <w:rsid w:val="007352CB"/>
    <w:rsid w:val="00735B08"/>
    <w:rsid w:val="007446DB"/>
    <w:rsid w:val="00745D06"/>
    <w:rsid w:val="007474A8"/>
    <w:rsid w:val="00751597"/>
    <w:rsid w:val="00751BB6"/>
    <w:rsid w:val="00752066"/>
    <w:rsid w:val="007540BD"/>
    <w:rsid w:val="007600A8"/>
    <w:rsid w:val="007606E3"/>
    <w:rsid w:val="00761532"/>
    <w:rsid w:val="007618AC"/>
    <w:rsid w:val="00761BBA"/>
    <w:rsid w:val="00762C67"/>
    <w:rsid w:val="00763847"/>
    <w:rsid w:val="007664F5"/>
    <w:rsid w:val="00767853"/>
    <w:rsid w:val="00770198"/>
    <w:rsid w:val="00771006"/>
    <w:rsid w:val="00771F28"/>
    <w:rsid w:val="00774D18"/>
    <w:rsid w:val="00782C48"/>
    <w:rsid w:val="007848EB"/>
    <w:rsid w:val="0078533D"/>
    <w:rsid w:val="007856D9"/>
    <w:rsid w:val="007877A4"/>
    <w:rsid w:val="007903D8"/>
    <w:rsid w:val="00790CDE"/>
    <w:rsid w:val="007922AA"/>
    <w:rsid w:val="00794DF4"/>
    <w:rsid w:val="00797951"/>
    <w:rsid w:val="007A20F3"/>
    <w:rsid w:val="007A3E34"/>
    <w:rsid w:val="007A585D"/>
    <w:rsid w:val="007B0585"/>
    <w:rsid w:val="007B529B"/>
    <w:rsid w:val="007B59E5"/>
    <w:rsid w:val="007B74E9"/>
    <w:rsid w:val="007C470C"/>
    <w:rsid w:val="007C5E14"/>
    <w:rsid w:val="007D56A3"/>
    <w:rsid w:val="007D625C"/>
    <w:rsid w:val="007D6520"/>
    <w:rsid w:val="007E1539"/>
    <w:rsid w:val="007E4706"/>
    <w:rsid w:val="007F0784"/>
    <w:rsid w:val="007F4426"/>
    <w:rsid w:val="008006B8"/>
    <w:rsid w:val="0080173B"/>
    <w:rsid w:val="00802CA7"/>
    <w:rsid w:val="0080489E"/>
    <w:rsid w:val="008058C2"/>
    <w:rsid w:val="0081081F"/>
    <w:rsid w:val="00813D0A"/>
    <w:rsid w:val="0081412D"/>
    <w:rsid w:val="0081635C"/>
    <w:rsid w:val="00820380"/>
    <w:rsid w:val="00821C10"/>
    <w:rsid w:val="00825EA4"/>
    <w:rsid w:val="00831FE1"/>
    <w:rsid w:val="00834031"/>
    <w:rsid w:val="00837C6B"/>
    <w:rsid w:val="00840D73"/>
    <w:rsid w:val="008411E6"/>
    <w:rsid w:val="008420E4"/>
    <w:rsid w:val="00842941"/>
    <w:rsid w:val="008455E5"/>
    <w:rsid w:val="00845991"/>
    <w:rsid w:val="00850178"/>
    <w:rsid w:val="00850B03"/>
    <w:rsid w:val="00853C11"/>
    <w:rsid w:val="008542F1"/>
    <w:rsid w:val="00854F8F"/>
    <w:rsid w:val="00857384"/>
    <w:rsid w:val="00862FD8"/>
    <w:rsid w:val="008700CB"/>
    <w:rsid w:val="00873E07"/>
    <w:rsid w:val="00875002"/>
    <w:rsid w:val="00876F8F"/>
    <w:rsid w:val="0088236E"/>
    <w:rsid w:val="0088566C"/>
    <w:rsid w:val="00885CE4"/>
    <w:rsid w:val="00890937"/>
    <w:rsid w:val="00891818"/>
    <w:rsid w:val="00893EA7"/>
    <w:rsid w:val="00895110"/>
    <w:rsid w:val="00896481"/>
    <w:rsid w:val="008A029B"/>
    <w:rsid w:val="008A24FD"/>
    <w:rsid w:val="008A3D70"/>
    <w:rsid w:val="008A5B07"/>
    <w:rsid w:val="008A7E37"/>
    <w:rsid w:val="008B02E8"/>
    <w:rsid w:val="008B1F27"/>
    <w:rsid w:val="008B6D72"/>
    <w:rsid w:val="008B75B2"/>
    <w:rsid w:val="008C03EA"/>
    <w:rsid w:val="008C0813"/>
    <w:rsid w:val="008C1476"/>
    <w:rsid w:val="008C715E"/>
    <w:rsid w:val="008D15CF"/>
    <w:rsid w:val="008D27C8"/>
    <w:rsid w:val="008D3E73"/>
    <w:rsid w:val="008D5C0B"/>
    <w:rsid w:val="008D61B6"/>
    <w:rsid w:val="008D7DD0"/>
    <w:rsid w:val="008E4F58"/>
    <w:rsid w:val="008E5A68"/>
    <w:rsid w:val="008E76D0"/>
    <w:rsid w:val="008E7B95"/>
    <w:rsid w:val="008F42A8"/>
    <w:rsid w:val="008F5454"/>
    <w:rsid w:val="008F7FEE"/>
    <w:rsid w:val="00901B99"/>
    <w:rsid w:val="00901CDF"/>
    <w:rsid w:val="00902074"/>
    <w:rsid w:val="009070DB"/>
    <w:rsid w:val="00912D72"/>
    <w:rsid w:val="0092419D"/>
    <w:rsid w:val="00930B7A"/>
    <w:rsid w:val="00931F62"/>
    <w:rsid w:val="0093572A"/>
    <w:rsid w:val="00937AFA"/>
    <w:rsid w:val="00940935"/>
    <w:rsid w:val="0094143B"/>
    <w:rsid w:val="00943328"/>
    <w:rsid w:val="00945D8F"/>
    <w:rsid w:val="0094606C"/>
    <w:rsid w:val="00950888"/>
    <w:rsid w:val="009509E4"/>
    <w:rsid w:val="00961CDF"/>
    <w:rsid w:val="00962427"/>
    <w:rsid w:val="00962891"/>
    <w:rsid w:val="00964B05"/>
    <w:rsid w:val="009668F4"/>
    <w:rsid w:val="00972BB6"/>
    <w:rsid w:val="00973FB1"/>
    <w:rsid w:val="00975BFA"/>
    <w:rsid w:val="00976415"/>
    <w:rsid w:val="00977139"/>
    <w:rsid w:val="00982EC9"/>
    <w:rsid w:val="009839D9"/>
    <w:rsid w:val="00984786"/>
    <w:rsid w:val="00986641"/>
    <w:rsid w:val="009867CF"/>
    <w:rsid w:val="00993235"/>
    <w:rsid w:val="00997DC6"/>
    <w:rsid w:val="009A277D"/>
    <w:rsid w:val="009A43E3"/>
    <w:rsid w:val="009A7E70"/>
    <w:rsid w:val="009B05E3"/>
    <w:rsid w:val="009B0CCE"/>
    <w:rsid w:val="009C1561"/>
    <w:rsid w:val="009C1823"/>
    <w:rsid w:val="009D17DD"/>
    <w:rsid w:val="009D4098"/>
    <w:rsid w:val="009E3568"/>
    <w:rsid w:val="009F36F7"/>
    <w:rsid w:val="009F559B"/>
    <w:rsid w:val="009F6C2F"/>
    <w:rsid w:val="00A009AA"/>
    <w:rsid w:val="00A02369"/>
    <w:rsid w:val="00A06AFA"/>
    <w:rsid w:val="00A076B3"/>
    <w:rsid w:val="00A100B2"/>
    <w:rsid w:val="00A1575C"/>
    <w:rsid w:val="00A201A7"/>
    <w:rsid w:val="00A21BEA"/>
    <w:rsid w:val="00A230F2"/>
    <w:rsid w:val="00A30F3A"/>
    <w:rsid w:val="00A34B76"/>
    <w:rsid w:val="00A461C9"/>
    <w:rsid w:val="00A46763"/>
    <w:rsid w:val="00A475EC"/>
    <w:rsid w:val="00A508C0"/>
    <w:rsid w:val="00A554A5"/>
    <w:rsid w:val="00A55E8D"/>
    <w:rsid w:val="00A55FAE"/>
    <w:rsid w:val="00A61E03"/>
    <w:rsid w:val="00A62CCB"/>
    <w:rsid w:val="00A66C60"/>
    <w:rsid w:val="00A67174"/>
    <w:rsid w:val="00A70B5E"/>
    <w:rsid w:val="00A852C3"/>
    <w:rsid w:val="00A85BD0"/>
    <w:rsid w:val="00A865FF"/>
    <w:rsid w:val="00A91057"/>
    <w:rsid w:val="00A9575C"/>
    <w:rsid w:val="00A96A76"/>
    <w:rsid w:val="00A973A1"/>
    <w:rsid w:val="00A97CC0"/>
    <w:rsid w:val="00AA29FA"/>
    <w:rsid w:val="00AA2B88"/>
    <w:rsid w:val="00AA3CED"/>
    <w:rsid w:val="00AA45D0"/>
    <w:rsid w:val="00AA50DE"/>
    <w:rsid w:val="00AA7BD9"/>
    <w:rsid w:val="00AB026F"/>
    <w:rsid w:val="00AB1295"/>
    <w:rsid w:val="00AB13C2"/>
    <w:rsid w:val="00AB1518"/>
    <w:rsid w:val="00AB24CD"/>
    <w:rsid w:val="00AB2E31"/>
    <w:rsid w:val="00AB3344"/>
    <w:rsid w:val="00AB620B"/>
    <w:rsid w:val="00AC4D0F"/>
    <w:rsid w:val="00AE2DCD"/>
    <w:rsid w:val="00AE3B0E"/>
    <w:rsid w:val="00AE4F50"/>
    <w:rsid w:val="00AE65AC"/>
    <w:rsid w:val="00AE79DB"/>
    <w:rsid w:val="00AF1060"/>
    <w:rsid w:val="00AF508F"/>
    <w:rsid w:val="00B0410C"/>
    <w:rsid w:val="00B049D2"/>
    <w:rsid w:val="00B04CCA"/>
    <w:rsid w:val="00B13C3F"/>
    <w:rsid w:val="00B15440"/>
    <w:rsid w:val="00B15AB1"/>
    <w:rsid w:val="00B204D2"/>
    <w:rsid w:val="00B233CC"/>
    <w:rsid w:val="00B2458B"/>
    <w:rsid w:val="00B25108"/>
    <w:rsid w:val="00B31DD9"/>
    <w:rsid w:val="00B34FD7"/>
    <w:rsid w:val="00B409DB"/>
    <w:rsid w:val="00B51249"/>
    <w:rsid w:val="00B5253D"/>
    <w:rsid w:val="00B53CBD"/>
    <w:rsid w:val="00B5641A"/>
    <w:rsid w:val="00B5740D"/>
    <w:rsid w:val="00B57DEB"/>
    <w:rsid w:val="00B618A0"/>
    <w:rsid w:val="00B61BCE"/>
    <w:rsid w:val="00B70434"/>
    <w:rsid w:val="00B728ED"/>
    <w:rsid w:val="00B72A7F"/>
    <w:rsid w:val="00B74B48"/>
    <w:rsid w:val="00B7762C"/>
    <w:rsid w:val="00B82965"/>
    <w:rsid w:val="00B835EE"/>
    <w:rsid w:val="00B869E7"/>
    <w:rsid w:val="00B87A1A"/>
    <w:rsid w:val="00B97651"/>
    <w:rsid w:val="00BA275F"/>
    <w:rsid w:val="00BA2797"/>
    <w:rsid w:val="00BA316D"/>
    <w:rsid w:val="00BA40A6"/>
    <w:rsid w:val="00BA5ACE"/>
    <w:rsid w:val="00BA5C90"/>
    <w:rsid w:val="00BA70F0"/>
    <w:rsid w:val="00BB5665"/>
    <w:rsid w:val="00BB700D"/>
    <w:rsid w:val="00BC0DFC"/>
    <w:rsid w:val="00BC214C"/>
    <w:rsid w:val="00BC44E9"/>
    <w:rsid w:val="00BD2190"/>
    <w:rsid w:val="00BD2524"/>
    <w:rsid w:val="00BD6BCC"/>
    <w:rsid w:val="00BE12FB"/>
    <w:rsid w:val="00BE2093"/>
    <w:rsid w:val="00BE34BD"/>
    <w:rsid w:val="00BE585C"/>
    <w:rsid w:val="00BE67EA"/>
    <w:rsid w:val="00BF04E2"/>
    <w:rsid w:val="00BF091D"/>
    <w:rsid w:val="00BF0EBA"/>
    <w:rsid w:val="00BF15FA"/>
    <w:rsid w:val="00BF2E29"/>
    <w:rsid w:val="00BF436C"/>
    <w:rsid w:val="00BF4AED"/>
    <w:rsid w:val="00BF60AC"/>
    <w:rsid w:val="00BF70AD"/>
    <w:rsid w:val="00BF7694"/>
    <w:rsid w:val="00C013A7"/>
    <w:rsid w:val="00C01D4F"/>
    <w:rsid w:val="00C021A6"/>
    <w:rsid w:val="00C02CBB"/>
    <w:rsid w:val="00C077CA"/>
    <w:rsid w:val="00C07E23"/>
    <w:rsid w:val="00C07F70"/>
    <w:rsid w:val="00C1555D"/>
    <w:rsid w:val="00C20478"/>
    <w:rsid w:val="00C27432"/>
    <w:rsid w:val="00C27868"/>
    <w:rsid w:val="00C3290D"/>
    <w:rsid w:val="00C34BB3"/>
    <w:rsid w:val="00C37EBD"/>
    <w:rsid w:val="00C4018F"/>
    <w:rsid w:val="00C45586"/>
    <w:rsid w:val="00C52CEC"/>
    <w:rsid w:val="00C55052"/>
    <w:rsid w:val="00C57966"/>
    <w:rsid w:val="00C65E0A"/>
    <w:rsid w:val="00C72D60"/>
    <w:rsid w:val="00C76990"/>
    <w:rsid w:val="00C77B6D"/>
    <w:rsid w:val="00C834C8"/>
    <w:rsid w:val="00C85551"/>
    <w:rsid w:val="00C86984"/>
    <w:rsid w:val="00C86DDD"/>
    <w:rsid w:val="00C90384"/>
    <w:rsid w:val="00C9111A"/>
    <w:rsid w:val="00CA01D9"/>
    <w:rsid w:val="00CA308C"/>
    <w:rsid w:val="00CA5DC0"/>
    <w:rsid w:val="00CA6822"/>
    <w:rsid w:val="00CB07AC"/>
    <w:rsid w:val="00CB0A6D"/>
    <w:rsid w:val="00CB361B"/>
    <w:rsid w:val="00CB79A7"/>
    <w:rsid w:val="00CC44C4"/>
    <w:rsid w:val="00CC4EB2"/>
    <w:rsid w:val="00CD4773"/>
    <w:rsid w:val="00CD4A64"/>
    <w:rsid w:val="00CD63AF"/>
    <w:rsid w:val="00CE0840"/>
    <w:rsid w:val="00CE129C"/>
    <w:rsid w:val="00CE1B48"/>
    <w:rsid w:val="00CE2C8A"/>
    <w:rsid w:val="00CE4FE3"/>
    <w:rsid w:val="00CE576A"/>
    <w:rsid w:val="00CF38A8"/>
    <w:rsid w:val="00D04120"/>
    <w:rsid w:val="00D07ACF"/>
    <w:rsid w:val="00D10988"/>
    <w:rsid w:val="00D13088"/>
    <w:rsid w:val="00D1324B"/>
    <w:rsid w:val="00D15B24"/>
    <w:rsid w:val="00D2248E"/>
    <w:rsid w:val="00D2361E"/>
    <w:rsid w:val="00D273DB"/>
    <w:rsid w:val="00D274D4"/>
    <w:rsid w:val="00D31BB8"/>
    <w:rsid w:val="00D33594"/>
    <w:rsid w:val="00D34591"/>
    <w:rsid w:val="00D3477B"/>
    <w:rsid w:val="00D34789"/>
    <w:rsid w:val="00D34DAE"/>
    <w:rsid w:val="00D407B0"/>
    <w:rsid w:val="00D42103"/>
    <w:rsid w:val="00D428F4"/>
    <w:rsid w:val="00D436B2"/>
    <w:rsid w:val="00D44217"/>
    <w:rsid w:val="00D44B53"/>
    <w:rsid w:val="00D4749D"/>
    <w:rsid w:val="00D47E77"/>
    <w:rsid w:val="00D5535B"/>
    <w:rsid w:val="00D579AE"/>
    <w:rsid w:val="00D617FB"/>
    <w:rsid w:val="00D64230"/>
    <w:rsid w:val="00D64F16"/>
    <w:rsid w:val="00D66B63"/>
    <w:rsid w:val="00D718C5"/>
    <w:rsid w:val="00D76FA8"/>
    <w:rsid w:val="00D77196"/>
    <w:rsid w:val="00D87011"/>
    <w:rsid w:val="00D91F8C"/>
    <w:rsid w:val="00D92F27"/>
    <w:rsid w:val="00D93D3D"/>
    <w:rsid w:val="00DA0421"/>
    <w:rsid w:val="00DA52EB"/>
    <w:rsid w:val="00DA7DD1"/>
    <w:rsid w:val="00DB5FDB"/>
    <w:rsid w:val="00DC1126"/>
    <w:rsid w:val="00DC2D83"/>
    <w:rsid w:val="00DC30FD"/>
    <w:rsid w:val="00DD0692"/>
    <w:rsid w:val="00DD1346"/>
    <w:rsid w:val="00DD1C5F"/>
    <w:rsid w:val="00DD298A"/>
    <w:rsid w:val="00DD343D"/>
    <w:rsid w:val="00DD66C3"/>
    <w:rsid w:val="00DD6A0F"/>
    <w:rsid w:val="00DD763F"/>
    <w:rsid w:val="00DE6268"/>
    <w:rsid w:val="00DE6D6A"/>
    <w:rsid w:val="00DE6EF6"/>
    <w:rsid w:val="00E00E50"/>
    <w:rsid w:val="00E035B7"/>
    <w:rsid w:val="00E039AE"/>
    <w:rsid w:val="00E15ABB"/>
    <w:rsid w:val="00E1734F"/>
    <w:rsid w:val="00E17413"/>
    <w:rsid w:val="00E21648"/>
    <w:rsid w:val="00E23670"/>
    <w:rsid w:val="00E26366"/>
    <w:rsid w:val="00E32AFB"/>
    <w:rsid w:val="00E32D3F"/>
    <w:rsid w:val="00E51BF7"/>
    <w:rsid w:val="00E51CDF"/>
    <w:rsid w:val="00E562E1"/>
    <w:rsid w:val="00E57155"/>
    <w:rsid w:val="00E6250E"/>
    <w:rsid w:val="00E7001C"/>
    <w:rsid w:val="00E7046E"/>
    <w:rsid w:val="00E70793"/>
    <w:rsid w:val="00E77048"/>
    <w:rsid w:val="00E776B9"/>
    <w:rsid w:val="00E81CC6"/>
    <w:rsid w:val="00E837AB"/>
    <w:rsid w:val="00E906B7"/>
    <w:rsid w:val="00E909B9"/>
    <w:rsid w:val="00E959A3"/>
    <w:rsid w:val="00EA39EF"/>
    <w:rsid w:val="00EA72DF"/>
    <w:rsid w:val="00EB1F79"/>
    <w:rsid w:val="00EB3420"/>
    <w:rsid w:val="00EC0026"/>
    <w:rsid w:val="00EC0B76"/>
    <w:rsid w:val="00EC1325"/>
    <w:rsid w:val="00EC5D1F"/>
    <w:rsid w:val="00EC6A8D"/>
    <w:rsid w:val="00EC7135"/>
    <w:rsid w:val="00EC7411"/>
    <w:rsid w:val="00ED01F1"/>
    <w:rsid w:val="00ED3947"/>
    <w:rsid w:val="00ED71EB"/>
    <w:rsid w:val="00EE6F68"/>
    <w:rsid w:val="00EE7218"/>
    <w:rsid w:val="00EF09BF"/>
    <w:rsid w:val="00EF741C"/>
    <w:rsid w:val="00F01B7D"/>
    <w:rsid w:val="00F04212"/>
    <w:rsid w:val="00F04AF7"/>
    <w:rsid w:val="00F119E8"/>
    <w:rsid w:val="00F121F9"/>
    <w:rsid w:val="00F1326A"/>
    <w:rsid w:val="00F14275"/>
    <w:rsid w:val="00F2458C"/>
    <w:rsid w:val="00F24613"/>
    <w:rsid w:val="00F309A8"/>
    <w:rsid w:val="00F30A24"/>
    <w:rsid w:val="00F30B60"/>
    <w:rsid w:val="00F32B7D"/>
    <w:rsid w:val="00F33879"/>
    <w:rsid w:val="00F3545F"/>
    <w:rsid w:val="00F364B6"/>
    <w:rsid w:val="00F426BF"/>
    <w:rsid w:val="00F478FA"/>
    <w:rsid w:val="00F53C73"/>
    <w:rsid w:val="00F54259"/>
    <w:rsid w:val="00F5712E"/>
    <w:rsid w:val="00F57903"/>
    <w:rsid w:val="00F6192E"/>
    <w:rsid w:val="00F6287C"/>
    <w:rsid w:val="00F62A67"/>
    <w:rsid w:val="00F64B0C"/>
    <w:rsid w:val="00F67A14"/>
    <w:rsid w:val="00F70DF1"/>
    <w:rsid w:val="00F76B1C"/>
    <w:rsid w:val="00F82926"/>
    <w:rsid w:val="00F832E5"/>
    <w:rsid w:val="00F842BB"/>
    <w:rsid w:val="00F86985"/>
    <w:rsid w:val="00F929CB"/>
    <w:rsid w:val="00F95FF4"/>
    <w:rsid w:val="00F96E02"/>
    <w:rsid w:val="00FA4A02"/>
    <w:rsid w:val="00FA4D3F"/>
    <w:rsid w:val="00FA627D"/>
    <w:rsid w:val="00FA74BC"/>
    <w:rsid w:val="00FB05E3"/>
    <w:rsid w:val="00FB14A3"/>
    <w:rsid w:val="00FB1C09"/>
    <w:rsid w:val="00FB3BE6"/>
    <w:rsid w:val="00FB436F"/>
    <w:rsid w:val="00FC7A33"/>
    <w:rsid w:val="00FD00D9"/>
    <w:rsid w:val="00FD10EC"/>
    <w:rsid w:val="00FD3877"/>
    <w:rsid w:val="00FD4CE0"/>
    <w:rsid w:val="00FD4D55"/>
    <w:rsid w:val="00FD53BC"/>
    <w:rsid w:val="00FD67B0"/>
    <w:rsid w:val="00FE29A9"/>
    <w:rsid w:val="00FE2F6F"/>
    <w:rsid w:val="00FE4572"/>
    <w:rsid w:val="00FE6FED"/>
    <w:rsid w:val="00FE7C78"/>
    <w:rsid w:val="00FE7D69"/>
    <w:rsid w:val="00FF13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2EA"/>
    <w:pPr>
      <w:widowControl w:val="0"/>
      <w:jc w:val="both"/>
    </w:pPr>
  </w:style>
  <w:style w:type="paragraph" w:styleId="2">
    <w:name w:val="heading 2"/>
    <w:basedOn w:val="a"/>
    <w:link w:val="2Char"/>
    <w:uiPriority w:val="9"/>
    <w:qFormat/>
    <w:rsid w:val="00FD53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86641"/>
    <w:pPr>
      <w:ind w:leftChars="2500" w:left="100"/>
    </w:pPr>
  </w:style>
  <w:style w:type="character" w:customStyle="1" w:styleId="Char">
    <w:name w:val="日期 Char"/>
    <w:basedOn w:val="a0"/>
    <w:link w:val="a3"/>
    <w:uiPriority w:val="99"/>
    <w:semiHidden/>
    <w:rsid w:val="00986641"/>
  </w:style>
  <w:style w:type="paragraph" w:styleId="a4">
    <w:name w:val="Normal (Web)"/>
    <w:basedOn w:val="a"/>
    <w:unhideWhenUsed/>
    <w:rsid w:val="00986641"/>
    <w:pPr>
      <w:widowControl/>
      <w:jc w:val="left"/>
    </w:pPr>
    <w:rPr>
      <w:rFonts w:ascii="Arial" w:eastAsia="宋体" w:hAnsi="Arial" w:cs="Arial"/>
      <w:color w:val="474747"/>
      <w:kern w:val="0"/>
      <w:sz w:val="18"/>
      <w:szCs w:val="18"/>
    </w:rPr>
  </w:style>
  <w:style w:type="paragraph" w:customStyle="1" w:styleId="location">
    <w:name w:val="location"/>
    <w:basedOn w:val="a"/>
    <w:rsid w:val="00986641"/>
    <w:pPr>
      <w:widowControl/>
      <w:jc w:val="left"/>
    </w:pPr>
    <w:rPr>
      <w:rFonts w:ascii="Arial" w:eastAsia="宋体" w:hAnsi="Arial" w:cs="Arial"/>
      <w:color w:val="4C4948"/>
      <w:kern w:val="0"/>
      <w:sz w:val="18"/>
      <w:szCs w:val="18"/>
    </w:rPr>
  </w:style>
  <w:style w:type="paragraph" w:customStyle="1" w:styleId="copyright">
    <w:name w:val="copyright"/>
    <w:basedOn w:val="a"/>
    <w:rsid w:val="00986641"/>
    <w:pPr>
      <w:widowControl/>
      <w:spacing w:line="300" w:lineRule="atLeast"/>
      <w:jc w:val="center"/>
    </w:pPr>
    <w:rPr>
      <w:rFonts w:ascii="Arial" w:eastAsia="宋体" w:hAnsi="Arial" w:cs="Arial"/>
      <w:color w:val="848484"/>
      <w:kern w:val="0"/>
      <w:sz w:val="18"/>
      <w:szCs w:val="18"/>
    </w:rPr>
  </w:style>
  <w:style w:type="paragraph" w:customStyle="1" w:styleId="tel1">
    <w:name w:val="tel1"/>
    <w:basedOn w:val="a"/>
    <w:rsid w:val="00986641"/>
    <w:pPr>
      <w:widowControl/>
      <w:spacing w:after="150"/>
      <w:ind w:hanging="18913"/>
      <w:jc w:val="left"/>
    </w:pPr>
    <w:rPr>
      <w:rFonts w:ascii="Arial" w:eastAsia="宋体" w:hAnsi="Arial" w:cs="Arial"/>
      <w:color w:val="474747"/>
      <w:kern w:val="0"/>
      <w:sz w:val="18"/>
      <w:szCs w:val="18"/>
    </w:rPr>
  </w:style>
  <w:style w:type="paragraph" w:styleId="a5">
    <w:name w:val="Balloon Text"/>
    <w:basedOn w:val="a"/>
    <w:link w:val="Char0"/>
    <w:uiPriority w:val="99"/>
    <w:semiHidden/>
    <w:unhideWhenUsed/>
    <w:rsid w:val="00986641"/>
    <w:rPr>
      <w:sz w:val="18"/>
      <w:szCs w:val="18"/>
    </w:rPr>
  </w:style>
  <w:style w:type="character" w:customStyle="1" w:styleId="Char0">
    <w:name w:val="批注框文本 Char"/>
    <w:basedOn w:val="a0"/>
    <w:link w:val="a5"/>
    <w:uiPriority w:val="99"/>
    <w:semiHidden/>
    <w:rsid w:val="00986641"/>
    <w:rPr>
      <w:sz w:val="18"/>
      <w:szCs w:val="18"/>
    </w:rPr>
  </w:style>
  <w:style w:type="table" w:styleId="a6">
    <w:name w:val="Table Grid"/>
    <w:basedOn w:val="a1"/>
    <w:uiPriority w:val="59"/>
    <w:rsid w:val="00564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unhideWhenUsed/>
    <w:rsid w:val="005643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64377"/>
    <w:rPr>
      <w:sz w:val="18"/>
      <w:szCs w:val="18"/>
    </w:rPr>
  </w:style>
  <w:style w:type="paragraph" w:styleId="a8">
    <w:name w:val="footer"/>
    <w:basedOn w:val="a"/>
    <w:link w:val="Char2"/>
    <w:uiPriority w:val="99"/>
    <w:unhideWhenUsed/>
    <w:rsid w:val="00564377"/>
    <w:pPr>
      <w:tabs>
        <w:tab w:val="center" w:pos="4153"/>
        <w:tab w:val="right" w:pos="8306"/>
      </w:tabs>
      <w:snapToGrid w:val="0"/>
      <w:jc w:val="left"/>
    </w:pPr>
    <w:rPr>
      <w:sz w:val="18"/>
      <w:szCs w:val="18"/>
    </w:rPr>
  </w:style>
  <w:style w:type="character" w:customStyle="1" w:styleId="Char2">
    <w:name w:val="页脚 Char"/>
    <w:basedOn w:val="a0"/>
    <w:link w:val="a8"/>
    <w:uiPriority w:val="99"/>
    <w:rsid w:val="00564377"/>
    <w:rPr>
      <w:sz w:val="18"/>
      <w:szCs w:val="18"/>
    </w:rPr>
  </w:style>
  <w:style w:type="character" w:styleId="a9">
    <w:name w:val="Hyperlink"/>
    <w:basedOn w:val="a0"/>
    <w:uiPriority w:val="99"/>
    <w:unhideWhenUsed/>
    <w:rsid w:val="00C4018F"/>
    <w:rPr>
      <w:color w:val="0000FF" w:themeColor="hyperlink"/>
      <w:u w:val="single"/>
    </w:rPr>
  </w:style>
  <w:style w:type="character" w:customStyle="1" w:styleId="2Char">
    <w:name w:val="标题 2 Char"/>
    <w:basedOn w:val="a0"/>
    <w:link w:val="2"/>
    <w:uiPriority w:val="9"/>
    <w:rsid w:val="00FD53BC"/>
    <w:rPr>
      <w:rFonts w:ascii="宋体" w:eastAsia="宋体" w:hAnsi="宋体" w:cs="宋体"/>
      <w:b/>
      <w:bCs/>
      <w:kern w:val="0"/>
      <w:sz w:val="36"/>
      <w:szCs w:val="36"/>
    </w:rPr>
  </w:style>
  <w:style w:type="character" w:styleId="aa">
    <w:name w:val="Strong"/>
    <w:basedOn w:val="a0"/>
    <w:uiPriority w:val="22"/>
    <w:qFormat/>
    <w:rsid w:val="00FD53BC"/>
    <w:rPr>
      <w:b/>
      <w:bCs/>
    </w:rPr>
  </w:style>
  <w:style w:type="paragraph" w:styleId="ab">
    <w:name w:val="List Paragraph"/>
    <w:basedOn w:val="a"/>
    <w:uiPriority w:val="34"/>
    <w:qFormat/>
    <w:rsid w:val="00FA74BC"/>
    <w:pPr>
      <w:ind w:firstLineChars="200" w:firstLine="420"/>
    </w:pPr>
  </w:style>
  <w:style w:type="character" w:styleId="ac">
    <w:name w:val="annotation reference"/>
    <w:basedOn w:val="a0"/>
    <w:uiPriority w:val="99"/>
    <w:semiHidden/>
    <w:unhideWhenUsed/>
    <w:rsid w:val="00A9575C"/>
    <w:rPr>
      <w:sz w:val="21"/>
      <w:szCs w:val="21"/>
    </w:rPr>
  </w:style>
  <w:style w:type="paragraph" w:styleId="ad">
    <w:name w:val="annotation text"/>
    <w:basedOn w:val="a"/>
    <w:link w:val="Char3"/>
    <w:uiPriority w:val="99"/>
    <w:semiHidden/>
    <w:unhideWhenUsed/>
    <w:rsid w:val="00A9575C"/>
    <w:pPr>
      <w:jc w:val="left"/>
    </w:pPr>
  </w:style>
  <w:style w:type="character" w:customStyle="1" w:styleId="Char3">
    <w:name w:val="批注文字 Char"/>
    <w:basedOn w:val="a0"/>
    <w:link w:val="ad"/>
    <w:uiPriority w:val="99"/>
    <w:semiHidden/>
    <w:rsid w:val="00A9575C"/>
  </w:style>
  <w:style w:type="paragraph" w:styleId="ae">
    <w:name w:val="annotation subject"/>
    <w:basedOn w:val="ad"/>
    <w:next w:val="ad"/>
    <w:link w:val="Char4"/>
    <w:uiPriority w:val="99"/>
    <w:semiHidden/>
    <w:unhideWhenUsed/>
    <w:rsid w:val="00A9575C"/>
    <w:rPr>
      <w:b/>
      <w:bCs/>
    </w:rPr>
  </w:style>
  <w:style w:type="character" w:customStyle="1" w:styleId="Char4">
    <w:name w:val="批注主题 Char"/>
    <w:basedOn w:val="Char3"/>
    <w:link w:val="ae"/>
    <w:uiPriority w:val="99"/>
    <w:semiHidden/>
    <w:rsid w:val="00A9575C"/>
    <w:rPr>
      <w:b/>
      <w:bCs/>
    </w:rPr>
  </w:style>
  <w:style w:type="paragraph" w:styleId="af">
    <w:name w:val="Revision"/>
    <w:hidden/>
    <w:uiPriority w:val="99"/>
    <w:semiHidden/>
    <w:rsid w:val="00850178"/>
  </w:style>
  <w:style w:type="paragraph" w:styleId="3">
    <w:name w:val="Body Text 3"/>
    <w:basedOn w:val="a"/>
    <w:link w:val="3Char"/>
    <w:rsid w:val="00297A0D"/>
    <w:pPr>
      <w:autoSpaceDE w:val="0"/>
      <w:autoSpaceDN w:val="0"/>
      <w:adjustRightInd w:val="0"/>
      <w:spacing w:after="120" w:line="360" w:lineRule="auto"/>
      <w:textAlignment w:val="baseline"/>
    </w:pPr>
    <w:rPr>
      <w:rFonts w:ascii="Times New Roman" w:eastAsia="宋体" w:hAnsi="Times New Roman" w:cs="Times New Roman"/>
      <w:kern w:val="0"/>
      <w:sz w:val="24"/>
      <w:szCs w:val="20"/>
      <w:u w:val="single"/>
    </w:rPr>
  </w:style>
  <w:style w:type="character" w:customStyle="1" w:styleId="3Char">
    <w:name w:val="正文文本 3 Char"/>
    <w:basedOn w:val="a0"/>
    <w:link w:val="3"/>
    <w:rsid w:val="00297A0D"/>
    <w:rPr>
      <w:rFonts w:ascii="Times New Roman" w:eastAsia="宋体" w:hAnsi="Times New Roman" w:cs="Times New Roman"/>
      <w:kern w:val="0"/>
      <w:sz w:val="24"/>
      <w:szCs w:val="20"/>
      <w:u w:val="single"/>
    </w:rPr>
  </w:style>
  <w:style w:type="paragraph" w:customStyle="1" w:styleId="Default">
    <w:name w:val="Default"/>
    <w:rsid w:val="00BF0EBA"/>
    <w:pPr>
      <w:widowControl w:val="0"/>
      <w:autoSpaceDE w:val="0"/>
      <w:autoSpaceDN w:val="0"/>
      <w:adjustRightInd w:val="0"/>
    </w:pPr>
    <w:rPr>
      <w:rFonts w:ascii="宋体" w:hAnsi="宋体" w:cs="宋体"/>
      <w:color w:val="000000"/>
      <w:kern w:val="0"/>
      <w:sz w:val="24"/>
      <w:szCs w:val="24"/>
    </w:rPr>
  </w:style>
  <w:style w:type="paragraph" w:styleId="af0">
    <w:name w:val="caption"/>
    <w:basedOn w:val="a"/>
    <w:next w:val="a"/>
    <w:uiPriority w:val="35"/>
    <w:unhideWhenUsed/>
    <w:qFormat/>
    <w:rsid w:val="00C07E23"/>
    <w:rPr>
      <w:rFonts w:asciiTheme="majorHAnsi" w:eastAsia="黑体"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w:divs>
    <w:div w:id="6644581">
      <w:bodyDiv w:val="1"/>
      <w:marLeft w:val="0"/>
      <w:marRight w:val="0"/>
      <w:marTop w:val="0"/>
      <w:marBottom w:val="0"/>
      <w:divBdr>
        <w:top w:val="none" w:sz="0" w:space="0" w:color="auto"/>
        <w:left w:val="none" w:sz="0" w:space="0" w:color="auto"/>
        <w:bottom w:val="none" w:sz="0" w:space="0" w:color="auto"/>
        <w:right w:val="none" w:sz="0" w:space="0" w:color="auto"/>
      </w:divBdr>
    </w:div>
    <w:div w:id="26222201">
      <w:bodyDiv w:val="1"/>
      <w:marLeft w:val="0"/>
      <w:marRight w:val="0"/>
      <w:marTop w:val="0"/>
      <w:marBottom w:val="0"/>
      <w:divBdr>
        <w:top w:val="none" w:sz="0" w:space="0" w:color="auto"/>
        <w:left w:val="none" w:sz="0" w:space="0" w:color="auto"/>
        <w:bottom w:val="none" w:sz="0" w:space="0" w:color="auto"/>
        <w:right w:val="none" w:sz="0" w:space="0" w:color="auto"/>
      </w:divBdr>
    </w:div>
    <w:div w:id="149909441">
      <w:bodyDiv w:val="1"/>
      <w:marLeft w:val="0"/>
      <w:marRight w:val="0"/>
      <w:marTop w:val="0"/>
      <w:marBottom w:val="0"/>
      <w:divBdr>
        <w:top w:val="none" w:sz="0" w:space="0" w:color="auto"/>
        <w:left w:val="none" w:sz="0" w:space="0" w:color="auto"/>
        <w:bottom w:val="none" w:sz="0" w:space="0" w:color="auto"/>
        <w:right w:val="none" w:sz="0" w:space="0" w:color="auto"/>
      </w:divBdr>
    </w:div>
    <w:div w:id="170804645">
      <w:bodyDiv w:val="1"/>
      <w:marLeft w:val="0"/>
      <w:marRight w:val="0"/>
      <w:marTop w:val="0"/>
      <w:marBottom w:val="0"/>
      <w:divBdr>
        <w:top w:val="none" w:sz="0" w:space="0" w:color="auto"/>
        <w:left w:val="none" w:sz="0" w:space="0" w:color="auto"/>
        <w:bottom w:val="none" w:sz="0" w:space="0" w:color="auto"/>
        <w:right w:val="none" w:sz="0" w:space="0" w:color="auto"/>
      </w:divBdr>
      <w:divsChild>
        <w:div w:id="1162501648">
          <w:marLeft w:val="0"/>
          <w:marRight w:val="0"/>
          <w:marTop w:val="0"/>
          <w:marBottom w:val="150"/>
          <w:divBdr>
            <w:top w:val="none" w:sz="0" w:space="0" w:color="auto"/>
            <w:left w:val="none" w:sz="0" w:space="0" w:color="auto"/>
            <w:bottom w:val="single" w:sz="6" w:space="8" w:color="E0E0E0"/>
            <w:right w:val="none" w:sz="0" w:space="0" w:color="auto"/>
          </w:divBdr>
          <w:divsChild>
            <w:div w:id="1866553335">
              <w:marLeft w:val="0"/>
              <w:marRight w:val="0"/>
              <w:marTop w:val="0"/>
              <w:marBottom w:val="0"/>
              <w:divBdr>
                <w:top w:val="none" w:sz="0" w:space="0" w:color="auto"/>
                <w:left w:val="none" w:sz="0" w:space="0" w:color="auto"/>
                <w:bottom w:val="none" w:sz="0" w:space="0" w:color="auto"/>
                <w:right w:val="none" w:sz="0" w:space="0" w:color="auto"/>
              </w:divBdr>
            </w:div>
          </w:divsChild>
        </w:div>
        <w:div w:id="561986234">
          <w:marLeft w:val="0"/>
          <w:marRight w:val="0"/>
          <w:marTop w:val="0"/>
          <w:marBottom w:val="0"/>
          <w:divBdr>
            <w:top w:val="none" w:sz="0" w:space="0" w:color="auto"/>
            <w:left w:val="none" w:sz="0" w:space="0" w:color="auto"/>
            <w:bottom w:val="none" w:sz="0" w:space="0" w:color="auto"/>
            <w:right w:val="none" w:sz="0" w:space="0" w:color="auto"/>
          </w:divBdr>
        </w:div>
      </w:divsChild>
    </w:div>
    <w:div w:id="231162882">
      <w:marLeft w:val="0"/>
      <w:marRight w:val="0"/>
      <w:marTop w:val="120"/>
      <w:marBottom w:val="0"/>
      <w:divBdr>
        <w:top w:val="none" w:sz="0" w:space="0" w:color="auto"/>
        <w:left w:val="none" w:sz="0" w:space="0" w:color="auto"/>
        <w:bottom w:val="none" w:sz="0" w:space="0" w:color="auto"/>
        <w:right w:val="none" w:sz="0" w:space="0" w:color="auto"/>
      </w:divBdr>
      <w:divsChild>
        <w:div w:id="910040340">
          <w:marLeft w:val="0"/>
          <w:marRight w:val="0"/>
          <w:marTop w:val="0"/>
          <w:marBottom w:val="0"/>
          <w:divBdr>
            <w:top w:val="none" w:sz="0" w:space="0" w:color="auto"/>
            <w:left w:val="none" w:sz="0" w:space="0" w:color="auto"/>
            <w:bottom w:val="none" w:sz="0" w:space="0" w:color="auto"/>
            <w:right w:val="none" w:sz="0" w:space="0" w:color="auto"/>
          </w:divBdr>
          <w:divsChild>
            <w:div w:id="1445807673">
              <w:marLeft w:val="0"/>
              <w:marRight w:val="0"/>
              <w:marTop w:val="0"/>
              <w:marBottom w:val="150"/>
              <w:divBdr>
                <w:top w:val="none" w:sz="0" w:space="0" w:color="auto"/>
                <w:left w:val="none" w:sz="0" w:space="0" w:color="auto"/>
                <w:bottom w:val="single" w:sz="6" w:space="8" w:color="E0E0E0"/>
                <w:right w:val="none" w:sz="0" w:space="0" w:color="auto"/>
              </w:divBdr>
              <w:divsChild>
                <w:div w:id="1064525539">
                  <w:marLeft w:val="0"/>
                  <w:marRight w:val="0"/>
                  <w:marTop w:val="0"/>
                  <w:marBottom w:val="0"/>
                  <w:divBdr>
                    <w:top w:val="none" w:sz="0" w:space="0" w:color="auto"/>
                    <w:left w:val="none" w:sz="0" w:space="0" w:color="auto"/>
                    <w:bottom w:val="none" w:sz="0" w:space="0" w:color="auto"/>
                    <w:right w:val="none" w:sz="0" w:space="0" w:color="auto"/>
                  </w:divBdr>
                </w:div>
              </w:divsChild>
            </w:div>
            <w:div w:id="4191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3743">
      <w:bodyDiv w:val="1"/>
      <w:marLeft w:val="0"/>
      <w:marRight w:val="0"/>
      <w:marTop w:val="0"/>
      <w:marBottom w:val="0"/>
      <w:divBdr>
        <w:top w:val="none" w:sz="0" w:space="0" w:color="auto"/>
        <w:left w:val="none" w:sz="0" w:space="0" w:color="auto"/>
        <w:bottom w:val="none" w:sz="0" w:space="0" w:color="auto"/>
        <w:right w:val="none" w:sz="0" w:space="0" w:color="auto"/>
      </w:divBdr>
    </w:div>
    <w:div w:id="293148022">
      <w:bodyDiv w:val="1"/>
      <w:marLeft w:val="0"/>
      <w:marRight w:val="0"/>
      <w:marTop w:val="0"/>
      <w:marBottom w:val="0"/>
      <w:divBdr>
        <w:top w:val="none" w:sz="0" w:space="0" w:color="auto"/>
        <w:left w:val="none" w:sz="0" w:space="0" w:color="auto"/>
        <w:bottom w:val="none" w:sz="0" w:space="0" w:color="auto"/>
        <w:right w:val="none" w:sz="0" w:space="0" w:color="auto"/>
      </w:divBdr>
    </w:div>
    <w:div w:id="366105204">
      <w:bodyDiv w:val="1"/>
      <w:marLeft w:val="0"/>
      <w:marRight w:val="0"/>
      <w:marTop w:val="0"/>
      <w:marBottom w:val="0"/>
      <w:divBdr>
        <w:top w:val="none" w:sz="0" w:space="0" w:color="auto"/>
        <w:left w:val="none" w:sz="0" w:space="0" w:color="auto"/>
        <w:bottom w:val="none" w:sz="0" w:space="0" w:color="auto"/>
        <w:right w:val="none" w:sz="0" w:space="0" w:color="auto"/>
      </w:divBdr>
    </w:div>
    <w:div w:id="461382099">
      <w:marLeft w:val="0"/>
      <w:marRight w:val="0"/>
      <w:marTop w:val="195"/>
      <w:marBottom w:val="225"/>
      <w:divBdr>
        <w:top w:val="none" w:sz="0" w:space="0" w:color="auto"/>
        <w:left w:val="none" w:sz="0" w:space="0" w:color="auto"/>
        <w:bottom w:val="single" w:sz="24" w:space="0" w:color="C1D2EC"/>
        <w:right w:val="none" w:sz="0" w:space="0" w:color="auto"/>
      </w:divBdr>
      <w:divsChild>
        <w:div w:id="347372126">
          <w:marLeft w:val="0"/>
          <w:marRight w:val="0"/>
          <w:marTop w:val="0"/>
          <w:marBottom w:val="0"/>
          <w:divBdr>
            <w:top w:val="none" w:sz="0" w:space="0" w:color="auto"/>
            <w:left w:val="none" w:sz="0" w:space="0" w:color="auto"/>
            <w:bottom w:val="none" w:sz="0" w:space="0" w:color="auto"/>
            <w:right w:val="none" w:sz="0" w:space="0" w:color="auto"/>
          </w:divBdr>
        </w:div>
        <w:div w:id="2081175099">
          <w:marLeft w:val="0"/>
          <w:marRight w:val="0"/>
          <w:marTop w:val="0"/>
          <w:marBottom w:val="0"/>
          <w:divBdr>
            <w:top w:val="none" w:sz="0" w:space="0" w:color="auto"/>
            <w:left w:val="none" w:sz="0" w:space="0" w:color="auto"/>
            <w:bottom w:val="none" w:sz="0" w:space="0" w:color="auto"/>
            <w:right w:val="none" w:sz="0" w:space="0" w:color="auto"/>
          </w:divBdr>
          <w:divsChild>
            <w:div w:id="13046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6133">
      <w:bodyDiv w:val="1"/>
      <w:marLeft w:val="0"/>
      <w:marRight w:val="0"/>
      <w:marTop w:val="0"/>
      <w:marBottom w:val="0"/>
      <w:divBdr>
        <w:top w:val="none" w:sz="0" w:space="0" w:color="auto"/>
        <w:left w:val="none" w:sz="0" w:space="0" w:color="auto"/>
        <w:bottom w:val="none" w:sz="0" w:space="0" w:color="auto"/>
        <w:right w:val="none" w:sz="0" w:space="0" w:color="auto"/>
      </w:divBdr>
    </w:div>
    <w:div w:id="567808508">
      <w:bodyDiv w:val="1"/>
      <w:marLeft w:val="0"/>
      <w:marRight w:val="0"/>
      <w:marTop w:val="0"/>
      <w:marBottom w:val="0"/>
      <w:divBdr>
        <w:top w:val="none" w:sz="0" w:space="0" w:color="auto"/>
        <w:left w:val="none" w:sz="0" w:space="0" w:color="auto"/>
        <w:bottom w:val="none" w:sz="0" w:space="0" w:color="auto"/>
        <w:right w:val="none" w:sz="0" w:space="0" w:color="auto"/>
      </w:divBdr>
    </w:div>
    <w:div w:id="617568587">
      <w:bodyDiv w:val="1"/>
      <w:marLeft w:val="0"/>
      <w:marRight w:val="0"/>
      <w:marTop w:val="0"/>
      <w:marBottom w:val="0"/>
      <w:divBdr>
        <w:top w:val="none" w:sz="0" w:space="0" w:color="auto"/>
        <w:left w:val="none" w:sz="0" w:space="0" w:color="auto"/>
        <w:bottom w:val="none" w:sz="0" w:space="0" w:color="auto"/>
        <w:right w:val="none" w:sz="0" w:space="0" w:color="auto"/>
      </w:divBdr>
    </w:div>
    <w:div w:id="643585002">
      <w:bodyDiv w:val="1"/>
      <w:marLeft w:val="0"/>
      <w:marRight w:val="0"/>
      <w:marTop w:val="0"/>
      <w:marBottom w:val="0"/>
      <w:divBdr>
        <w:top w:val="none" w:sz="0" w:space="0" w:color="auto"/>
        <w:left w:val="none" w:sz="0" w:space="0" w:color="auto"/>
        <w:bottom w:val="none" w:sz="0" w:space="0" w:color="auto"/>
        <w:right w:val="none" w:sz="0" w:space="0" w:color="auto"/>
      </w:divBdr>
    </w:div>
    <w:div w:id="691495863">
      <w:marLeft w:val="0"/>
      <w:marRight w:val="0"/>
      <w:marTop w:val="300"/>
      <w:marBottom w:val="0"/>
      <w:divBdr>
        <w:top w:val="none" w:sz="0" w:space="0" w:color="auto"/>
        <w:left w:val="none" w:sz="0" w:space="0" w:color="auto"/>
        <w:bottom w:val="none" w:sz="0" w:space="0" w:color="auto"/>
        <w:right w:val="none" w:sz="0" w:space="0" w:color="auto"/>
      </w:divBdr>
      <w:divsChild>
        <w:div w:id="920603309">
          <w:marLeft w:val="0"/>
          <w:marRight w:val="0"/>
          <w:marTop w:val="0"/>
          <w:marBottom w:val="0"/>
          <w:divBdr>
            <w:top w:val="none" w:sz="0" w:space="0" w:color="auto"/>
            <w:left w:val="none" w:sz="0" w:space="0" w:color="auto"/>
            <w:bottom w:val="none" w:sz="0" w:space="0" w:color="auto"/>
            <w:right w:val="none" w:sz="0" w:space="0" w:color="auto"/>
          </w:divBdr>
        </w:div>
        <w:div w:id="1032730839">
          <w:marLeft w:val="0"/>
          <w:marRight w:val="0"/>
          <w:marTop w:val="0"/>
          <w:marBottom w:val="0"/>
          <w:divBdr>
            <w:top w:val="none" w:sz="0" w:space="0" w:color="auto"/>
            <w:left w:val="none" w:sz="0" w:space="0" w:color="auto"/>
            <w:bottom w:val="none" w:sz="0" w:space="0" w:color="auto"/>
            <w:right w:val="none" w:sz="0" w:space="0" w:color="auto"/>
          </w:divBdr>
          <w:divsChild>
            <w:div w:id="13315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3984">
      <w:marLeft w:val="0"/>
      <w:marRight w:val="0"/>
      <w:marTop w:val="0"/>
      <w:marBottom w:val="0"/>
      <w:divBdr>
        <w:top w:val="none" w:sz="0" w:space="0" w:color="auto"/>
        <w:left w:val="none" w:sz="0" w:space="0" w:color="auto"/>
        <w:bottom w:val="none" w:sz="0" w:space="0" w:color="auto"/>
        <w:right w:val="none" w:sz="0" w:space="0" w:color="auto"/>
      </w:divBdr>
      <w:divsChild>
        <w:div w:id="387457524">
          <w:marLeft w:val="0"/>
          <w:marRight w:val="0"/>
          <w:marTop w:val="0"/>
          <w:marBottom w:val="0"/>
          <w:divBdr>
            <w:top w:val="none" w:sz="0" w:space="0" w:color="auto"/>
            <w:left w:val="none" w:sz="0" w:space="0" w:color="auto"/>
            <w:bottom w:val="none" w:sz="0" w:space="0" w:color="auto"/>
            <w:right w:val="none" w:sz="0" w:space="0" w:color="auto"/>
          </w:divBdr>
        </w:div>
      </w:divsChild>
    </w:div>
    <w:div w:id="804931857">
      <w:bodyDiv w:val="1"/>
      <w:marLeft w:val="0"/>
      <w:marRight w:val="0"/>
      <w:marTop w:val="0"/>
      <w:marBottom w:val="0"/>
      <w:divBdr>
        <w:top w:val="none" w:sz="0" w:space="0" w:color="auto"/>
        <w:left w:val="none" w:sz="0" w:space="0" w:color="auto"/>
        <w:bottom w:val="none" w:sz="0" w:space="0" w:color="auto"/>
        <w:right w:val="none" w:sz="0" w:space="0" w:color="auto"/>
      </w:divBdr>
    </w:div>
    <w:div w:id="829442204">
      <w:marLeft w:val="0"/>
      <w:marRight w:val="0"/>
      <w:marTop w:val="300"/>
      <w:marBottom w:val="0"/>
      <w:divBdr>
        <w:top w:val="none" w:sz="0" w:space="0" w:color="auto"/>
        <w:left w:val="none" w:sz="0" w:space="0" w:color="auto"/>
        <w:bottom w:val="none" w:sz="0" w:space="0" w:color="auto"/>
        <w:right w:val="none" w:sz="0" w:space="0" w:color="auto"/>
      </w:divBdr>
      <w:divsChild>
        <w:div w:id="653532231">
          <w:marLeft w:val="0"/>
          <w:marRight w:val="0"/>
          <w:marTop w:val="0"/>
          <w:marBottom w:val="0"/>
          <w:divBdr>
            <w:top w:val="none" w:sz="0" w:space="0" w:color="auto"/>
            <w:left w:val="none" w:sz="0" w:space="0" w:color="auto"/>
            <w:bottom w:val="none" w:sz="0" w:space="0" w:color="auto"/>
            <w:right w:val="none" w:sz="0" w:space="0" w:color="auto"/>
          </w:divBdr>
        </w:div>
        <w:div w:id="1289165790">
          <w:marLeft w:val="0"/>
          <w:marRight w:val="0"/>
          <w:marTop w:val="0"/>
          <w:marBottom w:val="0"/>
          <w:divBdr>
            <w:top w:val="none" w:sz="0" w:space="0" w:color="auto"/>
            <w:left w:val="none" w:sz="0" w:space="0" w:color="auto"/>
            <w:bottom w:val="none" w:sz="0" w:space="0" w:color="auto"/>
            <w:right w:val="none" w:sz="0" w:space="0" w:color="auto"/>
          </w:divBdr>
          <w:divsChild>
            <w:div w:id="21217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3259">
      <w:marLeft w:val="0"/>
      <w:marRight w:val="0"/>
      <w:marTop w:val="0"/>
      <w:marBottom w:val="0"/>
      <w:divBdr>
        <w:top w:val="none" w:sz="0" w:space="0" w:color="auto"/>
        <w:left w:val="none" w:sz="0" w:space="0" w:color="auto"/>
        <w:bottom w:val="single" w:sz="24" w:space="1" w:color="FCC800"/>
        <w:right w:val="none" w:sz="0" w:space="0" w:color="auto"/>
      </w:divBdr>
      <w:divsChild>
        <w:div w:id="771173262">
          <w:marLeft w:val="0"/>
          <w:marRight w:val="0"/>
          <w:marTop w:val="0"/>
          <w:marBottom w:val="0"/>
          <w:divBdr>
            <w:top w:val="none" w:sz="0" w:space="0" w:color="auto"/>
            <w:left w:val="none" w:sz="0" w:space="0" w:color="auto"/>
            <w:bottom w:val="none" w:sz="0" w:space="0" w:color="auto"/>
            <w:right w:val="none" w:sz="0" w:space="0" w:color="auto"/>
          </w:divBdr>
          <w:divsChild>
            <w:div w:id="1020205966">
              <w:marLeft w:val="0"/>
              <w:marRight w:val="0"/>
              <w:marTop w:val="0"/>
              <w:marBottom w:val="0"/>
              <w:divBdr>
                <w:top w:val="none" w:sz="0" w:space="0" w:color="auto"/>
                <w:left w:val="none" w:sz="0" w:space="0" w:color="auto"/>
                <w:bottom w:val="none" w:sz="0" w:space="0" w:color="auto"/>
                <w:right w:val="none" w:sz="0" w:space="0" w:color="auto"/>
              </w:divBdr>
              <w:divsChild>
                <w:div w:id="8824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9312">
          <w:marLeft w:val="0"/>
          <w:marRight w:val="0"/>
          <w:marTop w:val="0"/>
          <w:marBottom w:val="0"/>
          <w:divBdr>
            <w:top w:val="none" w:sz="0" w:space="0" w:color="auto"/>
            <w:left w:val="none" w:sz="0" w:space="0" w:color="auto"/>
            <w:bottom w:val="none" w:sz="0" w:space="0" w:color="auto"/>
            <w:right w:val="none" w:sz="0" w:space="0" w:color="auto"/>
          </w:divBdr>
          <w:divsChild>
            <w:div w:id="1014767930">
              <w:marLeft w:val="0"/>
              <w:marRight w:val="0"/>
              <w:marTop w:val="0"/>
              <w:marBottom w:val="0"/>
              <w:divBdr>
                <w:top w:val="none" w:sz="0" w:space="0" w:color="auto"/>
                <w:left w:val="none" w:sz="0" w:space="0" w:color="auto"/>
                <w:bottom w:val="none" w:sz="0" w:space="0" w:color="auto"/>
                <w:right w:val="none" w:sz="0" w:space="0" w:color="auto"/>
              </w:divBdr>
              <w:divsChild>
                <w:div w:id="9110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5464">
          <w:marLeft w:val="0"/>
          <w:marRight w:val="0"/>
          <w:marTop w:val="0"/>
          <w:marBottom w:val="0"/>
          <w:divBdr>
            <w:top w:val="none" w:sz="0" w:space="0" w:color="auto"/>
            <w:left w:val="none" w:sz="0" w:space="0" w:color="auto"/>
            <w:bottom w:val="none" w:sz="0" w:space="0" w:color="auto"/>
            <w:right w:val="none" w:sz="0" w:space="0" w:color="auto"/>
          </w:divBdr>
          <w:divsChild>
            <w:div w:id="2063482900">
              <w:marLeft w:val="0"/>
              <w:marRight w:val="0"/>
              <w:marTop w:val="0"/>
              <w:marBottom w:val="0"/>
              <w:divBdr>
                <w:top w:val="none" w:sz="0" w:space="0" w:color="auto"/>
                <w:left w:val="none" w:sz="0" w:space="0" w:color="auto"/>
                <w:bottom w:val="none" w:sz="0" w:space="0" w:color="auto"/>
                <w:right w:val="none" w:sz="0" w:space="0" w:color="auto"/>
              </w:divBdr>
              <w:divsChild>
                <w:div w:id="20619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123">
          <w:marLeft w:val="0"/>
          <w:marRight w:val="0"/>
          <w:marTop w:val="0"/>
          <w:marBottom w:val="0"/>
          <w:divBdr>
            <w:top w:val="none" w:sz="0" w:space="0" w:color="auto"/>
            <w:left w:val="none" w:sz="0" w:space="0" w:color="auto"/>
            <w:bottom w:val="none" w:sz="0" w:space="0" w:color="auto"/>
            <w:right w:val="none" w:sz="0" w:space="0" w:color="auto"/>
          </w:divBdr>
          <w:divsChild>
            <w:div w:id="717583511">
              <w:marLeft w:val="0"/>
              <w:marRight w:val="0"/>
              <w:marTop w:val="0"/>
              <w:marBottom w:val="0"/>
              <w:divBdr>
                <w:top w:val="none" w:sz="0" w:space="0" w:color="auto"/>
                <w:left w:val="none" w:sz="0" w:space="0" w:color="auto"/>
                <w:bottom w:val="none" w:sz="0" w:space="0" w:color="auto"/>
                <w:right w:val="none" w:sz="0" w:space="0" w:color="auto"/>
              </w:divBdr>
              <w:divsChild>
                <w:div w:id="17107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30637">
          <w:marLeft w:val="0"/>
          <w:marRight w:val="0"/>
          <w:marTop w:val="0"/>
          <w:marBottom w:val="0"/>
          <w:divBdr>
            <w:top w:val="none" w:sz="0" w:space="0" w:color="auto"/>
            <w:left w:val="none" w:sz="0" w:space="0" w:color="auto"/>
            <w:bottom w:val="none" w:sz="0" w:space="0" w:color="auto"/>
            <w:right w:val="none" w:sz="0" w:space="0" w:color="auto"/>
          </w:divBdr>
          <w:divsChild>
            <w:div w:id="1976060173">
              <w:marLeft w:val="0"/>
              <w:marRight w:val="0"/>
              <w:marTop w:val="0"/>
              <w:marBottom w:val="0"/>
              <w:divBdr>
                <w:top w:val="none" w:sz="0" w:space="0" w:color="auto"/>
                <w:left w:val="none" w:sz="0" w:space="0" w:color="auto"/>
                <w:bottom w:val="none" w:sz="0" w:space="0" w:color="auto"/>
                <w:right w:val="none" w:sz="0" w:space="0" w:color="auto"/>
              </w:divBdr>
              <w:divsChild>
                <w:div w:id="13583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19577">
          <w:marLeft w:val="0"/>
          <w:marRight w:val="0"/>
          <w:marTop w:val="0"/>
          <w:marBottom w:val="0"/>
          <w:divBdr>
            <w:top w:val="none" w:sz="0" w:space="0" w:color="auto"/>
            <w:left w:val="none" w:sz="0" w:space="0" w:color="auto"/>
            <w:bottom w:val="none" w:sz="0" w:space="0" w:color="auto"/>
            <w:right w:val="none" w:sz="0" w:space="0" w:color="auto"/>
          </w:divBdr>
          <w:divsChild>
            <w:div w:id="1520507599">
              <w:marLeft w:val="0"/>
              <w:marRight w:val="0"/>
              <w:marTop w:val="0"/>
              <w:marBottom w:val="0"/>
              <w:divBdr>
                <w:top w:val="none" w:sz="0" w:space="0" w:color="auto"/>
                <w:left w:val="none" w:sz="0" w:space="0" w:color="auto"/>
                <w:bottom w:val="none" w:sz="0" w:space="0" w:color="auto"/>
                <w:right w:val="none" w:sz="0" w:space="0" w:color="auto"/>
              </w:divBdr>
              <w:divsChild>
                <w:div w:id="8329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71873">
      <w:bodyDiv w:val="1"/>
      <w:marLeft w:val="0"/>
      <w:marRight w:val="0"/>
      <w:marTop w:val="0"/>
      <w:marBottom w:val="0"/>
      <w:divBdr>
        <w:top w:val="none" w:sz="0" w:space="0" w:color="auto"/>
        <w:left w:val="none" w:sz="0" w:space="0" w:color="auto"/>
        <w:bottom w:val="none" w:sz="0" w:space="0" w:color="auto"/>
        <w:right w:val="none" w:sz="0" w:space="0" w:color="auto"/>
      </w:divBdr>
    </w:div>
    <w:div w:id="1325469071">
      <w:marLeft w:val="0"/>
      <w:marRight w:val="0"/>
      <w:marTop w:val="120"/>
      <w:marBottom w:val="0"/>
      <w:divBdr>
        <w:top w:val="none" w:sz="0" w:space="0" w:color="auto"/>
        <w:left w:val="none" w:sz="0" w:space="0" w:color="auto"/>
        <w:bottom w:val="none" w:sz="0" w:space="0" w:color="auto"/>
        <w:right w:val="none" w:sz="0" w:space="0" w:color="auto"/>
      </w:divBdr>
      <w:divsChild>
        <w:div w:id="1057051592">
          <w:marLeft w:val="0"/>
          <w:marRight w:val="0"/>
          <w:marTop w:val="0"/>
          <w:marBottom w:val="0"/>
          <w:divBdr>
            <w:top w:val="none" w:sz="0" w:space="0" w:color="auto"/>
            <w:left w:val="none" w:sz="0" w:space="0" w:color="auto"/>
            <w:bottom w:val="none" w:sz="0" w:space="0" w:color="auto"/>
            <w:right w:val="none" w:sz="0" w:space="0" w:color="auto"/>
          </w:divBdr>
          <w:divsChild>
            <w:div w:id="1676768127">
              <w:marLeft w:val="0"/>
              <w:marRight w:val="0"/>
              <w:marTop w:val="0"/>
              <w:marBottom w:val="150"/>
              <w:divBdr>
                <w:top w:val="none" w:sz="0" w:space="0" w:color="auto"/>
                <w:left w:val="none" w:sz="0" w:space="0" w:color="auto"/>
                <w:bottom w:val="single" w:sz="6" w:space="8" w:color="E0E0E0"/>
                <w:right w:val="none" w:sz="0" w:space="0" w:color="auto"/>
              </w:divBdr>
              <w:divsChild>
                <w:div w:id="524514078">
                  <w:marLeft w:val="0"/>
                  <w:marRight w:val="0"/>
                  <w:marTop w:val="0"/>
                  <w:marBottom w:val="0"/>
                  <w:divBdr>
                    <w:top w:val="none" w:sz="0" w:space="0" w:color="auto"/>
                    <w:left w:val="none" w:sz="0" w:space="0" w:color="auto"/>
                    <w:bottom w:val="none" w:sz="0" w:space="0" w:color="auto"/>
                    <w:right w:val="none" w:sz="0" w:space="0" w:color="auto"/>
                  </w:divBdr>
                </w:div>
              </w:divsChild>
            </w:div>
            <w:div w:id="20685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3398">
      <w:bodyDiv w:val="1"/>
      <w:marLeft w:val="0"/>
      <w:marRight w:val="0"/>
      <w:marTop w:val="0"/>
      <w:marBottom w:val="0"/>
      <w:divBdr>
        <w:top w:val="none" w:sz="0" w:space="0" w:color="auto"/>
        <w:left w:val="none" w:sz="0" w:space="0" w:color="auto"/>
        <w:bottom w:val="none" w:sz="0" w:space="0" w:color="auto"/>
        <w:right w:val="none" w:sz="0" w:space="0" w:color="auto"/>
      </w:divBdr>
    </w:div>
    <w:div w:id="1406105091">
      <w:bodyDiv w:val="1"/>
      <w:marLeft w:val="0"/>
      <w:marRight w:val="0"/>
      <w:marTop w:val="0"/>
      <w:marBottom w:val="0"/>
      <w:divBdr>
        <w:top w:val="none" w:sz="0" w:space="0" w:color="auto"/>
        <w:left w:val="none" w:sz="0" w:space="0" w:color="auto"/>
        <w:bottom w:val="none" w:sz="0" w:space="0" w:color="auto"/>
        <w:right w:val="none" w:sz="0" w:space="0" w:color="auto"/>
      </w:divBdr>
    </w:div>
    <w:div w:id="1522822482">
      <w:marLeft w:val="0"/>
      <w:marRight w:val="0"/>
      <w:marTop w:val="0"/>
      <w:marBottom w:val="0"/>
      <w:divBdr>
        <w:top w:val="none" w:sz="0" w:space="0" w:color="auto"/>
        <w:left w:val="none" w:sz="0" w:space="0" w:color="auto"/>
        <w:bottom w:val="single" w:sz="24" w:space="1" w:color="FCC800"/>
        <w:right w:val="none" w:sz="0" w:space="0" w:color="auto"/>
      </w:divBdr>
      <w:divsChild>
        <w:div w:id="1778522132">
          <w:marLeft w:val="0"/>
          <w:marRight w:val="0"/>
          <w:marTop w:val="0"/>
          <w:marBottom w:val="0"/>
          <w:divBdr>
            <w:top w:val="none" w:sz="0" w:space="0" w:color="auto"/>
            <w:left w:val="none" w:sz="0" w:space="0" w:color="auto"/>
            <w:bottom w:val="none" w:sz="0" w:space="0" w:color="auto"/>
            <w:right w:val="none" w:sz="0" w:space="0" w:color="auto"/>
          </w:divBdr>
          <w:divsChild>
            <w:div w:id="2013604353">
              <w:marLeft w:val="0"/>
              <w:marRight w:val="0"/>
              <w:marTop w:val="0"/>
              <w:marBottom w:val="0"/>
              <w:divBdr>
                <w:top w:val="none" w:sz="0" w:space="0" w:color="auto"/>
                <w:left w:val="none" w:sz="0" w:space="0" w:color="auto"/>
                <w:bottom w:val="none" w:sz="0" w:space="0" w:color="auto"/>
                <w:right w:val="none" w:sz="0" w:space="0" w:color="auto"/>
              </w:divBdr>
              <w:divsChild>
                <w:div w:id="4044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6729">
          <w:marLeft w:val="0"/>
          <w:marRight w:val="0"/>
          <w:marTop w:val="0"/>
          <w:marBottom w:val="0"/>
          <w:divBdr>
            <w:top w:val="none" w:sz="0" w:space="0" w:color="auto"/>
            <w:left w:val="none" w:sz="0" w:space="0" w:color="auto"/>
            <w:bottom w:val="none" w:sz="0" w:space="0" w:color="auto"/>
            <w:right w:val="none" w:sz="0" w:space="0" w:color="auto"/>
          </w:divBdr>
          <w:divsChild>
            <w:div w:id="1182861895">
              <w:marLeft w:val="0"/>
              <w:marRight w:val="0"/>
              <w:marTop w:val="0"/>
              <w:marBottom w:val="0"/>
              <w:divBdr>
                <w:top w:val="none" w:sz="0" w:space="0" w:color="auto"/>
                <w:left w:val="none" w:sz="0" w:space="0" w:color="auto"/>
                <w:bottom w:val="none" w:sz="0" w:space="0" w:color="auto"/>
                <w:right w:val="none" w:sz="0" w:space="0" w:color="auto"/>
              </w:divBdr>
              <w:divsChild>
                <w:div w:id="618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8329">
          <w:marLeft w:val="0"/>
          <w:marRight w:val="0"/>
          <w:marTop w:val="0"/>
          <w:marBottom w:val="0"/>
          <w:divBdr>
            <w:top w:val="none" w:sz="0" w:space="0" w:color="auto"/>
            <w:left w:val="none" w:sz="0" w:space="0" w:color="auto"/>
            <w:bottom w:val="none" w:sz="0" w:space="0" w:color="auto"/>
            <w:right w:val="none" w:sz="0" w:space="0" w:color="auto"/>
          </w:divBdr>
          <w:divsChild>
            <w:div w:id="1778131882">
              <w:marLeft w:val="0"/>
              <w:marRight w:val="0"/>
              <w:marTop w:val="0"/>
              <w:marBottom w:val="0"/>
              <w:divBdr>
                <w:top w:val="none" w:sz="0" w:space="0" w:color="auto"/>
                <w:left w:val="none" w:sz="0" w:space="0" w:color="auto"/>
                <w:bottom w:val="none" w:sz="0" w:space="0" w:color="auto"/>
                <w:right w:val="none" w:sz="0" w:space="0" w:color="auto"/>
              </w:divBdr>
              <w:divsChild>
                <w:div w:id="21203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7875">
          <w:marLeft w:val="0"/>
          <w:marRight w:val="0"/>
          <w:marTop w:val="0"/>
          <w:marBottom w:val="0"/>
          <w:divBdr>
            <w:top w:val="none" w:sz="0" w:space="0" w:color="auto"/>
            <w:left w:val="none" w:sz="0" w:space="0" w:color="auto"/>
            <w:bottom w:val="none" w:sz="0" w:space="0" w:color="auto"/>
            <w:right w:val="none" w:sz="0" w:space="0" w:color="auto"/>
          </w:divBdr>
          <w:divsChild>
            <w:div w:id="1644190377">
              <w:marLeft w:val="0"/>
              <w:marRight w:val="0"/>
              <w:marTop w:val="0"/>
              <w:marBottom w:val="0"/>
              <w:divBdr>
                <w:top w:val="none" w:sz="0" w:space="0" w:color="auto"/>
                <w:left w:val="none" w:sz="0" w:space="0" w:color="auto"/>
                <w:bottom w:val="none" w:sz="0" w:space="0" w:color="auto"/>
                <w:right w:val="none" w:sz="0" w:space="0" w:color="auto"/>
              </w:divBdr>
              <w:divsChild>
                <w:div w:id="3045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2578">
          <w:marLeft w:val="0"/>
          <w:marRight w:val="0"/>
          <w:marTop w:val="0"/>
          <w:marBottom w:val="0"/>
          <w:divBdr>
            <w:top w:val="none" w:sz="0" w:space="0" w:color="auto"/>
            <w:left w:val="none" w:sz="0" w:space="0" w:color="auto"/>
            <w:bottom w:val="none" w:sz="0" w:space="0" w:color="auto"/>
            <w:right w:val="none" w:sz="0" w:space="0" w:color="auto"/>
          </w:divBdr>
          <w:divsChild>
            <w:div w:id="1855068598">
              <w:marLeft w:val="0"/>
              <w:marRight w:val="0"/>
              <w:marTop w:val="0"/>
              <w:marBottom w:val="0"/>
              <w:divBdr>
                <w:top w:val="none" w:sz="0" w:space="0" w:color="auto"/>
                <w:left w:val="none" w:sz="0" w:space="0" w:color="auto"/>
                <w:bottom w:val="none" w:sz="0" w:space="0" w:color="auto"/>
                <w:right w:val="none" w:sz="0" w:space="0" w:color="auto"/>
              </w:divBdr>
              <w:divsChild>
                <w:div w:id="18635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8546">
          <w:marLeft w:val="0"/>
          <w:marRight w:val="0"/>
          <w:marTop w:val="0"/>
          <w:marBottom w:val="0"/>
          <w:divBdr>
            <w:top w:val="none" w:sz="0" w:space="0" w:color="auto"/>
            <w:left w:val="none" w:sz="0" w:space="0" w:color="auto"/>
            <w:bottom w:val="none" w:sz="0" w:space="0" w:color="auto"/>
            <w:right w:val="none" w:sz="0" w:space="0" w:color="auto"/>
          </w:divBdr>
          <w:divsChild>
            <w:div w:id="413287559">
              <w:marLeft w:val="0"/>
              <w:marRight w:val="0"/>
              <w:marTop w:val="0"/>
              <w:marBottom w:val="0"/>
              <w:divBdr>
                <w:top w:val="none" w:sz="0" w:space="0" w:color="auto"/>
                <w:left w:val="none" w:sz="0" w:space="0" w:color="auto"/>
                <w:bottom w:val="none" w:sz="0" w:space="0" w:color="auto"/>
                <w:right w:val="none" w:sz="0" w:space="0" w:color="auto"/>
              </w:divBdr>
              <w:divsChild>
                <w:div w:id="170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1637">
      <w:bodyDiv w:val="1"/>
      <w:marLeft w:val="0"/>
      <w:marRight w:val="0"/>
      <w:marTop w:val="0"/>
      <w:marBottom w:val="0"/>
      <w:divBdr>
        <w:top w:val="none" w:sz="0" w:space="0" w:color="auto"/>
        <w:left w:val="none" w:sz="0" w:space="0" w:color="auto"/>
        <w:bottom w:val="none" w:sz="0" w:space="0" w:color="auto"/>
        <w:right w:val="none" w:sz="0" w:space="0" w:color="auto"/>
      </w:divBdr>
    </w:div>
    <w:div w:id="1779522938">
      <w:marLeft w:val="0"/>
      <w:marRight w:val="0"/>
      <w:marTop w:val="195"/>
      <w:marBottom w:val="225"/>
      <w:divBdr>
        <w:top w:val="none" w:sz="0" w:space="0" w:color="auto"/>
        <w:left w:val="none" w:sz="0" w:space="0" w:color="auto"/>
        <w:bottom w:val="single" w:sz="24" w:space="0" w:color="C1D2EC"/>
        <w:right w:val="none" w:sz="0" w:space="0" w:color="auto"/>
      </w:divBdr>
      <w:divsChild>
        <w:div w:id="1911112052">
          <w:marLeft w:val="0"/>
          <w:marRight w:val="0"/>
          <w:marTop w:val="0"/>
          <w:marBottom w:val="0"/>
          <w:divBdr>
            <w:top w:val="none" w:sz="0" w:space="0" w:color="auto"/>
            <w:left w:val="none" w:sz="0" w:space="0" w:color="auto"/>
            <w:bottom w:val="none" w:sz="0" w:space="0" w:color="auto"/>
            <w:right w:val="none" w:sz="0" w:space="0" w:color="auto"/>
          </w:divBdr>
        </w:div>
        <w:div w:id="1018314692">
          <w:marLeft w:val="0"/>
          <w:marRight w:val="0"/>
          <w:marTop w:val="0"/>
          <w:marBottom w:val="0"/>
          <w:divBdr>
            <w:top w:val="none" w:sz="0" w:space="0" w:color="auto"/>
            <w:left w:val="none" w:sz="0" w:space="0" w:color="auto"/>
            <w:bottom w:val="none" w:sz="0" w:space="0" w:color="auto"/>
            <w:right w:val="none" w:sz="0" w:space="0" w:color="auto"/>
          </w:divBdr>
          <w:divsChild>
            <w:div w:id="16460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0392">
      <w:marLeft w:val="0"/>
      <w:marRight w:val="0"/>
      <w:marTop w:val="0"/>
      <w:marBottom w:val="0"/>
      <w:divBdr>
        <w:top w:val="none" w:sz="0" w:space="0" w:color="auto"/>
        <w:left w:val="none" w:sz="0" w:space="0" w:color="auto"/>
        <w:bottom w:val="none" w:sz="0" w:space="0" w:color="auto"/>
        <w:right w:val="none" w:sz="0" w:space="0" w:color="auto"/>
      </w:divBdr>
      <w:divsChild>
        <w:div w:id="2141457508">
          <w:marLeft w:val="0"/>
          <w:marRight w:val="0"/>
          <w:marTop w:val="0"/>
          <w:marBottom w:val="0"/>
          <w:divBdr>
            <w:top w:val="none" w:sz="0" w:space="0" w:color="auto"/>
            <w:left w:val="none" w:sz="0" w:space="0" w:color="auto"/>
            <w:bottom w:val="none" w:sz="0" w:space="0" w:color="auto"/>
            <w:right w:val="none" w:sz="0" w:space="0" w:color="auto"/>
          </w:divBdr>
        </w:div>
      </w:divsChild>
    </w:div>
    <w:div w:id="1990087922">
      <w:bodyDiv w:val="1"/>
      <w:marLeft w:val="0"/>
      <w:marRight w:val="0"/>
      <w:marTop w:val="0"/>
      <w:marBottom w:val="0"/>
      <w:divBdr>
        <w:top w:val="none" w:sz="0" w:space="0" w:color="auto"/>
        <w:left w:val="none" w:sz="0" w:space="0" w:color="auto"/>
        <w:bottom w:val="none" w:sz="0" w:space="0" w:color="auto"/>
        <w:right w:val="none" w:sz="0" w:space="0" w:color="auto"/>
      </w:divBdr>
    </w:div>
    <w:div w:id="2045132390">
      <w:bodyDiv w:val="1"/>
      <w:marLeft w:val="0"/>
      <w:marRight w:val="0"/>
      <w:marTop w:val="0"/>
      <w:marBottom w:val="0"/>
      <w:divBdr>
        <w:top w:val="none" w:sz="0" w:space="0" w:color="auto"/>
        <w:left w:val="none" w:sz="0" w:space="0" w:color="auto"/>
        <w:bottom w:val="none" w:sz="0" w:space="0" w:color="auto"/>
        <w:right w:val="none" w:sz="0" w:space="0" w:color="auto"/>
      </w:divBdr>
    </w:div>
    <w:div w:id="20758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EEA0-3076-4488-B795-9E4178A3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6131</Characters>
  <Application>Microsoft Office Word</Application>
  <DocSecurity>4</DocSecurity>
  <Lines>51</Lines>
  <Paragraphs>14</Paragraphs>
  <ScaleCrop>false</ScaleCrop>
  <Company>Lenovo</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唐研然</dc:creator>
  <cp:lastModifiedBy>ZHONGM</cp:lastModifiedBy>
  <cp:revision>2</cp:revision>
  <cp:lastPrinted>2015-05-06T05:32:00Z</cp:lastPrinted>
  <dcterms:created xsi:type="dcterms:W3CDTF">2025-03-16T16:00:00Z</dcterms:created>
  <dcterms:modified xsi:type="dcterms:W3CDTF">2025-03-16T16:00:00Z</dcterms:modified>
</cp:coreProperties>
</file>