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EF" w:rsidRPr="00B04265" w:rsidRDefault="00C427EF" w:rsidP="00F07A39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/>
          <w:b/>
          <w:kern w:val="0"/>
          <w:sz w:val="28"/>
          <w:szCs w:val="28"/>
        </w:rPr>
      </w:pPr>
      <w:bookmarkStart w:id="0" w:name="_GoBack"/>
      <w:bookmarkEnd w:id="0"/>
      <w:r w:rsidRPr="006D4F55">
        <w:rPr>
          <w:rFonts w:ascii="宋体" w:eastAsia="宋体" w:hAnsi="宋体" w:cs="Times New Roman" w:hint="eastAsia"/>
          <w:b/>
          <w:kern w:val="0"/>
          <w:sz w:val="28"/>
          <w:szCs w:val="28"/>
        </w:rPr>
        <w:t>关于</w:t>
      </w:r>
      <w:r w:rsidR="0081631C" w:rsidRPr="0081631C">
        <w:rPr>
          <w:rFonts w:ascii="宋体" w:eastAsia="宋体" w:hAnsi="宋体" w:cs="Times New Roman" w:hint="eastAsia"/>
          <w:b/>
          <w:kern w:val="0"/>
          <w:sz w:val="28"/>
          <w:szCs w:val="28"/>
        </w:rPr>
        <w:t>汇添富上证科创板综合交易型开放式指数证券投资基金联接基金</w:t>
      </w:r>
      <w:r w:rsidRPr="006D4F55">
        <w:rPr>
          <w:rFonts w:ascii="宋体" w:eastAsia="宋体" w:hAnsi="宋体" w:cs="Times New Roman" w:hint="eastAsia"/>
          <w:b/>
          <w:kern w:val="0"/>
          <w:sz w:val="28"/>
          <w:szCs w:val="28"/>
        </w:rPr>
        <w:t>延长募集期的公告</w:t>
      </w:r>
    </w:p>
    <w:p w:rsidR="00C427EF" w:rsidRDefault="00075353" w:rsidP="00B04265">
      <w:pPr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根据</w:t>
      </w:r>
      <w:r w:rsidR="00C427EF"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中国证监会</w:t>
      </w: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募集许可（</w:t>
      </w:r>
      <w:r w:rsidR="00AB1D4A" w:rsidRPr="00A31FB4">
        <w:rPr>
          <w:rFonts w:ascii="Times New Roman" w:hAnsi="Times New Roman"/>
          <w:kern w:val="0"/>
          <w:sz w:val="24"/>
          <w:szCs w:val="24"/>
        </w:rPr>
        <w:t>证监许可</w:t>
      </w:r>
      <w:r w:rsidR="00F07A39" w:rsidRPr="00F07A39">
        <w:rPr>
          <w:rFonts w:ascii="Times New Roman" w:hAnsi="Times New Roman" w:hint="eastAsia"/>
          <w:kern w:val="0"/>
          <w:sz w:val="24"/>
          <w:szCs w:val="24"/>
        </w:rPr>
        <w:t>【</w:t>
      </w:r>
      <w:r w:rsidR="0081631C" w:rsidRPr="00F07A39">
        <w:rPr>
          <w:rFonts w:ascii="Times New Roman" w:hAnsi="Times New Roman" w:hint="eastAsia"/>
          <w:kern w:val="0"/>
          <w:sz w:val="24"/>
          <w:szCs w:val="24"/>
        </w:rPr>
        <w:t>202</w:t>
      </w:r>
      <w:r w:rsidR="0081631C">
        <w:rPr>
          <w:rFonts w:ascii="Times New Roman" w:hAnsi="Times New Roman"/>
          <w:kern w:val="0"/>
          <w:sz w:val="24"/>
          <w:szCs w:val="24"/>
        </w:rPr>
        <w:t>5</w:t>
      </w:r>
      <w:r w:rsidR="00F07A39" w:rsidRPr="00F07A39">
        <w:rPr>
          <w:rFonts w:ascii="Times New Roman" w:hAnsi="Times New Roman" w:hint="eastAsia"/>
          <w:kern w:val="0"/>
          <w:sz w:val="24"/>
          <w:szCs w:val="24"/>
        </w:rPr>
        <w:t>】</w:t>
      </w:r>
      <w:r w:rsidR="0081631C" w:rsidRPr="0081631C">
        <w:rPr>
          <w:rFonts w:ascii="Times New Roman" w:hAnsi="Times New Roman"/>
          <w:kern w:val="0"/>
          <w:sz w:val="24"/>
          <w:szCs w:val="24"/>
        </w:rPr>
        <w:t>453</w:t>
      </w:r>
      <w:r w:rsidR="00AB1D4A" w:rsidRPr="00A31FB4">
        <w:rPr>
          <w:rFonts w:ascii="Times New Roman" w:hAnsi="Times New Roman"/>
          <w:color w:val="000000"/>
          <w:kern w:val="0"/>
          <w:sz w:val="24"/>
          <w:szCs w:val="24"/>
        </w:rPr>
        <w:t>号</w:t>
      </w: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</w:t>
      </w:r>
      <w:r w:rsidR="00C427EF"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</w:t>
      </w:r>
      <w:r w:rsidR="0081631C" w:rsidRPr="0081631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汇添富上证科创板综合交易型开放式指数证券投资基金联接基金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（以下简称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本基金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</w:t>
      </w:r>
      <w:r w:rsidR="00C427EF"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于</w:t>
      </w:r>
      <w:r w:rsidR="0081631C" w:rsidRPr="002B67C1">
        <w:rPr>
          <w:rFonts w:ascii="Times New Roman" w:hAnsi="Times New Roman"/>
          <w:kern w:val="0"/>
          <w:sz w:val="24"/>
          <w:szCs w:val="24"/>
        </w:rPr>
        <w:t>202</w:t>
      </w:r>
      <w:r w:rsidR="0081631C">
        <w:rPr>
          <w:rFonts w:ascii="Times New Roman" w:hAnsi="Times New Roman"/>
          <w:kern w:val="0"/>
          <w:sz w:val="24"/>
          <w:szCs w:val="24"/>
        </w:rPr>
        <w:t>5</w:t>
      </w:r>
      <w:r w:rsidR="00F07A39" w:rsidRPr="002B67C1">
        <w:rPr>
          <w:rFonts w:ascii="Times New Roman" w:hAnsi="Times New Roman"/>
          <w:kern w:val="0"/>
          <w:sz w:val="24"/>
          <w:szCs w:val="24"/>
        </w:rPr>
        <w:t>年</w:t>
      </w:r>
      <w:r w:rsidR="0081631C">
        <w:rPr>
          <w:rFonts w:ascii="Times New Roman" w:hAnsi="Times New Roman"/>
          <w:kern w:val="0"/>
          <w:sz w:val="24"/>
          <w:szCs w:val="24"/>
        </w:rPr>
        <w:t>3</w:t>
      </w:r>
      <w:r w:rsidR="00F07A39" w:rsidRPr="002B67C1">
        <w:rPr>
          <w:rFonts w:ascii="Times New Roman" w:hAnsi="Times New Roman"/>
          <w:kern w:val="0"/>
          <w:sz w:val="24"/>
          <w:szCs w:val="24"/>
        </w:rPr>
        <w:t>月</w:t>
      </w:r>
      <w:r w:rsidR="0081631C" w:rsidRPr="002B67C1">
        <w:rPr>
          <w:rFonts w:ascii="Times New Roman" w:hAnsi="Times New Roman"/>
          <w:kern w:val="0"/>
          <w:sz w:val="24"/>
          <w:szCs w:val="24"/>
        </w:rPr>
        <w:t>1</w:t>
      </w:r>
      <w:r w:rsidR="0081631C">
        <w:rPr>
          <w:rFonts w:ascii="Times New Roman" w:hAnsi="Times New Roman"/>
          <w:kern w:val="0"/>
          <w:sz w:val="24"/>
          <w:szCs w:val="24"/>
        </w:rPr>
        <w:t>7</w:t>
      </w:r>
      <w:r w:rsidR="00F07A39" w:rsidRPr="002B67C1">
        <w:rPr>
          <w:rFonts w:ascii="Times New Roman" w:hAnsi="Times New Roman"/>
          <w:kern w:val="0"/>
          <w:sz w:val="24"/>
          <w:szCs w:val="24"/>
        </w:rPr>
        <w:t>日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开始募集，原定</w:t>
      </w: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于</w:t>
      </w:r>
      <w:r w:rsidR="0081631C" w:rsidRPr="002B67C1">
        <w:rPr>
          <w:rFonts w:ascii="Times New Roman" w:hAnsi="Times New Roman"/>
          <w:kern w:val="0"/>
          <w:sz w:val="24"/>
          <w:szCs w:val="24"/>
        </w:rPr>
        <w:t>202</w:t>
      </w:r>
      <w:r w:rsidR="0081631C">
        <w:rPr>
          <w:rFonts w:ascii="Times New Roman" w:hAnsi="Times New Roman"/>
          <w:kern w:val="0"/>
          <w:sz w:val="24"/>
          <w:szCs w:val="24"/>
        </w:rPr>
        <w:t>5</w:t>
      </w:r>
      <w:r w:rsidR="0081631C" w:rsidRPr="002B67C1">
        <w:rPr>
          <w:rFonts w:ascii="Times New Roman" w:hAnsi="Times New Roman"/>
          <w:kern w:val="0"/>
          <w:sz w:val="24"/>
          <w:szCs w:val="24"/>
        </w:rPr>
        <w:t>年</w:t>
      </w:r>
      <w:r w:rsidR="0081631C" w:rsidRPr="002B67C1">
        <w:rPr>
          <w:rFonts w:ascii="Times New Roman" w:hAnsi="Times New Roman"/>
          <w:kern w:val="0"/>
          <w:sz w:val="24"/>
          <w:szCs w:val="24"/>
        </w:rPr>
        <w:t>3</w:t>
      </w:r>
      <w:r w:rsidR="0081631C" w:rsidRPr="002B67C1">
        <w:rPr>
          <w:rFonts w:ascii="Times New Roman" w:hAnsi="Times New Roman"/>
          <w:kern w:val="0"/>
          <w:sz w:val="24"/>
          <w:szCs w:val="24"/>
        </w:rPr>
        <w:t>月</w:t>
      </w:r>
      <w:r w:rsidR="0081631C">
        <w:rPr>
          <w:rFonts w:ascii="Times New Roman" w:hAnsi="Times New Roman"/>
          <w:kern w:val="0"/>
          <w:sz w:val="24"/>
          <w:szCs w:val="24"/>
        </w:rPr>
        <w:t>28</w:t>
      </w:r>
      <w:r w:rsidR="00F07A39" w:rsidRPr="002B67C1">
        <w:rPr>
          <w:rFonts w:ascii="Times New Roman" w:hAnsi="Times New Roman"/>
          <w:kern w:val="0"/>
          <w:sz w:val="24"/>
          <w:szCs w:val="24"/>
        </w:rPr>
        <w:t>日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截止认购</w:t>
      </w: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为</w:t>
      </w: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了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充分满足</w:t>
      </w: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广大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投资者的投资需求，根据《中华人民共和国证券投资基金法》、《公开募集证券投资基金运作管理办法》以及《</w:t>
      </w:r>
      <w:r w:rsidR="0081631C" w:rsidRPr="0081631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汇添富上证科创板综合交易型开放式指数证券投资基金联接基金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基金合同》、《</w:t>
      </w:r>
      <w:r w:rsidR="0081631C" w:rsidRPr="0081631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汇添富上证科创板综合交易型开放式指数证券投资基金联接基金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招募说明书》</w:t>
      </w:r>
      <w:r w:rsidR="00B0426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</w:t>
      </w:r>
      <w:r w:rsidR="00B04265"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《</w:t>
      </w:r>
      <w:r w:rsidR="0081631C" w:rsidRPr="0081631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汇添富上证科创板综合交易型开放式指数证券投资基金联接基金</w:t>
      </w:r>
      <w:r w:rsidR="00B04265" w:rsidRPr="00B0426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基金份额发售公告</w:t>
      </w:r>
      <w:r w:rsidR="00B04265"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》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的有关规定，本基金管理人与基金托管人</w:t>
      </w:r>
      <w:r w:rsidR="0081631C">
        <w:rPr>
          <w:rFonts w:hint="eastAsia"/>
          <w:bCs/>
          <w:sz w:val="24"/>
        </w:rPr>
        <w:t>招商</w:t>
      </w:r>
      <w:r w:rsidR="00F07A39" w:rsidRPr="002B67C1">
        <w:rPr>
          <w:rFonts w:hint="eastAsia"/>
          <w:bCs/>
          <w:sz w:val="24"/>
        </w:rPr>
        <w:t>银行股份有限公司</w:t>
      </w:r>
      <w:r w:rsidRPr="006D4F5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协商</w:t>
      </w: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一致，决定将本基金</w:t>
      </w:r>
      <w:r w:rsidRPr="006D4F55">
        <w:rPr>
          <w:rFonts w:ascii="Times New Roman" w:hAnsi="Times New Roman" w:cs="Times New Roman" w:hint="eastAsia"/>
          <w:sz w:val="24"/>
          <w:szCs w:val="24"/>
        </w:rPr>
        <w:t>认购截止日</w:t>
      </w:r>
      <w:r w:rsidRPr="006D4F5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延长</w:t>
      </w:r>
      <w:r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至</w:t>
      </w:r>
      <w:r w:rsidR="0081631C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</w:t>
      </w:r>
      <w:r w:rsidR="0081631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="00ED035C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FC578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="00FE2AD7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FC578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15</w:t>
      </w:r>
      <w:r w:rsidR="00FE2AD7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="00E05675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，从</w:t>
      </w:r>
      <w:r w:rsidR="0081631C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</w:t>
      </w:r>
      <w:r w:rsidR="0081631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="00F07A39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FC578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="00F07A39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FC578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16</w:t>
      </w:r>
      <w:r w:rsidR="00F07A39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  <w:r w:rsidR="00E05675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起不再接受投资者的认购申请。</w:t>
      </w:r>
    </w:p>
    <w:p w:rsidR="00780BC4" w:rsidRPr="00B94DDD" w:rsidRDefault="00780BC4">
      <w:pPr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0BC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本基金募集规模上限为</w:t>
      </w:r>
      <w:r w:rsidRPr="00780BC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80</w:t>
      </w:r>
      <w:r w:rsidRPr="00780BC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亿元人民币（不包括募集期利息，本基金各类基金份额的募集规模合并计算，下同）。若募集期内有效认购申请金额全部确认后不超过</w:t>
      </w:r>
      <w:r w:rsidRPr="00780BC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80</w:t>
      </w:r>
      <w:r w:rsidRPr="00780BC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亿元，基金管理人将对所有的有效认购申请全部予以确认。若在募集期内任何一日（含首日）的募集截止时间后累计有效认购申请金额（不包括募集期利息）超过</w:t>
      </w:r>
      <w:r w:rsidRPr="00780BC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80</w:t>
      </w:r>
      <w:r w:rsidRPr="00780BC4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亿元，基金管理人将采取“末日比例确认”的方式实现规模的有效控制。当发生末日比例确认时，基金管理人将及时公告比例确认结果。</w:t>
      </w:r>
    </w:p>
    <w:p w:rsidR="00C427EF" w:rsidRPr="00B94DDD" w:rsidRDefault="000D43A6" w:rsidP="000D43A6">
      <w:pPr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投资者欲了解本基金的详细情况，请仔细阅读刊登于本公司网站</w:t>
      </w: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(www.99fund.com)</w:t>
      </w: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</w:t>
      </w:r>
      <w:r w:rsidR="00AF2487"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本基金的法律文件及相关公告</w:t>
      </w: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，还可拨打本公司客户服务热线（</w:t>
      </w: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400-888-9918</w:t>
      </w: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）咨询相关信息。</w:t>
      </w:r>
    </w:p>
    <w:p w:rsidR="000D43A6" w:rsidRPr="00B94DDD" w:rsidRDefault="000D43A6" w:rsidP="000D43A6">
      <w:pPr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</w:p>
    <w:p w:rsidR="00C427EF" w:rsidRPr="00B94DDD" w:rsidRDefault="000D43A6" w:rsidP="000D43A6">
      <w:pPr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特此公告。</w:t>
      </w:r>
    </w:p>
    <w:p w:rsidR="00C427EF" w:rsidRPr="00B94DDD" w:rsidRDefault="00C427EF" w:rsidP="000D43A6">
      <w:pPr>
        <w:adjustRightInd w:val="0"/>
        <w:snapToGrid w:val="0"/>
        <w:spacing w:line="440" w:lineRule="exact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　　</w:t>
      </w:r>
    </w:p>
    <w:p w:rsidR="000D43A6" w:rsidRPr="00B94DDD" w:rsidRDefault="00C427EF" w:rsidP="000D43A6">
      <w:pPr>
        <w:adjustRightInd w:val="0"/>
        <w:snapToGrid w:val="0"/>
        <w:spacing w:line="440" w:lineRule="exact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　</w:t>
      </w:r>
      <w:r w:rsidR="000D43A6" w:rsidRPr="00B94DDD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汇添富基金管理股份有限公司</w:t>
      </w:r>
    </w:p>
    <w:p w:rsidR="00343A46" w:rsidRPr="003571F0" w:rsidRDefault="0081631C" w:rsidP="000D43A6">
      <w:pPr>
        <w:adjustRightInd w:val="0"/>
        <w:snapToGrid w:val="0"/>
        <w:spacing w:line="440" w:lineRule="exact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5</w:t>
      </w:r>
      <w:r w:rsidR="00ED035C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FC578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="00B04265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FC578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15</w:t>
      </w:r>
      <w:r w:rsidR="00AF2487" w:rsidRPr="00B94DDD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</w:p>
    <w:sectPr w:rsidR="00343A46" w:rsidRPr="003571F0" w:rsidSect="0032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36" w:rsidRDefault="00DE2136" w:rsidP="00075353">
      <w:r>
        <w:separator/>
      </w:r>
    </w:p>
  </w:endnote>
  <w:endnote w:type="continuationSeparator" w:id="0">
    <w:p w:rsidR="00DE2136" w:rsidRDefault="00DE2136" w:rsidP="0007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36" w:rsidRDefault="00DE2136" w:rsidP="00075353">
      <w:r>
        <w:separator/>
      </w:r>
    </w:p>
  </w:footnote>
  <w:footnote w:type="continuationSeparator" w:id="0">
    <w:p w:rsidR="00DE2136" w:rsidRDefault="00DE2136" w:rsidP="00075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7EF"/>
    <w:rsid w:val="0005013D"/>
    <w:rsid w:val="00075353"/>
    <w:rsid w:val="000D43A6"/>
    <w:rsid w:val="00132625"/>
    <w:rsid w:val="0013597A"/>
    <w:rsid w:val="00146C2B"/>
    <w:rsid w:val="001657DA"/>
    <w:rsid w:val="0017480E"/>
    <w:rsid w:val="001A06FD"/>
    <w:rsid w:val="001E498D"/>
    <w:rsid w:val="001E5D7D"/>
    <w:rsid w:val="0022433A"/>
    <w:rsid w:val="002710D9"/>
    <w:rsid w:val="00290938"/>
    <w:rsid w:val="002E4D32"/>
    <w:rsid w:val="00317352"/>
    <w:rsid w:val="003237F5"/>
    <w:rsid w:val="003571F0"/>
    <w:rsid w:val="00471A7F"/>
    <w:rsid w:val="004A0321"/>
    <w:rsid w:val="004C633F"/>
    <w:rsid w:val="004C6855"/>
    <w:rsid w:val="005078EF"/>
    <w:rsid w:val="005371EB"/>
    <w:rsid w:val="005447AF"/>
    <w:rsid w:val="005B2328"/>
    <w:rsid w:val="00602DA7"/>
    <w:rsid w:val="00692B45"/>
    <w:rsid w:val="006A3917"/>
    <w:rsid w:val="006D4F55"/>
    <w:rsid w:val="00703114"/>
    <w:rsid w:val="00780BC4"/>
    <w:rsid w:val="0081631C"/>
    <w:rsid w:val="00820F83"/>
    <w:rsid w:val="00863255"/>
    <w:rsid w:val="00911F9E"/>
    <w:rsid w:val="009214A3"/>
    <w:rsid w:val="0093201B"/>
    <w:rsid w:val="00950EB2"/>
    <w:rsid w:val="009C3580"/>
    <w:rsid w:val="00A07231"/>
    <w:rsid w:val="00A124EF"/>
    <w:rsid w:val="00AB1D4A"/>
    <w:rsid w:val="00AF2487"/>
    <w:rsid w:val="00B04265"/>
    <w:rsid w:val="00B4491E"/>
    <w:rsid w:val="00B80231"/>
    <w:rsid w:val="00B94DDD"/>
    <w:rsid w:val="00BA190F"/>
    <w:rsid w:val="00C04537"/>
    <w:rsid w:val="00C427EF"/>
    <w:rsid w:val="00C70DC1"/>
    <w:rsid w:val="00C829BD"/>
    <w:rsid w:val="00CE60E6"/>
    <w:rsid w:val="00D160E9"/>
    <w:rsid w:val="00DC5172"/>
    <w:rsid w:val="00DE2136"/>
    <w:rsid w:val="00E014D0"/>
    <w:rsid w:val="00E05675"/>
    <w:rsid w:val="00E215DE"/>
    <w:rsid w:val="00E932E0"/>
    <w:rsid w:val="00EA604A"/>
    <w:rsid w:val="00EA6452"/>
    <w:rsid w:val="00ED035C"/>
    <w:rsid w:val="00ED2002"/>
    <w:rsid w:val="00F074CF"/>
    <w:rsid w:val="00F07A39"/>
    <w:rsid w:val="00F25D7B"/>
    <w:rsid w:val="00FC5786"/>
    <w:rsid w:val="00FE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27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27E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53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535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17352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17352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17352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17352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17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徐良宵</dc:creator>
  <cp:lastModifiedBy>ZHONGM</cp:lastModifiedBy>
  <cp:revision>2</cp:revision>
  <dcterms:created xsi:type="dcterms:W3CDTF">2025-03-14T16:02:00Z</dcterms:created>
  <dcterms:modified xsi:type="dcterms:W3CDTF">2025-03-14T16:02:00Z</dcterms:modified>
</cp:coreProperties>
</file>