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2E" w:rsidRDefault="00D57CF5">
      <w:pPr>
        <w:widowControl/>
        <w:spacing w:line="360" w:lineRule="auto"/>
        <w:jc w:val="center"/>
        <w:rPr>
          <w:rFonts w:ascii="华文仿宋" w:eastAsia="华文仿宋" w:hAnsi="华文仿宋" w:cs="宋体"/>
          <w:b/>
          <w:color w:val="000000"/>
          <w:kern w:val="0"/>
          <w:sz w:val="28"/>
          <w:szCs w:val="28"/>
        </w:rPr>
      </w:pPr>
      <w:r>
        <w:rPr>
          <w:rFonts w:ascii="华文仿宋" w:eastAsia="华文仿宋" w:hAnsi="华文仿宋" w:cs="宋体" w:hint="eastAsia"/>
          <w:b/>
          <w:color w:val="000000"/>
          <w:kern w:val="0"/>
          <w:sz w:val="28"/>
          <w:szCs w:val="28"/>
        </w:rPr>
        <w:t>泰信基金管理有限公司关于旗下部分基金新增国融证券股份</w:t>
      </w:r>
    </w:p>
    <w:p w:rsidR="0041182E" w:rsidRDefault="00D57CF5">
      <w:pPr>
        <w:widowControl/>
        <w:spacing w:line="360" w:lineRule="auto"/>
        <w:jc w:val="center"/>
        <w:rPr>
          <w:rFonts w:ascii="华文仿宋" w:eastAsia="华文仿宋" w:hAnsi="华文仿宋" w:cs="宋体"/>
          <w:b/>
          <w:color w:val="000000"/>
          <w:kern w:val="0"/>
          <w:sz w:val="28"/>
          <w:szCs w:val="28"/>
        </w:rPr>
      </w:pPr>
      <w:r>
        <w:rPr>
          <w:rFonts w:ascii="华文仿宋" w:eastAsia="华文仿宋" w:hAnsi="华文仿宋" w:cs="宋体" w:hint="eastAsia"/>
          <w:b/>
          <w:color w:val="000000"/>
          <w:kern w:val="0"/>
          <w:sz w:val="28"/>
          <w:szCs w:val="28"/>
        </w:rPr>
        <w:t xml:space="preserve">有限公司为销售机构并开通定投和转换业务的公告 </w:t>
      </w:r>
    </w:p>
    <w:p w:rsidR="0041182E" w:rsidRDefault="00D57CF5">
      <w:pPr>
        <w:pStyle w:val="Default"/>
        <w:spacing w:line="360" w:lineRule="auto"/>
        <w:ind w:firstLineChars="228" w:firstLine="638"/>
        <w:rPr>
          <w:rFonts w:ascii="华文仿宋" w:eastAsia="华文仿宋" w:hAnsi="华文仿宋"/>
          <w:sz w:val="28"/>
          <w:szCs w:val="28"/>
        </w:rPr>
      </w:pPr>
      <w:r>
        <w:rPr>
          <w:rFonts w:ascii="华文仿宋" w:eastAsia="华文仿宋" w:hAnsi="华文仿宋" w:hint="eastAsia"/>
          <w:sz w:val="28"/>
          <w:szCs w:val="28"/>
        </w:rPr>
        <w:t>根据泰信基金管理有限公司（以下简称“本公司”）与国融证券股份有限公司（以下简称“国融证券”）签署的相关协议，自</w:t>
      </w:r>
      <w:r>
        <w:rPr>
          <w:rFonts w:ascii="华文仿宋" w:eastAsia="华文仿宋" w:hAnsi="华文仿宋"/>
          <w:sz w:val="28"/>
          <w:szCs w:val="28"/>
        </w:rPr>
        <w:t>202</w:t>
      </w:r>
      <w:r>
        <w:rPr>
          <w:rFonts w:ascii="华文仿宋" w:eastAsia="华文仿宋" w:hAnsi="华文仿宋" w:hint="eastAsia"/>
          <w:sz w:val="28"/>
          <w:szCs w:val="28"/>
        </w:rPr>
        <w:t>5</w:t>
      </w:r>
      <w:r>
        <w:rPr>
          <w:rFonts w:ascii="华文仿宋" w:eastAsia="华文仿宋" w:hAnsi="华文仿宋"/>
          <w:sz w:val="28"/>
          <w:szCs w:val="28"/>
        </w:rPr>
        <w:t>年</w:t>
      </w:r>
      <w:r>
        <w:rPr>
          <w:rFonts w:ascii="华文仿宋" w:eastAsia="华文仿宋" w:hAnsi="华文仿宋" w:hint="eastAsia"/>
          <w:sz w:val="28"/>
          <w:szCs w:val="28"/>
        </w:rPr>
        <w:t>3</w:t>
      </w:r>
      <w:r>
        <w:rPr>
          <w:rFonts w:ascii="华文仿宋" w:eastAsia="华文仿宋" w:hAnsi="华文仿宋"/>
          <w:sz w:val="28"/>
          <w:szCs w:val="28"/>
        </w:rPr>
        <w:t>月</w:t>
      </w:r>
      <w:r>
        <w:rPr>
          <w:rFonts w:ascii="华文仿宋" w:eastAsia="华文仿宋" w:hAnsi="华文仿宋" w:hint="eastAsia"/>
          <w:sz w:val="28"/>
          <w:szCs w:val="28"/>
        </w:rPr>
        <w:t>14</w:t>
      </w:r>
      <w:r>
        <w:rPr>
          <w:rFonts w:ascii="华文仿宋" w:eastAsia="华文仿宋" w:hAnsi="华文仿宋"/>
          <w:sz w:val="28"/>
          <w:szCs w:val="28"/>
        </w:rPr>
        <w:t>日</w:t>
      </w:r>
      <w:r>
        <w:rPr>
          <w:rFonts w:ascii="华文仿宋" w:eastAsia="华文仿宋" w:hAnsi="华文仿宋" w:hint="eastAsia"/>
          <w:sz w:val="28"/>
          <w:szCs w:val="28"/>
        </w:rPr>
        <w:t>起，</w:t>
      </w:r>
      <w:r>
        <w:rPr>
          <w:rFonts w:ascii="华文仿宋" w:eastAsia="华文仿宋" w:hAnsi="华文仿宋"/>
          <w:sz w:val="28"/>
          <w:szCs w:val="28"/>
        </w:rPr>
        <w:t>本公司旗下</w:t>
      </w:r>
      <w:r>
        <w:rPr>
          <w:rFonts w:ascii="华文仿宋" w:eastAsia="华文仿宋" w:hAnsi="华文仿宋" w:hint="eastAsia"/>
          <w:sz w:val="28"/>
          <w:szCs w:val="28"/>
        </w:rPr>
        <w:t>部分基金新增国融证券为销售机构，并</w:t>
      </w:r>
      <w:r>
        <w:rPr>
          <w:rFonts w:ascii="华文仿宋" w:eastAsia="华文仿宋" w:hAnsi="华文仿宋"/>
          <w:sz w:val="28"/>
          <w:szCs w:val="28"/>
        </w:rPr>
        <w:t>开通定投</w:t>
      </w:r>
      <w:r>
        <w:rPr>
          <w:rFonts w:ascii="华文仿宋" w:eastAsia="华文仿宋" w:hAnsi="华文仿宋" w:hint="eastAsia"/>
          <w:sz w:val="28"/>
          <w:szCs w:val="28"/>
        </w:rPr>
        <w:t>和</w:t>
      </w:r>
      <w:r>
        <w:rPr>
          <w:rFonts w:ascii="华文仿宋" w:eastAsia="华文仿宋" w:hAnsi="华文仿宋"/>
          <w:sz w:val="28"/>
          <w:szCs w:val="28"/>
        </w:rPr>
        <w:t>转换业务。</w:t>
      </w:r>
    </w:p>
    <w:p w:rsidR="0041182E" w:rsidRDefault="00D57CF5">
      <w:pPr>
        <w:pStyle w:val="Default"/>
        <w:numPr>
          <w:ilvl w:val="0"/>
          <w:numId w:val="1"/>
        </w:numPr>
        <w:spacing w:line="360" w:lineRule="auto"/>
        <w:rPr>
          <w:rFonts w:ascii="华文仿宋" w:eastAsia="华文仿宋" w:hAnsi="华文仿宋"/>
          <w:sz w:val="28"/>
          <w:szCs w:val="28"/>
        </w:rPr>
      </w:pPr>
      <w:r>
        <w:rPr>
          <w:rFonts w:ascii="华文仿宋" w:eastAsia="华文仿宋" w:hAnsi="华文仿宋" w:hint="eastAsia"/>
          <w:sz w:val="28"/>
          <w:szCs w:val="28"/>
        </w:rPr>
        <w:t>业务开通情况：</w:t>
      </w:r>
    </w:p>
    <w:tbl>
      <w:tblPr>
        <w:tblStyle w:val="TableNormal"/>
        <w:tblpPr w:leftFromText="180" w:rightFromText="180" w:vertAnchor="text" w:horzAnchor="page" w:tblpX="1790" w:tblpY="109"/>
        <w:tblOverlap w:val="never"/>
        <w:tblW w:w="835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49"/>
        <w:gridCol w:w="1935"/>
        <w:gridCol w:w="1903"/>
        <w:gridCol w:w="1967"/>
      </w:tblGrid>
      <w:tr w:rsidR="0041182E" w:rsidTr="00565006">
        <w:trPr>
          <w:trHeight w:val="320"/>
        </w:trPr>
        <w:tc>
          <w:tcPr>
            <w:tcW w:w="2549" w:type="dxa"/>
          </w:tcPr>
          <w:p w:rsidR="0041182E" w:rsidRPr="00565006" w:rsidRDefault="00D57CF5">
            <w:pPr>
              <w:spacing w:before="55" w:line="360" w:lineRule="auto"/>
              <w:jc w:val="center"/>
              <w:rPr>
                <w:rFonts w:ascii="仿宋" w:eastAsia="仿宋" w:hAnsi="仿宋" w:cs="仿宋"/>
                <w:sz w:val="24"/>
                <w:szCs w:val="24"/>
              </w:rPr>
            </w:pPr>
            <w:r w:rsidRPr="00565006">
              <w:rPr>
                <w:rFonts w:ascii="仿宋" w:eastAsia="仿宋" w:hAnsi="仿宋" w:cs="仿宋"/>
                <w:spacing w:val="-3"/>
                <w:sz w:val="24"/>
                <w:szCs w:val="24"/>
              </w:rPr>
              <w:t>基金简称</w:t>
            </w:r>
          </w:p>
        </w:tc>
        <w:tc>
          <w:tcPr>
            <w:tcW w:w="1935" w:type="dxa"/>
          </w:tcPr>
          <w:p w:rsidR="0041182E" w:rsidRPr="00565006" w:rsidRDefault="00D57CF5">
            <w:pPr>
              <w:spacing w:before="55" w:line="360" w:lineRule="auto"/>
              <w:ind w:hanging="10"/>
              <w:jc w:val="center"/>
              <w:rPr>
                <w:rFonts w:ascii="仿宋" w:eastAsia="仿宋" w:hAnsi="仿宋" w:cs="仿宋"/>
                <w:sz w:val="24"/>
                <w:szCs w:val="24"/>
              </w:rPr>
            </w:pPr>
            <w:r w:rsidRPr="00565006">
              <w:rPr>
                <w:rFonts w:ascii="仿宋" w:eastAsia="仿宋" w:hAnsi="仿宋" w:cs="仿宋"/>
                <w:spacing w:val="-3"/>
                <w:sz w:val="24"/>
                <w:szCs w:val="24"/>
              </w:rPr>
              <w:t>基金代码</w:t>
            </w:r>
          </w:p>
        </w:tc>
        <w:tc>
          <w:tcPr>
            <w:tcW w:w="1903" w:type="dxa"/>
          </w:tcPr>
          <w:p w:rsidR="0041182E" w:rsidRPr="00565006" w:rsidRDefault="00D57CF5">
            <w:pPr>
              <w:spacing w:before="55" w:line="360" w:lineRule="auto"/>
              <w:jc w:val="center"/>
              <w:rPr>
                <w:rFonts w:ascii="仿宋" w:eastAsia="仿宋" w:hAnsi="仿宋" w:cs="仿宋"/>
                <w:sz w:val="24"/>
                <w:szCs w:val="24"/>
              </w:rPr>
            </w:pPr>
            <w:r w:rsidRPr="00565006">
              <w:rPr>
                <w:rFonts w:ascii="仿宋" w:eastAsia="仿宋" w:hAnsi="仿宋" w:cs="仿宋"/>
                <w:spacing w:val="-3"/>
                <w:sz w:val="24"/>
                <w:szCs w:val="24"/>
              </w:rPr>
              <w:t>是否开通转换</w:t>
            </w:r>
          </w:p>
        </w:tc>
        <w:tc>
          <w:tcPr>
            <w:tcW w:w="1967" w:type="dxa"/>
          </w:tcPr>
          <w:p w:rsidR="0041182E" w:rsidRPr="00565006" w:rsidRDefault="00D57CF5">
            <w:pPr>
              <w:spacing w:before="55" w:line="360" w:lineRule="auto"/>
              <w:jc w:val="center"/>
              <w:rPr>
                <w:rFonts w:ascii="仿宋" w:eastAsia="仿宋" w:hAnsi="仿宋" w:cs="仿宋"/>
                <w:spacing w:val="-3"/>
                <w:sz w:val="24"/>
                <w:szCs w:val="24"/>
              </w:rPr>
            </w:pPr>
            <w:r w:rsidRPr="00565006">
              <w:rPr>
                <w:rFonts w:ascii="仿宋" w:eastAsia="仿宋" w:hAnsi="仿宋" w:cs="仿宋" w:hint="eastAsia"/>
                <w:spacing w:val="-3"/>
                <w:sz w:val="24"/>
                <w:szCs w:val="24"/>
              </w:rPr>
              <w:t>是否开通定投</w:t>
            </w:r>
          </w:p>
        </w:tc>
      </w:tr>
      <w:tr w:rsidR="0041182E" w:rsidTr="00565006">
        <w:trPr>
          <w:trHeight w:val="495"/>
        </w:trPr>
        <w:tc>
          <w:tcPr>
            <w:tcW w:w="2549" w:type="dxa"/>
            <w:vMerge w:val="restart"/>
            <w:shd w:val="clear" w:color="auto" w:fill="auto"/>
            <w:vAlign w:val="center"/>
          </w:tcPr>
          <w:p w:rsidR="0041182E" w:rsidRPr="00565006" w:rsidRDefault="00D57CF5">
            <w:pPr>
              <w:spacing w:before="55" w:line="360" w:lineRule="auto"/>
              <w:ind w:hanging="10"/>
              <w:jc w:val="center"/>
              <w:rPr>
                <w:rFonts w:ascii="仿宋" w:eastAsia="仿宋" w:hAnsi="仿宋" w:cs="仿宋"/>
                <w:spacing w:val="-3"/>
                <w:sz w:val="24"/>
                <w:szCs w:val="24"/>
              </w:rPr>
            </w:pPr>
            <w:r w:rsidRPr="00565006">
              <w:rPr>
                <w:rFonts w:ascii="仿宋" w:eastAsia="仿宋" w:hAnsi="仿宋" w:cs="仿宋" w:hint="eastAsia"/>
                <w:spacing w:val="-3"/>
                <w:sz w:val="24"/>
                <w:szCs w:val="24"/>
              </w:rPr>
              <w:t>泰信鑫选混合</w:t>
            </w:r>
          </w:p>
        </w:tc>
        <w:tc>
          <w:tcPr>
            <w:tcW w:w="1935" w:type="dxa"/>
            <w:shd w:val="clear" w:color="auto" w:fill="auto"/>
          </w:tcPr>
          <w:p w:rsidR="0041182E" w:rsidRPr="00565006" w:rsidRDefault="00D57CF5">
            <w:pPr>
              <w:spacing w:before="55" w:line="360" w:lineRule="auto"/>
              <w:ind w:hanging="10"/>
              <w:jc w:val="center"/>
              <w:rPr>
                <w:rFonts w:ascii="仿宋" w:eastAsia="仿宋" w:hAnsi="仿宋" w:cs="仿宋"/>
                <w:spacing w:val="-3"/>
                <w:sz w:val="24"/>
                <w:szCs w:val="24"/>
              </w:rPr>
            </w:pPr>
            <w:r w:rsidRPr="00565006">
              <w:rPr>
                <w:rFonts w:ascii="仿宋" w:eastAsia="仿宋" w:hAnsi="仿宋" w:cs="仿宋" w:hint="eastAsia"/>
                <w:spacing w:val="-3"/>
                <w:sz w:val="24"/>
                <w:szCs w:val="24"/>
              </w:rPr>
              <w:t>A 类：001970</w:t>
            </w:r>
          </w:p>
        </w:tc>
        <w:tc>
          <w:tcPr>
            <w:tcW w:w="1903" w:type="dxa"/>
            <w:vMerge w:val="restart"/>
            <w:shd w:val="clear" w:color="auto" w:fill="auto"/>
            <w:vAlign w:val="center"/>
          </w:tcPr>
          <w:p w:rsidR="0041182E" w:rsidRPr="00565006" w:rsidRDefault="00D57CF5">
            <w:pPr>
              <w:spacing w:before="55" w:line="360" w:lineRule="auto"/>
              <w:ind w:hanging="10"/>
              <w:jc w:val="center"/>
              <w:rPr>
                <w:rFonts w:ascii="仿宋" w:eastAsia="仿宋" w:hAnsi="仿宋" w:cs="仿宋"/>
                <w:spacing w:val="-3"/>
                <w:sz w:val="24"/>
                <w:szCs w:val="24"/>
              </w:rPr>
            </w:pPr>
            <w:r w:rsidRPr="00565006">
              <w:rPr>
                <w:rFonts w:ascii="仿宋" w:eastAsia="仿宋" w:hAnsi="仿宋" w:cs="仿宋" w:hint="eastAsia"/>
                <w:spacing w:val="-3"/>
                <w:sz w:val="24"/>
                <w:szCs w:val="24"/>
              </w:rPr>
              <w:t>是</w:t>
            </w:r>
          </w:p>
        </w:tc>
        <w:tc>
          <w:tcPr>
            <w:tcW w:w="1967" w:type="dxa"/>
            <w:vMerge w:val="restart"/>
            <w:shd w:val="clear" w:color="auto" w:fill="auto"/>
            <w:vAlign w:val="center"/>
          </w:tcPr>
          <w:p w:rsidR="0041182E" w:rsidRPr="00565006" w:rsidRDefault="00D57CF5">
            <w:pPr>
              <w:spacing w:before="55" w:line="360" w:lineRule="auto"/>
              <w:ind w:hanging="10"/>
              <w:jc w:val="center"/>
              <w:rPr>
                <w:rFonts w:ascii="仿宋" w:eastAsia="仿宋" w:hAnsi="仿宋" w:cs="仿宋"/>
                <w:spacing w:val="-3"/>
                <w:sz w:val="24"/>
                <w:szCs w:val="24"/>
              </w:rPr>
            </w:pPr>
            <w:r w:rsidRPr="00565006">
              <w:rPr>
                <w:rFonts w:ascii="仿宋" w:eastAsia="仿宋" w:hAnsi="仿宋" w:cs="仿宋" w:hint="eastAsia"/>
                <w:spacing w:val="-3"/>
                <w:sz w:val="24"/>
                <w:szCs w:val="24"/>
              </w:rPr>
              <w:t>是</w:t>
            </w:r>
          </w:p>
        </w:tc>
      </w:tr>
      <w:tr w:rsidR="0041182E" w:rsidTr="00565006">
        <w:trPr>
          <w:trHeight w:val="495"/>
        </w:trPr>
        <w:tc>
          <w:tcPr>
            <w:tcW w:w="2549" w:type="dxa"/>
            <w:vMerge/>
            <w:shd w:val="clear" w:color="auto" w:fill="auto"/>
          </w:tcPr>
          <w:p w:rsidR="0041182E" w:rsidRPr="00565006" w:rsidRDefault="0041182E">
            <w:pPr>
              <w:spacing w:before="55" w:line="360" w:lineRule="auto"/>
              <w:ind w:hanging="10"/>
              <w:jc w:val="center"/>
              <w:rPr>
                <w:rFonts w:ascii="仿宋" w:eastAsia="仿宋" w:hAnsi="仿宋" w:cs="仿宋"/>
                <w:spacing w:val="-3"/>
                <w:sz w:val="24"/>
                <w:szCs w:val="24"/>
              </w:rPr>
            </w:pPr>
          </w:p>
        </w:tc>
        <w:tc>
          <w:tcPr>
            <w:tcW w:w="1935" w:type="dxa"/>
            <w:shd w:val="clear" w:color="auto" w:fill="auto"/>
          </w:tcPr>
          <w:p w:rsidR="0041182E" w:rsidRPr="00565006" w:rsidRDefault="00D57CF5">
            <w:pPr>
              <w:spacing w:before="55" w:line="360" w:lineRule="auto"/>
              <w:ind w:hanging="10"/>
              <w:jc w:val="center"/>
              <w:rPr>
                <w:rFonts w:ascii="仿宋" w:eastAsia="仿宋" w:hAnsi="仿宋" w:cs="仿宋"/>
                <w:spacing w:val="-3"/>
                <w:sz w:val="24"/>
                <w:szCs w:val="24"/>
              </w:rPr>
            </w:pPr>
            <w:r w:rsidRPr="00565006">
              <w:rPr>
                <w:rFonts w:ascii="仿宋" w:eastAsia="仿宋" w:hAnsi="仿宋" w:cs="仿宋" w:hint="eastAsia"/>
                <w:spacing w:val="-3"/>
                <w:sz w:val="24"/>
                <w:szCs w:val="24"/>
              </w:rPr>
              <w:t>C 类：002580</w:t>
            </w:r>
          </w:p>
        </w:tc>
        <w:tc>
          <w:tcPr>
            <w:tcW w:w="1903" w:type="dxa"/>
            <w:vMerge/>
            <w:shd w:val="clear" w:color="auto" w:fill="auto"/>
          </w:tcPr>
          <w:p w:rsidR="0041182E" w:rsidRPr="00565006" w:rsidRDefault="0041182E">
            <w:pPr>
              <w:spacing w:before="55" w:line="360" w:lineRule="auto"/>
              <w:ind w:hanging="10"/>
              <w:jc w:val="center"/>
              <w:rPr>
                <w:rFonts w:ascii="仿宋" w:eastAsia="仿宋" w:hAnsi="仿宋" w:cs="仿宋"/>
                <w:spacing w:val="-3"/>
                <w:sz w:val="24"/>
                <w:szCs w:val="24"/>
              </w:rPr>
            </w:pPr>
          </w:p>
        </w:tc>
        <w:tc>
          <w:tcPr>
            <w:tcW w:w="1967" w:type="dxa"/>
            <w:vMerge/>
            <w:shd w:val="clear" w:color="auto" w:fill="auto"/>
          </w:tcPr>
          <w:p w:rsidR="0041182E" w:rsidRPr="00565006" w:rsidRDefault="0041182E">
            <w:pPr>
              <w:spacing w:before="55" w:line="360" w:lineRule="auto"/>
              <w:ind w:hanging="10"/>
              <w:jc w:val="center"/>
              <w:rPr>
                <w:rFonts w:ascii="仿宋" w:eastAsia="仿宋" w:hAnsi="仿宋" w:cs="仿宋"/>
                <w:spacing w:val="-3"/>
                <w:sz w:val="24"/>
                <w:szCs w:val="24"/>
              </w:rPr>
            </w:pPr>
          </w:p>
        </w:tc>
      </w:tr>
      <w:tr w:rsidR="0041182E" w:rsidTr="00565006">
        <w:trPr>
          <w:trHeight w:val="495"/>
        </w:trPr>
        <w:tc>
          <w:tcPr>
            <w:tcW w:w="2549" w:type="dxa"/>
          </w:tcPr>
          <w:p w:rsidR="0041182E" w:rsidRPr="00565006" w:rsidRDefault="00D57CF5">
            <w:pPr>
              <w:spacing w:before="55" w:line="360" w:lineRule="auto"/>
              <w:ind w:hanging="10"/>
              <w:jc w:val="center"/>
              <w:rPr>
                <w:rFonts w:ascii="仿宋" w:eastAsia="仿宋" w:hAnsi="仿宋" w:cs="仿宋"/>
                <w:spacing w:val="-3"/>
                <w:sz w:val="24"/>
                <w:szCs w:val="24"/>
              </w:rPr>
            </w:pPr>
            <w:r w:rsidRPr="00565006">
              <w:rPr>
                <w:rFonts w:ascii="仿宋" w:eastAsia="仿宋" w:hAnsi="仿宋" w:cs="仿宋" w:hint="eastAsia"/>
                <w:spacing w:val="-3"/>
                <w:sz w:val="24"/>
                <w:szCs w:val="24"/>
              </w:rPr>
              <w:t>泰信中小盘精选混合</w:t>
            </w:r>
          </w:p>
        </w:tc>
        <w:tc>
          <w:tcPr>
            <w:tcW w:w="1935" w:type="dxa"/>
            <w:shd w:val="clear" w:color="auto" w:fill="auto"/>
          </w:tcPr>
          <w:p w:rsidR="0041182E" w:rsidRPr="00565006" w:rsidRDefault="00D57CF5">
            <w:pPr>
              <w:spacing w:before="55" w:line="360" w:lineRule="auto"/>
              <w:ind w:hanging="10"/>
              <w:jc w:val="center"/>
              <w:rPr>
                <w:rFonts w:ascii="仿宋" w:eastAsia="仿宋" w:hAnsi="仿宋" w:cs="仿宋"/>
                <w:spacing w:val="-3"/>
                <w:sz w:val="24"/>
                <w:szCs w:val="24"/>
              </w:rPr>
            </w:pPr>
            <w:r w:rsidRPr="00565006">
              <w:rPr>
                <w:rFonts w:ascii="仿宋" w:eastAsia="仿宋" w:hAnsi="仿宋" w:cs="仿宋" w:hint="eastAsia"/>
                <w:spacing w:val="-3"/>
                <w:sz w:val="24"/>
                <w:szCs w:val="24"/>
              </w:rPr>
              <w:t>290011</w:t>
            </w:r>
          </w:p>
        </w:tc>
        <w:tc>
          <w:tcPr>
            <w:tcW w:w="1903" w:type="dxa"/>
            <w:shd w:val="clear" w:color="auto" w:fill="auto"/>
          </w:tcPr>
          <w:p w:rsidR="0041182E" w:rsidRPr="00565006" w:rsidRDefault="00D57CF5">
            <w:pPr>
              <w:spacing w:before="55" w:line="360" w:lineRule="auto"/>
              <w:ind w:hanging="10"/>
              <w:jc w:val="center"/>
              <w:rPr>
                <w:rFonts w:ascii="仿宋" w:eastAsia="仿宋" w:hAnsi="仿宋" w:cs="仿宋"/>
                <w:spacing w:val="-3"/>
                <w:sz w:val="24"/>
                <w:szCs w:val="24"/>
              </w:rPr>
            </w:pPr>
            <w:r w:rsidRPr="00565006">
              <w:rPr>
                <w:rFonts w:ascii="仿宋" w:eastAsia="仿宋" w:hAnsi="仿宋" w:cs="仿宋" w:hint="eastAsia"/>
                <w:spacing w:val="-3"/>
                <w:sz w:val="24"/>
                <w:szCs w:val="24"/>
              </w:rPr>
              <w:t>是</w:t>
            </w:r>
          </w:p>
        </w:tc>
        <w:tc>
          <w:tcPr>
            <w:tcW w:w="1967" w:type="dxa"/>
            <w:shd w:val="clear" w:color="auto" w:fill="auto"/>
          </w:tcPr>
          <w:p w:rsidR="0041182E" w:rsidRPr="00565006" w:rsidRDefault="00D57CF5">
            <w:pPr>
              <w:spacing w:before="55" w:line="360" w:lineRule="auto"/>
              <w:ind w:hanging="10"/>
              <w:jc w:val="center"/>
              <w:rPr>
                <w:rFonts w:ascii="仿宋" w:eastAsia="仿宋" w:hAnsi="仿宋" w:cs="仿宋"/>
                <w:spacing w:val="-3"/>
                <w:sz w:val="24"/>
                <w:szCs w:val="24"/>
              </w:rPr>
            </w:pPr>
            <w:r w:rsidRPr="00565006">
              <w:rPr>
                <w:rFonts w:ascii="仿宋" w:eastAsia="仿宋" w:hAnsi="仿宋" w:cs="仿宋" w:hint="eastAsia"/>
                <w:spacing w:val="-3"/>
                <w:sz w:val="24"/>
                <w:szCs w:val="24"/>
              </w:rPr>
              <w:t>是</w:t>
            </w:r>
          </w:p>
        </w:tc>
      </w:tr>
    </w:tbl>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 二 、基金转换业务规则</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1.基金转换是指投资者在持有本公司发行的任一开放式基金后，可将其持有的基金份额直接转换成本公司管理的其它开放式基金的基金份额，而不需要先赎回已持有的基金份额，再申购目标基金的一种业务模式。</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2.基金转换只能在同一销售机构进行。转换的两只基金必须都是该销售人代理的同一基金管理人管理的、在同一注册登记人处注册且已开通转换业务的基金。</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3.投资者办理基金转换业务时，转出方的基金必须处于可赎回状态，转入方的基金必须处于可申购状态。</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lastRenderedPageBreak/>
        <w:t>4.基金转换的目标基金份额按新交易计算持有时间。基金转出视为赎回，转入视为申购。正常情况下，基金注册与过户登记人将在T+1日对投资者T日的基金转换业务申请进行有效性确认。在T＋2日后（包括该日）投资者可向销售机构查询基金转换的成交情况。基金转换后可赎回的时间为T＋2日后（包括该日）。</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5.基金分红时再投资的份额可在权益登记日的T＋2日提交基金转换申请。</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6.基金转换采取未知价法，即以申请受理当日各转出、转入基金的单位资产净值为基础进行计算。</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7. 基金转换费用由转出基金的赎回费、转出和转入基金的申购费补差构成。</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8.基金转换的具体计算公式如下：</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ab/>
        <w:t>①转出金额=转出基金份额×转出基金T日基金份额净值</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 xml:space="preserve"> ②转出基金赎回费用=转出金额×转出基金赎回费率</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 xml:space="preserve"> ③转入金额=转出金额-转出基金赎回费用</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 xml:space="preserve"> ④转入基金申购费=转入金额/(1+转入基金申购费率)×转入基金申购费率</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若转入基金申购费适用固定费用</w:t>
      </w:r>
      <w:r>
        <w:rPr>
          <w:rFonts w:ascii="华文仿宋" w:eastAsia="华文仿宋" w:hAnsi="华文仿宋"/>
          <w:sz w:val="28"/>
          <w:szCs w:val="28"/>
        </w:rPr>
        <w:t>,则转入基金申购费=转入基金固定申购费</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 xml:space="preserve"> ⑤转出基金申购费=转入金额/(1+转出基金申购费率)×转出基金申购费率</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 xml:space="preserve"> 若转出基金申购费适用固定费用,则转出基金申购费=转出基金</w:t>
      </w:r>
      <w:r>
        <w:rPr>
          <w:rFonts w:ascii="华文仿宋" w:eastAsia="华文仿宋" w:hAnsi="华文仿宋"/>
          <w:sz w:val="28"/>
          <w:szCs w:val="28"/>
        </w:rPr>
        <w:lastRenderedPageBreak/>
        <w:t>固定申购费</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 xml:space="preserve">=Max{(转入基金申购费-转出基金申购费)，0} </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=转入金额-补差费用</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=净转入金额/转入基金T日基金份额净值</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注：公式中的“转出基金申购费”是在本次转换过程中按照转入金额重新计算的费用，仅用于计算补差费用，非转出基金份额在申购时实际支付的费用。</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例</w:t>
      </w:r>
      <w:r>
        <w:rPr>
          <w:rFonts w:ascii="华文仿宋" w:eastAsia="华文仿宋" w:hAnsi="华文仿宋"/>
          <w:sz w:val="28"/>
          <w:szCs w:val="28"/>
        </w:rPr>
        <w:t>:某投资者欲将10万份泰信周期回报债券型证券投资基金</w:t>
      </w:r>
      <w:r>
        <w:rPr>
          <w:rFonts w:ascii="华文仿宋" w:eastAsia="华文仿宋" w:hAnsi="华文仿宋" w:hint="eastAsia"/>
          <w:sz w:val="28"/>
          <w:szCs w:val="28"/>
        </w:rPr>
        <w:t>A</w:t>
      </w:r>
      <w:r>
        <w:rPr>
          <w:rFonts w:ascii="华文仿宋" w:eastAsia="华文仿宋" w:hAnsi="华文仿宋"/>
          <w:sz w:val="28"/>
          <w:szCs w:val="28"/>
        </w:rPr>
        <w:t>（以下简称“泰信周期回报债券</w:t>
      </w:r>
      <w:r>
        <w:rPr>
          <w:rFonts w:ascii="华文仿宋" w:eastAsia="华文仿宋" w:hAnsi="华文仿宋" w:hint="eastAsia"/>
          <w:sz w:val="28"/>
          <w:szCs w:val="28"/>
        </w:rPr>
        <w:t>A</w:t>
      </w:r>
      <w:r>
        <w:rPr>
          <w:rFonts w:ascii="华文仿宋" w:eastAsia="华文仿宋" w:hAnsi="华文仿宋"/>
          <w:sz w:val="28"/>
          <w:szCs w:val="28"/>
        </w:rPr>
        <w:t>”）（持有7天-365天内）转换为泰信中小盘精选混合型证券投资基金（以下简称“泰信中小盘精选混合”）。泰信周期回报债券</w:t>
      </w:r>
      <w:r>
        <w:rPr>
          <w:rFonts w:ascii="华文仿宋" w:eastAsia="华文仿宋" w:hAnsi="华文仿宋" w:hint="eastAsia"/>
          <w:sz w:val="28"/>
          <w:szCs w:val="28"/>
        </w:rPr>
        <w:t>A</w:t>
      </w:r>
      <w:r>
        <w:rPr>
          <w:rFonts w:ascii="华文仿宋" w:eastAsia="华文仿宋" w:hAnsi="华文仿宋"/>
          <w:sz w:val="28"/>
          <w:szCs w:val="28"/>
        </w:rPr>
        <w:t>对应申请日份额净值假设为1.020元</w:t>
      </w:r>
      <w:r>
        <w:rPr>
          <w:rFonts w:ascii="华文仿宋" w:eastAsia="华文仿宋" w:hAnsi="华文仿宋" w:hint="eastAsia"/>
          <w:sz w:val="28"/>
          <w:szCs w:val="28"/>
        </w:rPr>
        <w:t>，</w:t>
      </w:r>
      <w:r>
        <w:rPr>
          <w:rFonts w:ascii="华文仿宋" w:eastAsia="华文仿宋" w:hAnsi="华文仿宋"/>
          <w:sz w:val="28"/>
          <w:szCs w:val="28"/>
        </w:rPr>
        <w:t>对应申购费率为0.8%</w:t>
      </w:r>
      <w:r>
        <w:rPr>
          <w:rFonts w:ascii="华文仿宋" w:eastAsia="华文仿宋" w:hAnsi="华文仿宋" w:hint="eastAsia"/>
          <w:sz w:val="28"/>
          <w:szCs w:val="28"/>
        </w:rPr>
        <w:t>，</w:t>
      </w:r>
      <w:r>
        <w:rPr>
          <w:rFonts w:ascii="华文仿宋" w:eastAsia="华文仿宋" w:hAnsi="华文仿宋"/>
          <w:sz w:val="28"/>
          <w:szCs w:val="28"/>
        </w:rPr>
        <w:t>对应赎回费率为0.1%。泰信中小盘精选混合对应申请日份额净值假设为1.500元</w:t>
      </w:r>
      <w:r>
        <w:rPr>
          <w:rFonts w:ascii="华文仿宋" w:eastAsia="华文仿宋" w:hAnsi="华文仿宋" w:hint="eastAsia"/>
          <w:sz w:val="28"/>
          <w:szCs w:val="28"/>
        </w:rPr>
        <w:t>，</w:t>
      </w:r>
      <w:r>
        <w:rPr>
          <w:rFonts w:ascii="华文仿宋" w:eastAsia="华文仿宋" w:hAnsi="华文仿宋"/>
          <w:sz w:val="28"/>
          <w:szCs w:val="28"/>
        </w:rPr>
        <w:t>对应申购费率为1.5%</w:t>
      </w:r>
      <w:r>
        <w:rPr>
          <w:rFonts w:ascii="华文仿宋" w:eastAsia="华文仿宋" w:hAnsi="华文仿宋" w:hint="eastAsia"/>
          <w:sz w:val="28"/>
          <w:szCs w:val="28"/>
        </w:rPr>
        <w:t>。</w:t>
      </w:r>
      <w:r>
        <w:rPr>
          <w:rFonts w:ascii="华文仿宋" w:eastAsia="华文仿宋" w:hAnsi="华文仿宋"/>
          <w:sz w:val="28"/>
          <w:szCs w:val="28"/>
        </w:rPr>
        <w:t>则该次转换投资者可得到的泰信中小盘精选混合份额计算方法为：</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①转出金额</w:t>
      </w:r>
      <w:r>
        <w:rPr>
          <w:rFonts w:ascii="华文仿宋" w:eastAsia="华文仿宋" w:hAnsi="华文仿宋"/>
          <w:sz w:val="28"/>
          <w:szCs w:val="28"/>
        </w:rPr>
        <w:t>=100,000.00×1.020=102,000.00元</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②转出基金赎回费用</w:t>
      </w:r>
      <w:r>
        <w:rPr>
          <w:rFonts w:ascii="华文仿宋" w:eastAsia="华文仿宋" w:hAnsi="华文仿宋"/>
          <w:sz w:val="28"/>
          <w:szCs w:val="28"/>
        </w:rPr>
        <w:t>=102,000.00×0.1%=102.00元</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③转入金额</w:t>
      </w:r>
      <w:r>
        <w:rPr>
          <w:rFonts w:ascii="华文仿宋" w:eastAsia="华文仿宋" w:hAnsi="华文仿宋"/>
          <w:sz w:val="28"/>
          <w:szCs w:val="28"/>
        </w:rPr>
        <w:t>=102,000.00-102.00=101,898.00元</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④转入基金申购费</w:t>
      </w:r>
      <w:r>
        <w:rPr>
          <w:rFonts w:ascii="华文仿宋" w:eastAsia="华文仿宋" w:hAnsi="华文仿宋"/>
          <w:sz w:val="28"/>
          <w:szCs w:val="28"/>
        </w:rPr>
        <w:t>=101,898.00/(1+1.5%)×1.5%=1,505.88元</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⑤转出基金申购费</w:t>
      </w:r>
      <w:r>
        <w:rPr>
          <w:rFonts w:ascii="华文仿宋" w:eastAsia="华文仿宋" w:hAnsi="华文仿宋"/>
          <w:sz w:val="28"/>
          <w:szCs w:val="28"/>
        </w:rPr>
        <w:t>=101,898.00/(1+0.8%)×0.8%=808.71元</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=转入基金申购费-转出基金申购费</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=1,505.88-808.71=697.17元</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=101,898.00-697.17=101,200.83元</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=101,200.83/1.500=67,467.22份</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9.投资者采用“份额转换”的原则提交申请。基金转出份额必须是可用份额，并遵循“先进先出”的原则。已冻结份额不得申请转换。</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10.各基金的转换申请时间以其《基金合同》及《招募说明书》的相关规定为准，当日的转换申请可以在15:00以前在销售商处撤销，超过交易时间的申请作失败或下一日申请处理。</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11.基金转出的份额限制以其《基金合同》及《招募说明书》的相关规定为准，单笔转入申请不受转入基金最低申购限额限制。</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12.单个开放日基金净赎回份额及净转换转出申请份额之和超出上一开放日基金总份额的10%时，为巨额赎回（个别基金比例是否构成巨额赎回以具体的基金合同为准）。发生巨额赎回时，基金转出与基金赎回具有相同的优先级，基金管理人可根据基金资产组合情况，决定全额转出或部分转出，并且对于基金转出和基金赎回，将采取相同的比例确认。在转出申请得到部分确认的情况下，未确认的转出申请将不予以顺延。</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13.出现下列情况之一时，基金管理人可以暂停基金转换业务：</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1）不可抗力的原因导致基金无法正常运作。</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2）证券交易场所在交易时间非正常停市，导致基金管理人无法计算当日基金份额净值。</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3）因市场剧烈波动或其他原因而出现连续巨额赎回，基金管理人认为有必要暂停接受该基金份额转出申请。</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4）法律、法规、规章规定的其他情形或其他在《基金合同》、《招募说明书》已载明并获中国证监会批准的特殊情形。</w:t>
      </w:r>
    </w:p>
    <w:p w:rsidR="0041182E" w:rsidRDefault="00D57CF5">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5）发生上述情形之一的，基金管理人应立即向证监会备案并于规定期限内在证监会规定媒介上刊登暂停公告。重新开放基金转换时，基金管理人应在证监会规定媒介上刊登重新开放基金转换的公告。</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三、其他事项</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1.投资者欲了解各基金产品的详细情况，请仔细阅读各基金的基金合同、招募说明书等法律文件。</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2.风险提示：本公司承诺以诚实信用、勤勉尽责的原则管理和运用基金财产，但不保证基金一定盈利，也不保证最低收益。投资者投资于本公司管理的基金时应认真阅读基金合同、招募说明书等文件。</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四、投资者可通过以下途径了解或咨询相关情况</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1、泰信基金管理有限公司</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客服电话：400-888-5988 或 021-38784566</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t>
      </w:r>
      <w:hyperlink r:id="rId7" w:history="1">
        <w:r>
          <w:rPr>
            <w:rStyle w:val="aa"/>
            <w:rFonts w:ascii="华文仿宋" w:eastAsia="华文仿宋" w:hAnsi="华文仿宋" w:cs="仿宋_GB2312" w:hint="eastAsia"/>
            <w:color w:val="auto"/>
            <w:kern w:val="0"/>
            <w:sz w:val="28"/>
            <w:szCs w:val="28"/>
            <w:u w:val="none"/>
          </w:rPr>
          <w:t>www.ftfund.com</w:t>
        </w:r>
      </w:hyperlink>
    </w:p>
    <w:p w:rsidR="0041182E" w:rsidRDefault="00D57CF5">
      <w:pPr>
        <w:autoSpaceDE w:val="0"/>
        <w:autoSpaceDN w:val="0"/>
        <w:adjustRightInd w:val="0"/>
        <w:spacing w:line="360" w:lineRule="auto"/>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2、国融证券股份有限公司</w:t>
      </w:r>
    </w:p>
    <w:p w:rsidR="0041182E" w:rsidRDefault="00D57CF5">
      <w:pPr>
        <w:autoSpaceDE w:val="0"/>
        <w:autoSpaceDN w:val="0"/>
        <w:adjustRightInd w:val="0"/>
        <w:spacing w:line="360" w:lineRule="auto"/>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客服电话：0471-6992006</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网址：www.grzq.com</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特此公告。</w:t>
      </w:r>
    </w:p>
    <w:p w:rsidR="0041182E" w:rsidRDefault="00D57CF5">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风险提示：本公司承诺以诚实信用、勤勉尽责的原则管理和运</w:t>
      </w:r>
    </w:p>
    <w:p w:rsidR="0041182E" w:rsidRDefault="00D57CF5">
      <w:pPr>
        <w:autoSpaceDE w:val="0"/>
        <w:autoSpaceDN w:val="0"/>
        <w:adjustRightInd w:val="0"/>
        <w:spacing w:line="360" w:lineRule="auto"/>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用基金财产，但不保证基金一定盈利，也不保证最低收益。投资者</w:t>
      </w:r>
    </w:p>
    <w:p w:rsidR="0041182E" w:rsidRDefault="00D57CF5">
      <w:pPr>
        <w:autoSpaceDE w:val="0"/>
        <w:autoSpaceDN w:val="0"/>
        <w:adjustRightInd w:val="0"/>
        <w:spacing w:line="360" w:lineRule="auto"/>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投资于本公司管理的基金时应认真阅读基金合同、招募说明书等文件。</w:t>
      </w:r>
    </w:p>
    <w:p w:rsidR="0041182E" w:rsidRDefault="00D57CF5">
      <w:pPr>
        <w:autoSpaceDE w:val="0"/>
        <w:autoSpaceDN w:val="0"/>
        <w:adjustRightInd w:val="0"/>
        <w:spacing w:line="360" w:lineRule="auto"/>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 xml:space="preserve">　 　 </w:t>
      </w:r>
    </w:p>
    <w:p w:rsidR="0041182E" w:rsidRDefault="00D57CF5">
      <w:pPr>
        <w:autoSpaceDE w:val="0"/>
        <w:autoSpaceDN w:val="0"/>
        <w:adjustRightInd w:val="0"/>
        <w:spacing w:line="360" w:lineRule="auto"/>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泰信基金管理有限公司</w:t>
      </w:r>
    </w:p>
    <w:p w:rsidR="0041182E" w:rsidRDefault="00D57CF5">
      <w:pPr>
        <w:spacing w:line="360" w:lineRule="auto"/>
        <w:ind w:right="140"/>
        <w:jc w:val="right"/>
        <w:rPr>
          <w:rFonts w:ascii="华文仿宋" w:eastAsia="华文仿宋" w:hAnsi="华文仿宋"/>
        </w:rPr>
      </w:pPr>
      <w:r>
        <w:rPr>
          <w:rFonts w:ascii="华文仿宋" w:eastAsia="华文仿宋" w:hAnsi="华文仿宋" w:cs="仿宋_GB2312" w:hint="eastAsia"/>
          <w:kern w:val="0"/>
          <w:sz w:val="28"/>
          <w:szCs w:val="28"/>
        </w:rPr>
        <w:t>2025年3月14日</w:t>
      </w:r>
    </w:p>
    <w:sectPr w:rsidR="0041182E" w:rsidSect="008F1DF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CF5" w:rsidRDefault="00D57CF5">
      <w:r>
        <w:separator/>
      </w:r>
    </w:p>
  </w:endnote>
  <w:endnote w:type="continuationSeparator" w:id="0">
    <w:p w:rsidR="00D57CF5" w:rsidRDefault="00D57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451356"/>
    </w:sdtPr>
    <w:sdtContent>
      <w:p w:rsidR="0041182E" w:rsidRDefault="008F1DF7">
        <w:pPr>
          <w:pStyle w:val="a5"/>
          <w:jc w:val="center"/>
        </w:pPr>
        <w:r>
          <w:fldChar w:fldCharType="begin"/>
        </w:r>
        <w:r w:rsidR="00D57CF5">
          <w:instrText>PAGE   \* MERGEFORMAT</w:instrText>
        </w:r>
        <w:r>
          <w:fldChar w:fldCharType="separate"/>
        </w:r>
        <w:r w:rsidR="00755436" w:rsidRPr="00755436">
          <w:rPr>
            <w:noProof/>
            <w:lang w:val="zh-CN"/>
          </w:rPr>
          <w:t>1</w:t>
        </w:r>
        <w:r>
          <w:fldChar w:fldCharType="end"/>
        </w:r>
      </w:p>
    </w:sdtContent>
  </w:sdt>
  <w:p w:rsidR="0041182E" w:rsidRDefault="004118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CF5" w:rsidRDefault="00D57CF5">
      <w:r>
        <w:separator/>
      </w:r>
    </w:p>
  </w:footnote>
  <w:footnote w:type="continuationSeparator" w:id="0">
    <w:p w:rsidR="00D57CF5" w:rsidRDefault="00D57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D4A08"/>
    <w:multiLevelType w:val="multilevel"/>
    <w:tmpl w:val="544D4A0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9BC"/>
    <w:rsid w:val="000431D9"/>
    <w:rsid w:val="000452AA"/>
    <w:rsid w:val="00076854"/>
    <w:rsid w:val="000804ED"/>
    <w:rsid w:val="000E01CC"/>
    <w:rsid w:val="000E74CE"/>
    <w:rsid w:val="00101FC1"/>
    <w:rsid w:val="00103C76"/>
    <w:rsid w:val="00155A3F"/>
    <w:rsid w:val="00196B66"/>
    <w:rsid w:val="001A3123"/>
    <w:rsid w:val="001B36E0"/>
    <w:rsid w:val="001B4AAF"/>
    <w:rsid w:val="001F3D5F"/>
    <w:rsid w:val="00203FFE"/>
    <w:rsid w:val="00240D30"/>
    <w:rsid w:val="002650CE"/>
    <w:rsid w:val="00280048"/>
    <w:rsid w:val="002914BE"/>
    <w:rsid w:val="002B1EAE"/>
    <w:rsid w:val="002B7167"/>
    <w:rsid w:val="002D324F"/>
    <w:rsid w:val="00347443"/>
    <w:rsid w:val="003501D4"/>
    <w:rsid w:val="00381D57"/>
    <w:rsid w:val="0039683D"/>
    <w:rsid w:val="003A2925"/>
    <w:rsid w:val="003B131F"/>
    <w:rsid w:val="003B35A3"/>
    <w:rsid w:val="003C67DC"/>
    <w:rsid w:val="003C7C67"/>
    <w:rsid w:val="003D6444"/>
    <w:rsid w:val="003E3512"/>
    <w:rsid w:val="003F15D2"/>
    <w:rsid w:val="00402907"/>
    <w:rsid w:val="004044C7"/>
    <w:rsid w:val="0041182E"/>
    <w:rsid w:val="00451DF4"/>
    <w:rsid w:val="00456EB5"/>
    <w:rsid w:val="00460ACB"/>
    <w:rsid w:val="004A4933"/>
    <w:rsid w:val="004B4099"/>
    <w:rsid w:val="004D086D"/>
    <w:rsid w:val="004D31A4"/>
    <w:rsid w:val="005021B2"/>
    <w:rsid w:val="0052027D"/>
    <w:rsid w:val="00522034"/>
    <w:rsid w:val="00532C8F"/>
    <w:rsid w:val="00552C74"/>
    <w:rsid w:val="00565006"/>
    <w:rsid w:val="0059595B"/>
    <w:rsid w:val="005A232E"/>
    <w:rsid w:val="005C4941"/>
    <w:rsid w:val="005E0147"/>
    <w:rsid w:val="00610891"/>
    <w:rsid w:val="00667867"/>
    <w:rsid w:val="006A44F5"/>
    <w:rsid w:val="006D0F9A"/>
    <w:rsid w:val="006D533A"/>
    <w:rsid w:val="00727E95"/>
    <w:rsid w:val="00736359"/>
    <w:rsid w:val="00743B3F"/>
    <w:rsid w:val="00755436"/>
    <w:rsid w:val="00767D7C"/>
    <w:rsid w:val="007734A8"/>
    <w:rsid w:val="007750E7"/>
    <w:rsid w:val="0079791D"/>
    <w:rsid w:val="008A1E89"/>
    <w:rsid w:val="008A635B"/>
    <w:rsid w:val="008A7CA5"/>
    <w:rsid w:val="008F1DF7"/>
    <w:rsid w:val="00915E9D"/>
    <w:rsid w:val="00922E09"/>
    <w:rsid w:val="00951F36"/>
    <w:rsid w:val="009849B4"/>
    <w:rsid w:val="0099077B"/>
    <w:rsid w:val="009952EF"/>
    <w:rsid w:val="009C73DB"/>
    <w:rsid w:val="00A319BC"/>
    <w:rsid w:val="00A462AD"/>
    <w:rsid w:val="00A5190C"/>
    <w:rsid w:val="00A61DF1"/>
    <w:rsid w:val="00A730E1"/>
    <w:rsid w:val="00A85461"/>
    <w:rsid w:val="00A917BC"/>
    <w:rsid w:val="00AC3DFE"/>
    <w:rsid w:val="00AD4952"/>
    <w:rsid w:val="00AE7E87"/>
    <w:rsid w:val="00B14079"/>
    <w:rsid w:val="00B36E18"/>
    <w:rsid w:val="00B45116"/>
    <w:rsid w:val="00B55E01"/>
    <w:rsid w:val="00B71720"/>
    <w:rsid w:val="00B76929"/>
    <w:rsid w:val="00B849AA"/>
    <w:rsid w:val="00BC013C"/>
    <w:rsid w:val="00BC795B"/>
    <w:rsid w:val="00BE0EA1"/>
    <w:rsid w:val="00C27665"/>
    <w:rsid w:val="00C454AA"/>
    <w:rsid w:val="00C663C3"/>
    <w:rsid w:val="00C67D8B"/>
    <w:rsid w:val="00C77299"/>
    <w:rsid w:val="00C96261"/>
    <w:rsid w:val="00CE21E8"/>
    <w:rsid w:val="00D1063F"/>
    <w:rsid w:val="00D15215"/>
    <w:rsid w:val="00D15FC2"/>
    <w:rsid w:val="00D41A0B"/>
    <w:rsid w:val="00D57CF5"/>
    <w:rsid w:val="00D817AA"/>
    <w:rsid w:val="00D9287C"/>
    <w:rsid w:val="00D94ED0"/>
    <w:rsid w:val="00DB3313"/>
    <w:rsid w:val="00DB5383"/>
    <w:rsid w:val="00DB5AFB"/>
    <w:rsid w:val="00DB5D27"/>
    <w:rsid w:val="00DE0A1A"/>
    <w:rsid w:val="00DE3CA5"/>
    <w:rsid w:val="00E14CB3"/>
    <w:rsid w:val="00E1573E"/>
    <w:rsid w:val="00E45108"/>
    <w:rsid w:val="00E771BE"/>
    <w:rsid w:val="00E81369"/>
    <w:rsid w:val="00F24E9F"/>
    <w:rsid w:val="00F46B8F"/>
    <w:rsid w:val="00FC3911"/>
    <w:rsid w:val="00FD510C"/>
    <w:rsid w:val="00FF20A0"/>
    <w:rsid w:val="02E70003"/>
    <w:rsid w:val="0D69204A"/>
    <w:rsid w:val="0E3837AB"/>
    <w:rsid w:val="0F466320"/>
    <w:rsid w:val="1293375D"/>
    <w:rsid w:val="17076B79"/>
    <w:rsid w:val="1840688C"/>
    <w:rsid w:val="18626A98"/>
    <w:rsid w:val="1CA50D41"/>
    <w:rsid w:val="1EB477BA"/>
    <w:rsid w:val="1FD40F42"/>
    <w:rsid w:val="21FB23D7"/>
    <w:rsid w:val="248C6702"/>
    <w:rsid w:val="254663AD"/>
    <w:rsid w:val="2702749A"/>
    <w:rsid w:val="284F5E21"/>
    <w:rsid w:val="29E36424"/>
    <w:rsid w:val="2A7E2B65"/>
    <w:rsid w:val="2D0A7A69"/>
    <w:rsid w:val="2D2B320D"/>
    <w:rsid w:val="2E816674"/>
    <w:rsid w:val="31D27B72"/>
    <w:rsid w:val="32BD467E"/>
    <w:rsid w:val="332270B9"/>
    <w:rsid w:val="37BE699F"/>
    <w:rsid w:val="3A5B5354"/>
    <w:rsid w:val="3BF759E1"/>
    <w:rsid w:val="40B4164D"/>
    <w:rsid w:val="44317FBD"/>
    <w:rsid w:val="4D2757BA"/>
    <w:rsid w:val="4F044F5F"/>
    <w:rsid w:val="541C3AD2"/>
    <w:rsid w:val="5C646D86"/>
    <w:rsid w:val="5E6738B3"/>
    <w:rsid w:val="6259386E"/>
    <w:rsid w:val="64664145"/>
    <w:rsid w:val="688615B6"/>
    <w:rsid w:val="69EE4AD9"/>
    <w:rsid w:val="6BFC0B10"/>
    <w:rsid w:val="6C893D39"/>
    <w:rsid w:val="6D255A6E"/>
    <w:rsid w:val="6FCC2D0E"/>
    <w:rsid w:val="6FDB757B"/>
    <w:rsid w:val="74507577"/>
    <w:rsid w:val="762A49FA"/>
    <w:rsid w:val="7E5A3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F7"/>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Char"/>
    <w:uiPriority w:val="9"/>
    <w:qFormat/>
    <w:rsid w:val="008F1DF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F1DF7"/>
    <w:pPr>
      <w:jc w:val="left"/>
    </w:pPr>
  </w:style>
  <w:style w:type="paragraph" w:styleId="a4">
    <w:name w:val="Balloon Text"/>
    <w:basedOn w:val="a"/>
    <w:link w:val="Char0"/>
    <w:uiPriority w:val="99"/>
    <w:semiHidden/>
    <w:unhideWhenUsed/>
    <w:qFormat/>
    <w:rsid w:val="008F1DF7"/>
    <w:rPr>
      <w:sz w:val="18"/>
      <w:szCs w:val="18"/>
    </w:rPr>
  </w:style>
  <w:style w:type="paragraph" w:styleId="a5">
    <w:name w:val="footer"/>
    <w:basedOn w:val="a"/>
    <w:link w:val="Char1"/>
    <w:uiPriority w:val="99"/>
    <w:unhideWhenUsed/>
    <w:qFormat/>
    <w:rsid w:val="008F1DF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F1DF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8F1DF7"/>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8F1DF7"/>
    <w:rPr>
      <w:b/>
      <w:bCs/>
    </w:rPr>
  </w:style>
  <w:style w:type="character" w:styleId="a9">
    <w:name w:val="FollowedHyperlink"/>
    <w:basedOn w:val="a0"/>
    <w:uiPriority w:val="99"/>
    <w:semiHidden/>
    <w:unhideWhenUsed/>
    <w:qFormat/>
    <w:rsid w:val="008F1DF7"/>
    <w:rPr>
      <w:color w:val="954F72" w:themeColor="followedHyperlink"/>
      <w:u w:val="single"/>
    </w:rPr>
  </w:style>
  <w:style w:type="character" w:styleId="aa">
    <w:name w:val="Hyperlink"/>
    <w:basedOn w:val="a0"/>
    <w:unhideWhenUsed/>
    <w:qFormat/>
    <w:rsid w:val="008F1DF7"/>
    <w:rPr>
      <w:color w:val="0000FF"/>
      <w:u w:val="single"/>
    </w:rPr>
  </w:style>
  <w:style w:type="character" w:styleId="ab">
    <w:name w:val="annotation reference"/>
    <w:basedOn w:val="a0"/>
    <w:uiPriority w:val="99"/>
    <w:semiHidden/>
    <w:unhideWhenUsed/>
    <w:qFormat/>
    <w:rsid w:val="008F1DF7"/>
    <w:rPr>
      <w:sz w:val="21"/>
      <w:szCs w:val="21"/>
    </w:rPr>
  </w:style>
  <w:style w:type="paragraph" w:styleId="ac">
    <w:name w:val="List Paragraph"/>
    <w:basedOn w:val="a"/>
    <w:uiPriority w:val="34"/>
    <w:qFormat/>
    <w:rsid w:val="008F1DF7"/>
    <w:pPr>
      <w:ind w:firstLineChars="200" w:firstLine="420"/>
    </w:pPr>
  </w:style>
  <w:style w:type="paragraph" w:customStyle="1" w:styleId="Default">
    <w:name w:val="Default"/>
    <w:qFormat/>
    <w:rsid w:val="008F1DF7"/>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2">
    <w:name w:val="页眉 Char"/>
    <w:basedOn w:val="a0"/>
    <w:link w:val="a6"/>
    <w:uiPriority w:val="99"/>
    <w:qFormat/>
    <w:rsid w:val="008F1DF7"/>
    <w:rPr>
      <w:sz w:val="18"/>
      <w:szCs w:val="18"/>
    </w:rPr>
  </w:style>
  <w:style w:type="character" w:customStyle="1" w:styleId="Char1">
    <w:name w:val="页脚 Char"/>
    <w:basedOn w:val="a0"/>
    <w:link w:val="a5"/>
    <w:uiPriority w:val="99"/>
    <w:qFormat/>
    <w:rsid w:val="008F1DF7"/>
    <w:rPr>
      <w:sz w:val="18"/>
      <w:szCs w:val="18"/>
    </w:rPr>
  </w:style>
  <w:style w:type="character" w:customStyle="1" w:styleId="Char0">
    <w:name w:val="批注框文本 Char"/>
    <w:basedOn w:val="a0"/>
    <w:link w:val="a4"/>
    <w:uiPriority w:val="99"/>
    <w:semiHidden/>
    <w:qFormat/>
    <w:rsid w:val="008F1DF7"/>
    <w:rPr>
      <w:sz w:val="18"/>
      <w:szCs w:val="18"/>
    </w:rPr>
  </w:style>
  <w:style w:type="character" w:customStyle="1" w:styleId="5Char">
    <w:name w:val="标题 5 Char"/>
    <w:basedOn w:val="a0"/>
    <w:link w:val="5"/>
    <w:uiPriority w:val="9"/>
    <w:qFormat/>
    <w:rsid w:val="008F1DF7"/>
    <w:rPr>
      <w:rFonts w:ascii="宋体" w:eastAsia="宋体" w:hAnsi="宋体" w:cs="宋体"/>
      <w:b/>
      <w:bCs/>
      <w:kern w:val="0"/>
      <w:sz w:val="20"/>
      <w:szCs w:val="20"/>
    </w:rPr>
  </w:style>
  <w:style w:type="character" w:customStyle="1" w:styleId="Char">
    <w:name w:val="批注文字 Char"/>
    <w:basedOn w:val="a0"/>
    <w:link w:val="a3"/>
    <w:uiPriority w:val="99"/>
    <w:semiHidden/>
    <w:qFormat/>
    <w:rsid w:val="008F1DF7"/>
  </w:style>
  <w:style w:type="character" w:customStyle="1" w:styleId="Char3">
    <w:name w:val="批注主题 Char"/>
    <w:basedOn w:val="Char"/>
    <w:link w:val="a8"/>
    <w:uiPriority w:val="99"/>
    <w:semiHidden/>
    <w:qFormat/>
    <w:rsid w:val="008F1DF7"/>
    <w:rPr>
      <w:b/>
      <w:bCs/>
    </w:rPr>
  </w:style>
  <w:style w:type="character" w:customStyle="1" w:styleId="1">
    <w:name w:val="未处理的提及1"/>
    <w:basedOn w:val="a0"/>
    <w:uiPriority w:val="99"/>
    <w:semiHidden/>
    <w:unhideWhenUsed/>
    <w:qFormat/>
    <w:rsid w:val="008F1DF7"/>
    <w:rPr>
      <w:color w:val="605E5C"/>
      <w:shd w:val="clear" w:color="auto" w:fill="E1DFDD"/>
    </w:rPr>
  </w:style>
  <w:style w:type="paragraph" w:customStyle="1" w:styleId="10">
    <w:name w:val="修订1"/>
    <w:hidden/>
    <w:uiPriority w:val="99"/>
    <w:semiHidden/>
    <w:qFormat/>
    <w:rsid w:val="008F1DF7"/>
    <w:rPr>
      <w:rFonts w:asciiTheme="minorHAnsi" w:eastAsiaTheme="minorEastAsia" w:hAnsiTheme="minorHAnsi" w:cstheme="minorBidi"/>
      <w:kern w:val="2"/>
      <w:sz w:val="21"/>
      <w:szCs w:val="22"/>
    </w:rPr>
  </w:style>
  <w:style w:type="table" w:customStyle="1" w:styleId="TableNormal">
    <w:name w:val="Table Normal"/>
    <w:semiHidden/>
    <w:unhideWhenUsed/>
    <w:qFormat/>
    <w:rsid w:val="008F1DF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t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2335</Characters>
  <Application>Microsoft Office Word</Application>
  <DocSecurity>4</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Mofey</dc:creator>
  <cp:lastModifiedBy>ZHONGM</cp:lastModifiedBy>
  <cp:revision>2</cp:revision>
  <cp:lastPrinted>2022-03-10T08:41:00Z</cp:lastPrinted>
  <dcterms:created xsi:type="dcterms:W3CDTF">2025-03-13T16:01:00Z</dcterms:created>
  <dcterms:modified xsi:type="dcterms:W3CDTF">2025-03-13T16:01:00Z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1E171B2C2181434DA6590F1E2D2BE6A1_13</vt:lpwstr>
  </property>
  <property fmtid="{D5CDD505-2E9C-101B-9397-08002B2CF9AE}" pid="4" name="KSOTemplateDocerSaveRecord">
    <vt:lpwstr>eyJoZGlkIjoiZjkxN2Q5OGUzODc2YzlkM2M1Njg0NjMyM2YzMDNhNzMiLCJ1c2VySWQiOiIyNjE0MDU3NzcifQ==</vt:lpwstr>
  </property>
</Properties>
</file>