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1FBE">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基金新增国泰君安证券股份有限公司为代销机构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的公告</w:t>
      </w:r>
    </w:p>
    <w:p w:rsidR="00000000" w:rsidRDefault="00431FBE">
      <w:pPr>
        <w:spacing w:line="400" w:lineRule="exact"/>
        <w:jc w:val="center"/>
        <w:rPr>
          <w:rStyle w:val="da"/>
          <w:rFonts w:ascii="宋体" w:hAnsi="宋体" w:hint="eastAsia"/>
          <w:b/>
          <w:bCs/>
        </w:rPr>
      </w:pPr>
    </w:p>
    <w:p w:rsidR="00000000" w:rsidRDefault="00431FBE">
      <w:pPr>
        <w:widowControl/>
        <w:spacing w:line="360" w:lineRule="auto"/>
        <w:ind w:firstLineChars="200" w:firstLine="420"/>
        <w:jc w:val="left"/>
        <w:rPr>
          <w:rFonts w:cs="宋体" w:hint="eastAsia"/>
          <w:kern w:val="0"/>
          <w:szCs w:val="21"/>
        </w:rPr>
      </w:pPr>
      <w:r>
        <w:rPr>
          <w:rFonts w:cs="宋体" w:hint="eastAsia"/>
          <w:kern w:val="0"/>
          <w:szCs w:val="21"/>
        </w:rPr>
        <w:t>一、新增国泰君安证券股份有限公司为东吴基金管理有限公司旗下</w:t>
      </w:r>
      <w:r>
        <w:rPr>
          <w:rFonts w:cs="宋体" w:hint="eastAsia"/>
          <w:kern w:val="0"/>
          <w:szCs w:val="21"/>
        </w:rPr>
        <w:t>部分</w:t>
      </w:r>
      <w:r>
        <w:rPr>
          <w:rFonts w:cs="宋体" w:hint="eastAsia"/>
          <w:kern w:val="0"/>
          <w:szCs w:val="21"/>
        </w:rPr>
        <w:t>基金的代销机构</w:t>
      </w:r>
    </w:p>
    <w:p w:rsidR="00000000" w:rsidRDefault="00431FBE">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根据东吴基金管理有限公司（以下简称“东吴基金”）与国泰君安证券股份有限公司（以下简称</w:t>
      </w:r>
      <w:r>
        <w:rPr>
          <w:rFonts w:cs="宋体" w:hint="eastAsia"/>
          <w:kern w:val="0"/>
          <w:szCs w:val="21"/>
        </w:rPr>
        <w:t>“</w:t>
      </w:r>
      <w:r>
        <w:rPr>
          <w:rFonts w:cs="宋体" w:hint="eastAsia"/>
          <w:kern w:val="0"/>
          <w:szCs w:val="21"/>
        </w:rPr>
        <w:t>国泰君安证券</w:t>
      </w:r>
      <w:r>
        <w:rPr>
          <w:rFonts w:cs="宋体" w:hint="eastAsia"/>
          <w:kern w:val="0"/>
          <w:szCs w:val="21"/>
        </w:rPr>
        <w:t>”</w:t>
      </w:r>
      <w:r>
        <w:rPr>
          <w:rFonts w:cs="宋体" w:hint="eastAsia"/>
          <w:kern w:val="0"/>
          <w:szCs w:val="21"/>
        </w:rPr>
        <w:t>）签署的开放式基金代销协议，</w:t>
      </w:r>
      <w:r>
        <w:rPr>
          <w:rFonts w:cs="宋体" w:hint="eastAsia"/>
          <w:kern w:val="0"/>
          <w:szCs w:val="21"/>
        </w:rPr>
        <w:t>自</w:t>
      </w:r>
      <w:r>
        <w:rPr>
          <w:rFonts w:cs="宋体" w:hint="eastAsia"/>
          <w:kern w:val="0"/>
          <w:szCs w:val="21"/>
        </w:rPr>
        <w:t>2025</w:t>
      </w:r>
      <w:r>
        <w:rPr>
          <w:rFonts w:cs="宋体" w:hint="eastAsia"/>
          <w:kern w:val="0"/>
          <w:szCs w:val="21"/>
        </w:rPr>
        <w:t>年</w:t>
      </w:r>
      <w:r>
        <w:rPr>
          <w:rFonts w:cs="宋体" w:hint="eastAsia"/>
          <w:kern w:val="0"/>
          <w:szCs w:val="21"/>
        </w:rPr>
        <w:t>3</w:t>
      </w:r>
      <w:r>
        <w:rPr>
          <w:rFonts w:cs="宋体" w:hint="eastAsia"/>
          <w:kern w:val="0"/>
          <w:szCs w:val="21"/>
        </w:rPr>
        <w:t>月</w:t>
      </w:r>
      <w:r>
        <w:rPr>
          <w:rFonts w:cs="宋体" w:hint="eastAsia"/>
          <w:kern w:val="0"/>
          <w:szCs w:val="21"/>
        </w:rPr>
        <w:t>17</w:t>
      </w:r>
      <w:r>
        <w:rPr>
          <w:rFonts w:cs="宋体" w:hint="eastAsia"/>
          <w:kern w:val="0"/>
          <w:szCs w:val="21"/>
        </w:rPr>
        <w:t>日</w:t>
      </w:r>
      <w:r>
        <w:rPr>
          <w:rFonts w:cs="宋体" w:hint="eastAsia"/>
          <w:kern w:val="0"/>
          <w:szCs w:val="21"/>
        </w:rPr>
        <w:t>起通过</w:t>
      </w:r>
      <w:r>
        <w:rPr>
          <w:rFonts w:cs="宋体" w:hint="eastAsia"/>
          <w:kern w:val="0"/>
          <w:szCs w:val="21"/>
        </w:rPr>
        <w:t>国泰君安证券</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431FBE">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431FBE">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431FBE">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431FBE">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431FBE">
            <w:pPr>
              <w:widowControl/>
              <w:textAlignment w:val="center"/>
              <w:rPr>
                <w:rFonts w:ascii="Times New Roman" w:hAnsi="Times New Roman" w:cs="宋体" w:hint="eastAsia"/>
                <w:color w:val="000000"/>
                <w:kern w:val="0"/>
                <w:szCs w:val="21"/>
                <w:lang/>
              </w:rPr>
            </w:pPr>
            <w:r>
              <w:rPr>
                <w:rFonts w:ascii="Times New Roman" w:hAnsi="Times New Roman" w:cs="宋体" w:hint="eastAsia"/>
                <w:szCs w:val="21"/>
                <w:lang/>
              </w:rPr>
              <w:t>东吴悦秀</w:t>
            </w:r>
            <w:r>
              <w:rPr>
                <w:rFonts w:ascii="Times New Roman" w:hAnsi="Times New Roman" w:cs="宋体" w:hint="eastAsia"/>
                <w:szCs w:val="21"/>
                <w:lang/>
              </w:rPr>
              <w:t>纯债债券型证券投资基金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431FBE">
            <w:pPr>
              <w:widowControl/>
              <w:spacing w:line="400" w:lineRule="exact"/>
              <w:jc w:val="left"/>
              <w:rPr>
                <w:rFonts w:ascii="Times New Roman" w:hAnsi="Times New Roman" w:cs="宋体"/>
                <w:color w:val="000000"/>
                <w:kern w:val="0"/>
                <w:szCs w:val="21"/>
                <w:lang/>
              </w:rPr>
            </w:pPr>
            <w:r>
              <w:rPr>
                <w:rFonts w:ascii="Times New Roman" w:hAnsi="Times New Roman" w:cs="宋体" w:hint="eastAsia"/>
                <w:szCs w:val="21"/>
                <w:lang/>
              </w:rPr>
              <w:t>005573/005574</w:t>
            </w:r>
          </w:p>
        </w:tc>
      </w:tr>
      <w:tr w:rsidR="00000000">
        <w:trPr>
          <w:trHeight w:val="385"/>
          <w:jc w:val="center"/>
        </w:trPr>
        <w:tc>
          <w:tcPr>
            <w:tcW w:w="676" w:type="dxa"/>
          </w:tcPr>
          <w:p w:rsidR="00000000" w:rsidRDefault="00431FBE">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东吴鼎泰纯债债券型证券投资基金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431FBE">
            <w:pPr>
              <w:widowControl/>
              <w:spacing w:line="400" w:lineRule="exact"/>
              <w:jc w:val="left"/>
              <w:rPr>
                <w:rFonts w:ascii="Times New Roman" w:hAnsi="Times New Roman" w:cs="宋体"/>
                <w:szCs w:val="21"/>
                <w:lang/>
              </w:rPr>
            </w:pPr>
            <w:r>
              <w:rPr>
                <w:rFonts w:ascii="Times New Roman" w:hAnsi="Times New Roman" w:cs="宋体" w:hint="eastAsia"/>
                <w:szCs w:val="21"/>
                <w:lang/>
              </w:rPr>
              <w:t>006026/014570</w:t>
            </w:r>
          </w:p>
        </w:tc>
      </w:tr>
      <w:tr w:rsidR="00000000">
        <w:trPr>
          <w:trHeight w:val="385"/>
          <w:jc w:val="center"/>
        </w:trPr>
        <w:tc>
          <w:tcPr>
            <w:tcW w:w="676" w:type="dxa"/>
          </w:tcPr>
          <w:p w:rsidR="00000000" w:rsidRDefault="00431FBE">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东吴医疗服务股票型证券投资基金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431FBE">
            <w:pPr>
              <w:widowControl/>
              <w:spacing w:line="400" w:lineRule="exact"/>
              <w:jc w:val="left"/>
              <w:rPr>
                <w:rFonts w:ascii="Times New Roman" w:hAnsi="Times New Roman" w:cs="宋体" w:hint="eastAsia"/>
                <w:szCs w:val="21"/>
                <w:lang/>
              </w:rPr>
            </w:pPr>
            <w:r>
              <w:rPr>
                <w:rFonts w:ascii="Times New Roman" w:hAnsi="Times New Roman" w:cs="宋体" w:hint="eastAsia"/>
                <w:szCs w:val="21"/>
                <w:lang/>
              </w:rPr>
              <w:t>013940/013941</w:t>
            </w:r>
          </w:p>
        </w:tc>
      </w:tr>
      <w:tr w:rsidR="00000000">
        <w:trPr>
          <w:trHeight w:val="385"/>
          <w:jc w:val="center"/>
        </w:trPr>
        <w:tc>
          <w:tcPr>
            <w:tcW w:w="676" w:type="dxa"/>
          </w:tcPr>
          <w:p w:rsidR="00000000" w:rsidRDefault="00431FBE">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东吴添利三个月定期开放债券型证券投资基金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016759/016760</w:t>
            </w:r>
          </w:p>
        </w:tc>
      </w:tr>
      <w:tr w:rsidR="00000000">
        <w:trPr>
          <w:trHeight w:val="385"/>
          <w:jc w:val="center"/>
        </w:trPr>
        <w:tc>
          <w:tcPr>
            <w:tcW w:w="676" w:type="dxa"/>
          </w:tcPr>
          <w:p w:rsidR="00000000" w:rsidRDefault="00431FBE">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东吴添</w:t>
            </w:r>
            <w:r>
              <w:rPr>
                <w:rFonts w:ascii="Times New Roman" w:hAnsi="Times New Roman" w:cs="宋体" w:hint="eastAsia"/>
                <w:szCs w:val="21"/>
                <w:lang/>
              </w:rPr>
              <w:t>瑞</w:t>
            </w:r>
            <w:r>
              <w:rPr>
                <w:rFonts w:ascii="Times New Roman" w:hAnsi="Times New Roman" w:cs="宋体" w:hint="eastAsia"/>
                <w:szCs w:val="21"/>
                <w:lang/>
              </w:rPr>
              <w:t>三个月定期开放债券型证券投资基金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018416/018417</w:t>
            </w:r>
          </w:p>
        </w:tc>
      </w:tr>
      <w:tr w:rsidR="00000000">
        <w:trPr>
          <w:trHeight w:val="385"/>
          <w:jc w:val="center"/>
        </w:trPr>
        <w:tc>
          <w:tcPr>
            <w:tcW w:w="676" w:type="dxa"/>
          </w:tcPr>
          <w:p w:rsidR="00000000" w:rsidRDefault="00431FBE">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东吴科技创新混合型证券投资基金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431FBE">
            <w:pPr>
              <w:widowControl/>
              <w:textAlignment w:val="center"/>
              <w:rPr>
                <w:rFonts w:ascii="Times New Roman" w:hAnsi="Times New Roman" w:cs="宋体" w:hint="eastAsia"/>
                <w:szCs w:val="21"/>
                <w:lang/>
              </w:rPr>
            </w:pPr>
            <w:r>
              <w:rPr>
                <w:rFonts w:ascii="Times New Roman" w:hAnsi="Times New Roman" w:cs="宋体" w:hint="eastAsia"/>
                <w:szCs w:val="21"/>
                <w:lang/>
              </w:rPr>
              <w:t>020966/020967</w:t>
            </w:r>
          </w:p>
        </w:tc>
      </w:tr>
    </w:tbl>
    <w:p w:rsidR="00000000" w:rsidRDefault="00431FBE">
      <w:pPr>
        <w:widowControl/>
        <w:spacing w:line="360" w:lineRule="auto"/>
        <w:ind w:firstLineChars="200" w:firstLine="420"/>
        <w:jc w:val="left"/>
        <w:rPr>
          <w:rFonts w:ascii="宋体" w:hAnsi="宋体" w:cs="宋体" w:hint="eastAsia"/>
          <w:szCs w:val="21"/>
        </w:rPr>
      </w:pPr>
      <w:r>
        <w:rPr>
          <w:rFonts w:ascii="宋体" w:hAnsi="宋体" w:cs="宋体" w:hint="eastAsia"/>
          <w:szCs w:val="21"/>
        </w:rPr>
        <w:t>（备注：定期开放式产品具体开放时间以产品公告为准</w:t>
      </w:r>
      <w:r>
        <w:rPr>
          <w:rFonts w:ascii="宋体" w:hAnsi="宋体" w:cs="宋体" w:hint="eastAsia"/>
          <w:szCs w:val="21"/>
        </w:rPr>
        <w:t>）</w:t>
      </w:r>
    </w:p>
    <w:p w:rsidR="00000000" w:rsidRDefault="00431FBE">
      <w:pPr>
        <w:widowControl/>
        <w:spacing w:line="360" w:lineRule="auto"/>
        <w:ind w:firstLineChars="200" w:firstLine="420"/>
        <w:jc w:val="left"/>
        <w:rPr>
          <w:rFonts w:cs="宋体" w:hint="eastAsia"/>
          <w:szCs w:val="21"/>
        </w:rPr>
      </w:pPr>
      <w:r>
        <w:rPr>
          <w:rFonts w:cs="宋体" w:hint="eastAsia"/>
          <w:szCs w:val="21"/>
        </w:rPr>
        <w:t>具体业</w:t>
      </w:r>
      <w:r>
        <w:rPr>
          <w:rFonts w:cs="宋体" w:hint="eastAsia"/>
          <w:szCs w:val="21"/>
        </w:rPr>
        <w:t>务办理时间为：全天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431FBE">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431FBE">
      <w:pPr>
        <w:widowControl/>
        <w:spacing w:line="360" w:lineRule="auto"/>
        <w:ind w:firstLineChars="200" w:firstLine="420"/>
        <w:jc w:val="left"/>
        <w:rPr>
          <w:rFonts w:cs="宋体" w:hint="eastAsia"/>
          <w:szCs w:val="21"/>
        </w:rPr>
      </w:pPr>
      <w:r>
        <w:rPr>
          <w:rFonts w:cs="宋体" w:hint="eastAsia"/>
          <w:szCs w:val="21"/>
        </w:rPr>
        <w:t>二、开通东吴基金旗下部分基金定期定额投资业务</w:t>
      </w:r>
    </w:p>
    <w:p w:rsidR="00000000" w:rsidRDefault="00431FBE">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w:t>
      </w:r>
      <w:r>
        <w:rPr>
          <w:rFonts w:cs="宋体" w:hint="eastAsia"/>
          <w:szCs w:val="21"/>
        </w:rPr>
        <w:t>自</w:t>
      </w:r>
      <w:r>
        <w:rPr>
          <w:rFonts w:cs="宋体" w:hint="eastAsia"/>
          <w:szCs w:val="21"/>
        </w:rPr>
        <w:t>2025</w:t>
      </w:r>
      <w:r>
        <w:rPr>
          <w:rFonts w:cs="宋体" w:hint="eastAsia"/>
          <w:szCs w:val="21"/>
        </w:rPr>
        <w:t>年</w:t>
      </w:r>
      <w:r>
        <w:rPr>
          <w:rFonts w:cs="宋体" w:hint="eastAsia"/>
          <w:szCs w:val="21"/>
        </w:rPr>
        <w:t>3</w:t>
      </w:r>
      <w:r>
        <w:rPr>
          <w:rFonts w:cs="宋体" w:hint="eastAsia"/>
          <w:szCs w:val="21"/>
        </w:rPr>
        <w:t>月</w:t>
      </w:r>
      <w:r>
        <w:rPr>
          <w:rFonts w:cs="宋体" w:hint="eastAsia"/>
          <w:szCs w:val="21"/>
        </w:rPr>
        <w:t>17</w:t>
      </w:r>
      <w:r>
        <w:rPr>
          <w:rFonts w:cs="宋体" w:hint="eastAsia"/>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国泰君安证券</w:t>
      </w:r>
      <w:r>
        <w:rPr>
          <w:rFonts w:cs="宋体" w:hint="eastAsia"/>
          <w:szCs w:val="21"/>
        </w:rPr>
        <w:t>的定期定额投资业务</w:t>
      </w:r>
      <w:r>
        <w:rPr>
          <w:rFonts w:ascii="宋体" w:hAnsi="宋体" w:cs="宋体" w:hint="eastAsia"/>
          <w:szCs w:val="21"/>
        </w:rPr>
        <w:t>（</w:t>
      </w:r>
      <w:r>
        <w:rPr>
          <w:rFonts w:ascii="宋体" w:hAnsi="宋体" w:cs="宋体" w:hint="eastAsia"/>
          <w:szCs w:val="21"/>
          <w:lang/>
        </w:rPr>
        <w:t>东吴添利三个月定期开放债券型证券投资基金</w:t>
      </w:r>
      <w:r>
        <w:rPr>
          <w:rFonts w:ascii="宋体" w:hAnsi="宋体" w:cs="宋体" w:hint="eastAsia"/>
          <w:szCs w:val="21"/>
          <w:lang/>
        </w:rPr>
        <w:t>、</w:t>
      </w: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三个月定期开放债券型证券投资基金</w:t>
      </w:r>
      <w:r>
        <w:rPr>
          <w:rFonts w:ascii="宋体" w:hAnsi="宋体" w:cs="宋体" w:hint="eastAsia"/>
          <w:szCs w:val="21"/>
          <w:lang/>
        </w:rPr>
        <w:t>暂不开通</w:t>
      </w:r>
      <w:r>
        <w:rPr>
          <w:rFonts w:ascii="宋体" w:hAnsi="宋体" w:cs="宋体" w:hint="eastAsia"/>
          <w:szCs w:val="21"/>
        </w:rPr>
        <w:t>）</w:t>
      </w:r>
      <w:r>
        <w:rPr>
          <w:rFonts w:cs="宋体" w:hint="eastAsia"/>
          <w:szCs w:val="21"/>
        </w:rPr>
        <w:t>。</w:t>
      </w:r>
    </w:p>
    <w:p w:rsidR="00000000" w:rsidRDefault="00431FBE">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国泰君安证券</w:t>
      </w:r>
      <w:r>
        <w:rPr>
          <w:rFonts w:cs="宋体" w:hint="eastAsia"/>
          <w:szCs w:val="21"/>
        </w:rPr>
        <w:t>提交申请，约定每期扣款时间、扣款金额及扣款方式，由</w:t>
      </w:r>
      <w:r>
        <w:rPr>
          <w:rFonts w:cs="宋体" w:hint="eastAsia"/>
          <w:kern w:val="0"/>
          <w:szCs w:val="21"/>
        </w:rPr>
        <w:t>国泰君安证券</w:t>
      </w:r>
      <w:r>
        <w:rPr>
          <w:rFonts w:cs="宋体" w:hint="eastAsia"/>
          <w:szCs w:val="21"/>
        </w:rPr>
        <w:t>于</w:t>
      </w:r>
      <w:r>
        <w:rPr>
          <w:rFonts w:cs="宋体" w:hint="eastAsia"/>
          <w:szCs w:val="21"/>
        </w:rPr>
        <w:t>约定扣款日在投资者指定资金账户内自动完成扣款及基金申购业务。投资者在办理基金“定期定额投资业务”的同时，仍然可以进行日常申购、赎回业务。</w:t>
      </w:r>
    </w:p>
    <w:p w:rsidR="00000000" w:rsidRDefault="00431FBE">
      <w:pPr>
        <w:spacing w:line="360" w:lineRule="auto"/>
        <w:ind w:firstLineChars="200" w:firstLine="420"/>
        <w:rPr>
          <w:rFonts w:cs="宋体" w:hint="eastAsia"/>
          <w:szCs w:val="21"/>
        </w:rPr>
      </w:pPr>
      <w:r>
        <w:rPr>
          <w:rFonts w:cs="宋体" w:hint="eastAsia"/>
          <w:szCs w:val="21"/>
        </w:rPr>
        <w:t>（一）适用投资者</w:t>
      </w:r>
    </w:p>
    <w:p w:rsidR="00000000" w:rsidRDefault="00431FBE">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431FBE">
      <w:pPr>
        <w:spacing w:line="360" w:lineRule="auto"/>
        <w:ind w:firstLineChars="200" w:firstLine="420"/>
        <w:rPr>
          <w:rFonts w:cs="宋体" w:hint="eastAsia"/>
          <w:szCs w:val="21"/>
        </w:rPr>
      </w:pPr>
      <w:r>
        <w:rPr>
          <w:rFonts w:cs="宋体" w:hint="eastAsia"/>
          <w:szCs w:val="21"/>
        </w:rPr>
        <w:lastRenderedPageBreak/>
        <w:t>（二）办理场所</w:t>
      </w:r>
    </w:p>
    <w:p w:rsidR="00000000" w:rsidRDefault="00431FBE">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国泰君安证券</w:t>
      </w:r>
      <w:r>
        <w:rPr>
          <w:rFonts w:cs="宋体" w:hint="eastAsia"/>
          <w:kern w:val="0"/>
          <w:szCs w:val="21"/>
        </w:rPr>
        <w:t>交易系统</w:t>
      </w:r>
      <w:r>
        <w:rPr>
          <w:rFonts w:cs="宋体" w:hint="eastAsia"/>
          <w:szCs w:val="21"/>
        </w:rPr>
        <w:t>，办理“定期定额投资业务”申请。</w:t>
      </w:r>
    </w:p>
    <w:p w:rsidR="00000000" w:rsidRDefault="00431FBE">
      <w:pPr>
        <w:spacing w:line="360" w:lineRule="auto"/>
        <w:ind w:firstLineChars="200" w:firstLine="420"/>
        <w:rPr>
          <w:rFonts w:cs="宋体" w:hint="eastAsia"/>
          <w:szCs w:val="21"/>
        </w:rPr>
      </w:pPr>
      <w:r>
        <w:rPr>
          <w:rFonts w:cs="宋体" w:hint="eastAsia"/>
          <w:szCs w:val="21"/>
        </w:rPr>
        <w:t>（三）办理方式</w:t>
      </w:r>
    </w:p>
    <w:p w:rsidR="00000000" w:rsidRDefault="00431FBE">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国泰君安证券</w:t>
      </w:r>
      <w:r>
        <w:rPr>
          <w:rFonts w:cs="宋体" w:hint="eastAsia"/>
          <w:szCs w:val="21"/>
        </w:rPr>
        <w:t>直接开户便可进行东吴基金定期定额投资业务。</w:t>
      </w:r>
    </w:p>
    <w:p w:rsidR="00000000" w:rsidRDefault="00431FBE">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国</w:t>
      </w:r>
      <w:r>
        <w:rPr>
          <w:rFonts w:cs="宋体" w:hint="eastAsia"/>
          <w:kern w:val="0"/>
          <w:szCs w:val="21"/>
        </w:rPr>
        <w:t>泰君安证券</w:t>
      </w:r>
      <w:r>
        <w:rPr>
          <w:rFonts w:cs="宋体" w:hint="eastAsia"/>
          <w:color w:val="000000"/>
          <w:kern w:val="0"/>
          <w:szCs w:val="21"/>
        </w:rPr>
        <w:t>的</w:t>
      </w:r>
      <w:r>
        <w:rPr>
          <w:rFonts w:cs="宋体" w:hint="eastAsia"/>
          <w:kern w:val="0"/>
          <w:szCs w:val="21"/>
        </w:rPr>
        <w:t>交易系统</w:t>
      </w:r>
      <w:r>
        <w:rPr>
          <w:rFonts w:cs="宋体" w:hint="eastAsia"/>
          <w:szCs w:val="21"/>
        </w:rPr>
        <w:t>通过账户登记后，办理“定期定额投资业务”申请。</w:t>
      </w:r>
    </w:p>
    <w:p w:rsidR="00000000" w:rsidRDefault="00431FBE">
      <w:pPr>
        <w:spacing w:line="360" w:lineRule="auto"/>
        <w:ind w:firstLineChars="200" w:firstLine="420"/>
        <w:rPr>
          <w:rFonts w:cs="宋体" w:hint="eastAsia"/>
          <w:szCs w:val="21"/>
        </w:rPr>
      </w:pPr>
      <w:r>
        <w:rPr>
          <w:rFonts w:cs="宋体" w:hint="eastAsia"/>
          <w:szCs w:val="21"/>
        </w:rPr>
        <w:t>（四）办理时间</w:t>
      </w:r>
    </w:p>
    <w:p w:rsidR="00000000" w:rsidRDefault="00431FBE">
      <w:pPr>
        <w:spacing w:line="360" w:lineRule="auto"/>
        <w:ind w:firstLineChars="200" w:firstLine="420"/>
        <w:rPr>
          <w:rFonts w:cs="宋体" w:hint="eastAsia"/>
          <w:szCs w:val="21"/>
        </w:rPr>
      </w:pPr>
      <w:r>
        <w:rPr>
          <w:rFonts w:cs="宋体" w:hint="eastAsia"/>
          <w:szCs w:val="21"/>
        </w:rPr>
        <w:t>本业务的申请受理时间与基金日常申购业务受理时间相同。</w:t>
      </w:r>
    </w:p>
    <w:p w:rsidR="00000000" w:rsidRDefault="00431FBE">
      <w:pPr>
        <w:widowControl/>
        <w:snapToGrid w:val="0"/>
        <w:spacing w:line="360" w:lineRule="auto"/>
        <w:ind w:firstLineChars="200" w:firstLine="420"/>
        <w:jc w:val="left"/>
        <w:rPr>
          <w:rFonts w:cs="宋体" w:hint="eastAsia"/>
          <w:szCs w:val="21"/>
        </w:rPr>
      </w:pPr>
      <w:r>
        <w:rPr>
          <w:rFonts w:cs="宋体" w:hint="eastAsia"/>
          <w:szCs w:val="21"/>
        </w:rPr>
        <w:t>（五）扣款金额</w:t>
      </w:r>
    </w:p>
    <w:p w:rsidR="00000000" w:rsidRDefault="00431FBE">
      <w:pPr>
        <w:widowControl/>
        <w:snapToGrid w:val="0"/>
        <w:spacing w:line="360" w:lineRule="auto"/>
        <w:ind w:firstLineChars="200" w:firstLine="420"/>
        <w:jc w:val="left"/>
        <w:rPr>
          <w:rFonts w:cs="宋体" w:hint="eastAsia"/>
          <w:color w:val="000000"/>
          <w:szCs w:val="21"/>
        </w:rPr>
      </w:pPr>
      <w:r>
        <w:rPr>
          <w:rFonts w:cs="宋体" w:hint="eastAsia"/>
          <w:szCs w:val="21"/>
        </w:rPr>
        <w:t>投资者应与</w:t>
      </w:r>
      <w:r>
        <w:rPr>
          <w:rFonts w:cs="宋体" w:hint="eastAsia"/>
          <w:kern w:val="0"/>
          <w:szCs w:val="21"/>
        </w:rPr>
        <w:t>国泰君安证券</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431FBE">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431FBE">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431FBE">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w:t>
      </w:r>
      <w:r>
        <w:rPr>
          <w:rFonts w:cs="宋体" w:hint="eastAsia"/>
          <w:szCs w:val="21"/>
        </w:rPr>
        <w:t>自</w:t>
      </w:r>
      <w:r>
        <w:rPr>
          <w:rFonts w:cs="宋体" w:hint="eastAsia"/>
          <w:szCs w:val="21"/>
        </w:rPr>
        <w:t>2025</w:t>
      </w:r>
      <w:r>
        <w:rPr>
          <w:rFonts w:cs="宋体" w:hint="eastAsia"/>
          <w:szCs w:val="21"/>
        </w:rPr>
        <w:t>年</w:t>
      </w:r>
      <w:r>
        <w:rPr>
          <w:rFonts w:cs="宋体" w:hint="eastAsia"/>
          <w:szCs w:val="21"/>
        </w:rPr>
        <w:t>3</w:t>
      </w:r>
      <w:r>
        <w:rPr>
          <w:rFonts w:cs="宋体" w:hint="eastAsia"/>
          <w:szCs w:val="21"/>
        </w:rPr>
        <w:t>月</w:t>
      </w:r>
      <w:r>
        <w:rPr>
          <w:rFonts w:cs="宋体" w:hint="eastAsia"/>
          <w:szCs w:val="21"/>
        </w:rPr>
        <w:t>17</w:t>
      </w:r>
      <w:r>
        <w:rPr>
          <w:rFonts w:cs="宋体" w:hint="eastAsia"/>
          <w:szCs w:val="21"/>
        </w:rPr>
        <w:t>日</w:t>
      </w:r>
      <w:r>
        <w:rPr>
          <w:rFonts w:cs="宋体" w:hint="eastAsia"/>
          <w:szCs w:val="21"/>
        </w:rPr>
        <w:t>起同时在</w:t>
      </w:r>
      <w:r>
        <w:rPr>
          <w:rFonts w:cs="宋体" w:hint="eastAsia"/>
          <w:szCs w:val="21"/>
        </w:rPr>
        <w:t>国泰君安证券</w:t>
      </w:r>
      <w:r>
        <w:rPr>
          <w:rFonts w:cs="宋体" w:hint="eastAsia"/>
          <w:szCs w:val="21"/>
        </w:rPr>
        <w:t>开通</w:t>
      </w:r>
      <w:r>
        <w:rPr>
          <w:rFonts w:cs="宋体" w:hint="eastAsia"/>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p>
    <w:p w:rsidR="00000000" w:rsidRDefault="00431FBE">
      <w:pPr>
        <w:widowControl/>
        <w:spacing w:line="360" w:lineRule="auto"/>
        <w:ind w:firstLineChars="200" w:firstLine="420"/>
        <w:jc w:val="left"/>
        <w:rPr>
          <w:rFonts w:cs="宋体" w:hint="eastAsia"/>
          <w:szCs w:val="21"/>
        </w:rPr>
      </w:pPr>
      <w:r>
        <w:rPr>
          <w:rFonts w:cs="宋体" w:hint="eastAsia"/>
          <w:szCs w:val="21"/>
        </w:rPr>
        <w:t>（一）基金转换业务适</w:t>
      </w:r>
      <w:r>
        <w:rPr>
          <w:rFonts w:cs="宋体" w:hint="eastAsia"/>
          <w:szCs w:val="21"/>
        </w:rPr>
        <w:t>用投资者范围</w:t>
      </w:r>
    </w:p>
    <w:p w:rsidR="00000000" w:rsidRDefault="00431FBE">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431FBE">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（二）基金转换受理时间</w:t>
      </w:r>
    </w:p>
    <w:p w:rsidR="00000000" w:rsidRDefault="00431FBE">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431FBE">
      <w:pPr>
        <w:spacing w:line="360" w:lineRule="auto"/>
        <w:ind w:firstLineChars="200" w:firstLine="420"/>
        <w:rPr>
          <w:rFonts w:cs="宋体" w:hint="eastAsia"/>
          <w:szCs w:val="21"/>
        </w:rPr>
      </w:pPr>
      <w:r>
        <w:rPr>
          <w:rFonts w:cs="宋体" w:hint="eastAsia"/>
          <w:szCs w:val="21"/>
        </w:rPr>
        <w:t>（三）基金转换业务规则</w:t>
      </w:r>
    </w:p>
    <w:p w:rsidR="00000000" w:rsidRDefault="00431FBE">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431FBE">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431FBE">
      <w:pPr>
        <w:numPr>
          <w:ilvl w:val="0"/>
          <w:numId w:val="3"/>
        </w:num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431FBE">
      <w:pPr>
        <w:tabs>
          <w:tab w:val="left" w:pos="720"/>
        </w:tabs>
        <w:autoSpaceDE w:val="0"/>
        <w:autoSpaceDN w:val="0"/>
        <w:adjustRightInd w:val="0"/>
        <w:spacing w:line="360" w:lineRule="auto"/>
        <w:ind w:right="18" w:firstLineChars="200" w:firstLine="420"/>
        <w:jc w:val="left"/>
        <w:rPr>
          <w:rFonts w:cs="宋体" w:hint="eastAsia"/>
          <w:kern w:val="0"/>
          <w:szCs w:val="21"/>
        </w:rPr>
      </w:pPr>
      <w:r>
        <w:rPr>
          <w:rFonts w:cs="宋体" w:hint="eastAsia"/>
          <w:kern w:val="0"/>
          <w:szCs w:val="21"/>
        </w:rPr>
        <w:t xml:space="preserve"> </w:t>
      </w:r>
      <w:r>
        <w:rPr>
          <w:rFonts w:cs="宋体" w:hint="eastAsia"/>
          <w:kern w:val="0"/>
          <w:szCs w:val="21"/>
        </w:rPr>
        <w:t>1</w:t>
      </w:r>
      <w:r>
        <w:rPr>
          <w:rFonts w:cs="宋体" w:hint="eastAsia"/>
          <w:kern w:val="0"/>
          <w:szCs w:val="21"/>
        </w:rPr>
        <w:t>、国泰君安证券股份有限公司</w:t>
      </w:r>
    </w:p>
    <w:p w:rsidR="00000000" w:rsidRDefault="00431FBE">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95521 / 400</w:t>
      </w:r>
      <w:r>
        <w:rPr>
          <w:rFonts w:cs="宋体" w:hint="eastAsia"/>
          <w:kern w:val="0"/>
          <w:szCs w:val="21"/>
        </w:rPr>
        <w:t>-</w:t>
      </w:r>
      <w:r>
        <w:rPr>
          <w:rFonts w:cs="宋体" w:hint="eastAsia"/>
          <w:kern w:val="0"/>
          <w:szCs w:val="21"/>
        </w:rPr>
        <w:t>8888</w:t>
      </w:r>
      <w:r>
        <w:rPr>
          <w:rFonts w:cs="宋体" w:hint="eastAsia"/>
          <w:kern w:val="0"/>
          <w:szCs w:val="21"/>
        </w:rPr>
        <w:t>-</w:t>
      </w:r>
      <w:r>
        <w:rPr>
          <w:rFonts w:cs="宋体" w:hint="eastAsia"/>
          <w:kern w:val="0"/>
          <w:szCs w:val="21"/>
        </w:rPr>
        <w:t>666</w:t>
      </w:r>
    </w:p>
    <w:p w:rsidR="00000000" w:rsidRDefault="00431FBE">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公司网址：</w:t>
      </w:r>
      <w:r>
        <w:rPr>
          <w:rFonts w:cs="宋体" w:hint="eastAsia"/>
          <w:kern w:val="0"/>
          <w:szCs w:val="21"/>
        </w:rPr>
        <w:t>www.gtja.com</w:t>
      </w:r>
      <w:hyperlink r:id="rId5" w:tooltip="blocked::http://www.shzq.com/" w:history="1"/>
      <w:hyperlink r:id="rId6" w:history="1"/>
      <w:hyperlink r:id="rId7" w:history="1"/>
    </w:p>
    <w:p w:rsidR="00000000" w:rsidRDefault="00431FBE">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431FBE">
      <w:pPr>
        <w:spacing w:line="360" w:lineRule="auto"/>
        <w:rPr>
          <w:rFonts w:cs="宋体" w:hint="eastAsia"/>
          <w:kern w:val="0"/>
          <w:szCs w:val="21"/>
        </w:rPr>
      </w:pPr>
      <w:r>
        <w:rPr>
          <w:rFonts w:cs="宋体" w:hint="eastAsia"/>
          <w:kern w:val="0"/>
          <w:szCs w:val="21"/>
        </w:rPr>
        <w:lastRenderedPageBreak/>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431FBE">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公司网址：</w:t>
      </w:r>
      <w:hyperlink r:id="rId8" w:history="1">
        <w:r>
          <w:rPr>
            <w:rFonts w:cs="宋体" w:hint="eastAsia"/>
            <w:szCs w:val="21"/>
          </w:rPr>
          <w:t>www.scfund.co</w:t>
        </w:r>
        <w:r>
          <w:rPr>
            <w:rFonts w:cs="宋体" w:hint="eastAsia"/>
            <w:szCs w:val="21"/>
          </w:rPr>
          <w:t>m.cn</w:t>
        </w:r>
      </w:hyperlink>
    </w:p>
    <w:p w:rsidR="00000000" w:rsidRDefault="00431FBE">
      <w:pPr>
        <w:spacing w:line="360" w:lineRule="auto"/>
        <w:ind w:firstLineChars="200" w:firstLine="420"/>
        <w:rPr>
          <w:rFonts w:cs="宋体" w:hint="eastAsia"/>
          <w:color w:val="000000"/>
          <w:kern w:val="0"/>
          <w:szCs w:val="21"/>
        </w:rPr>
      </w:pPr>
    </w:p>
    <w:p w:rsidR="00000000" w:rsidRDefault="00431FBE">
      <w:pPr>
        <w:spacing w:line="360" w:lineRule="auto"/>
        <w:ind w:firstLineChars="200" w:firstLine="420"/>
        <w:rPr>
          <w:rFonts w:cs="宋体" w:hint="eastAsia"/>
          <w:color w:val="000000"/>
          <w:kern w:val="0"/>
          <w:szCs w:val="21"/>
        </w:rPr>
      </w:pPr>
      <w:r>
        <w:rPr>
          <w:rFonts w:cs="宋体" w:hint="eastAsia"/>
          <w:color w:val="000000"/>
          <w:kern w:val="0"/>
          <w:szCs w:val="21"/>
        </w:rPr>
        <w:t>五</w:t>
      </w:r>
      <w:r>
        <w:rPr>
          <w:rFonts w:cs="宋体" w:hint="eastAsia"/>
          <w:color w:val="000000"/>
          <w:kern w:val="0"/>
          <w:szCs w:val="21"/>
        </w:rPr>
        <w:t>、风险提示</w:t>
      </w:r>
    </w:p>
    <w:p w:rsidR="00000000" w:rsidRDefault="00431FBE">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本公司承诺以诚实信用、勤勉尽责的原则管理和运用基金资产，但不保证基金一定盈利，也不保证最低收益。敬请投资者在投资前认真阅读我司旗下基金的《基金合同》《招募说明书》和《基金产品资料概要》</w:t>
      </w:r>
      <w:r>
        <w:rPr>
          <w:rFonts w:cs="宋体" w:hint="eastAsia"/>
          <w:color w:val="000000"/>
          <w:kern w:val="0"/>
          <w:szCs w:val="21"/>
        </w:rPr>
        <w:t>等法律文件</w:t>
      </w:r>
      <w:r>
        <w:rPr>
          <w:rFonts w:cs="宋体" w:hint="eastAsia"/>
          <w:szCs w:val="21"/>
        </w:rPr>
        <w:t>。</w:t>
      </w:r>
    </w:p>
    <w:p w:rsidR="00000000" w:rsidRDefault="00431FBE">
      <w:pPr>
        <w:spacing w:line="360" w:lineRule="auto"/>
        <w:rPr>
          <w:rFonts w:cs="宋体" w:hint="eastAsia"/>
          <w:szCs w:val="21"/>
        </w:rPr>
      </w:pPr>
      <w:r>
        <w:rPr>
          <w:rFonts w:cs="宋体" w:hint="eastAsia"/>
          <w:szCs w:val="21"/>
        </w:rPr>
        <w:t xml:space="preserve">    </w:t>
      </w:r>
    </w:p>
    <w:p w:rsidR="00000000" w:rsidRDefault="00431FBE">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431FBE">
      <w:pPr>
        <w:spacing w:line="400" w:lineRule="exact"/>
        <w:jc w:val="right"/>
        <w:rPr>
          <w:rFonts w:cs="宋体" w:hint="eastAsia"/>
          <w:szCs w:val="21"/>
        </w:rPr>
      </w:pPr>
      <w:r>
        <w:rPr>
          <w:rFonts w:cs="宋体" w:hint="eastAsia"/>
          <w:szCs w:val="21"/>
        </w:rPr>
        <w:t xml:space="preserve">                                     </w:t>
      </w:r>
    </w:p>
    <w:p w:rsidR="00000000" w:rsidRDefault="00431FBE">
      <w:pPr>
        <w:spacing w:line="400" w:lineRule="exact"/>
        <w:jc w:val="right"/>
        <w:rPr>
          <w:rFonts w:cs="宋体" w:hint="eastAsia"/>
          <w:szCs w:val="21"/>
        </w:rPr>
      </w:pPr>
    </w:p>
    <w:p w:rsidR="00000000" w:rsidRDefault="00431FBE">
      <w:pPr>
        <w:spacing w:line="400" w:lineRule="exact"/>
        <w:jc w:val="right"/>
        <w:rPr>
          <w:rFonts w:cs="宋体" w:hint="eastAsia"/>
          <w:szCs w:val="21"/>
        </w:rPr>
      </w:pPr>
      <w:r>
        <w:rPr>
          <w:rFonts w:cs="宋体" w:hint="eastAsia"/>
          <w:szCs w:val="21"/>
        </w:rPr>
        <w:t>东吴基金管理有限公司</w:t>
      </w:r>
    </w:p>
    <w:p w:rsidR="00000000" w:rsidRDefault="00431FBE">
      <w:pPr>
        <w:spacing w:line="400" w:lineRule="exact"/>
        <w:jc w:val="center"/>
        <w:rPr>
          <w:rFonts w:cs="宋体" w:hint="eastAsia"/>
          <w:szCs w:val="21"/>
        </w:rPr>
      </w:pPr>
      <w:r>
        <w:rPr>
          <w:rFonts w:cs="宋体" w:hint="eastAsia"/>
          <w:szCs w:val="21"/>
        </w:rPr>
        <w:t xml:space="preserve">                                                            2025</w:t>
      </w:r>
      <w:r>
        <w:rPr>
          <w:rFonts w:cs="宋体" w:hint="eastAsia"/>
          <w:szCs w:val="21"/>
        </w:rPr>
        <w:t>年</w:t>
      </w:r>
      <w:r>
        <w:rPr>
          <w:rFonts w:cs="宋体" w:hint="eastAsia"/>
          <w:szCs w:val="21"/>
        </w:rPr>
        <w:t>3</w:t>
      </w:r>
      <w:r>
        <w:rPr>
          <w:rFonts w:cs="宋体" w:hint="eastAsia"/>
          <w:szCs w:val="21"/>
        </w:rPr>
        <w:t>月</w:t>
      </w:r>
      <w:r>
        <w:rPr>
          <w:rFonts w:cs="宋体" w:hint="eastAsia"/>
          <w:szCs w:val="21"/>
        </w:rPr>
        <w:t>14</w:t>
      </w:r>
      <w:r>
        <w:rPr>
          <w:rFonts w:cs="宋体" w:hint="eastAsia"/>
          <w:szCs w:val="21"/>
        </w:rPr>
        <w:t>日</w:t>
      </w:r>
    </w:p>
    <w:p w:rsidR="00000000" w:rsidRDefault="00431FBE"/>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90836"/>
    <w:multiLevelType w:val="singleLevel"/>
    <w:tmpl w:val="81A90836"/>
    <w:lvl w:ilvl="0">
      <w:start w:val="4"/>
      <w:numFmt w:val="chineseCounting"/>
      <w:suff w:val="nothing"/>
      <w:lvlText w:val="%1、"/>
      <w:lvlJc w:val="left"/>
      <w:rPr>
        <w:rFonts w:hint="eastAsia"/>
      </w:rPr>
    </w:lvl>
  </w:abstractNum>
  <w:abstractNum w:abstractNumId="1">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5E28EE34"/>
    <w:multiLevelType w:val="singleLevel"/>
    <w:tmpl w:val="5E28EE34"/>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1FBE"/>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A4733"/>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7B608B"/>
    <w:rsid w:val="03900D70"/>
    <w:rsid w:val="03BF4636"/>
    <w:rsid w:val="043833BC"/>
    <w:rsid w:val="05282922"/>
    <w:rsid w:val="05743748"/>
    <w:rsid w:val="05FD0EAD"/>
    <w:rsid w:val="06171B42"/>
    <w:rsid w:val="06530F29"/>
    <w:rsid w:val="065D535C"/>
    <w:rsid w:val="066C5AF4"/>
    <w:rsid w:val="07223B44"/>
    <w:rsid w:val="0725719D"/>
    <w:rsid w:val="076808B4"/>
    <w:rsid w:val="07C02047"/>
    <w:rsid w:val="07E27256"/>
    <w:rsid w:val="07EC11B9"/>
    <w:rsid w:val="08914121"/>
    <w:rsid w:val="089B75B6"/>
    <w:rsid w:val="089F48AC"/>
    <w:rsid w:val="08B95FAF"/>
    <w:rsid w:val="095A6915"/>
    <w:rsid w:val="097914DE"/>
    <w:rsid w:val="099A29BB"/>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E947D89"/>
    <w:rsid w:val="0F2D2C5D"/>
    <w:rsid w:val="0F304F86"/>
    <w:rsid w:val="0F420568"/>
    <w:rsid w:val="0F5A6124"/>
    <w:rsid w:val="0FCE7E58"/>
    <w:rsid w:val="103852DA"/>
    <w:rsid w:val="103D7A7A"/>
    <w:rsid w:val="10AF4A06"/>
    <w:rsid w:val="10EA5DD8"/>
    <w:rsid w:val="10ED011B"/>
    <w:rsid w:val="11252F1A"/>
    <w:rsid w:val="117D03B7"/>
    <w:rsid w:val="11D35ECA"/>
    <w:rsid w:val="121B17A1"/>
    <w:rsid w:val="12260115"/>
    <w:rsid w:val="126C35C1"/>
    <w:rsid w:val="12A80A9A"/>
    <w:rsid w:val="12ED0AC1"/>
    <w:rsid w:val="13A147CE"/>
    <w:rsid w:val="1412586F"/>
    <w:rsid w:val="144D74F1"/>
    <w:rsid w:val="14695692"/>
    <w:rsid w:val="149A6E87"/>
    <w:rsid w:val="149B08DC"/>
    <w:rsid w:val="14AC27FC"/>
    <w:rsid w:val="14D50D81"/>
    <w:rsid w:val="15284B7A"/>
    <w:rsid w:val="156173A0"/>
    <w:rsid w:val="15D65076"/>
    <w:rsid w:val="15F90791"/>
    <w:rsid w:val="16274FBF"/>
    <w:rsid w:val="16887312"/>
    <w:rsid w:val="16BB2E3C"/>
    <w:rsid w:val="16E41E49"/>
    <w:rsid w:val="176C38A0"/>
    <w:rsid w:val="17837E4E"/>
    <w:rsid w:val="17AB4629"/>
    <w:rsid w:val="17F654E3"/>
    <w:rsid w:val="1808590F"/>
    <w:rsid w:val="183F3F70"/>
    <w:rsid w:val="185A6A58"/>
    <w:rsid w:val="18723695"/>
    <w:rsid w:val="18AC5BF4"/>
    <w:rsid w:val="18B358E3"/>
    <w:rsid w:val="18C748B7"/>
    <w:rsid w:val="19502AFF"/>
    <w:rsid w:val="196E49C7"/>
    <w:rsid w:val="19AE35ED"/>
    <w:rsid w:val="1A0B0B52"/>
    <w:rsid w:val="1A4100CF"/>
    <w:rsid w:val="1A9B556D"/>
    <w:rsid w:val="1B7D7FE3"/>
    <w:rsid w:val="1BD41A17"/>
    <w:rsid w:val="1BED5CE0"/>
    <w:rsid w:val="1C3152AF"/>
    <w:rsid w:val="1C320D13"/>
    <w:rsid w:val="1C677BCF"/>
    <w:rsid w:val="1C863E5F"/>
    <w:rsid w:val="1CA27161"/>
    <w:rsid w:val="1CDF3654"/>
    <w:rsid w:val="1D3E15EC"/>
    <w:rsid w:val="1DE62317"/>
    <w:rsid w:val="1E3644FF"/>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4140680"/>
    <w:rsid w:val="243B7B17"/>
    <w:rsid w:val="24492F66"/>
    <w:rsid w:val="246062EC"/>
    <w:rsid w:val="24E07885"/>
    <w:rsid w:val="25123A35"/>
    <w:rsid w:val="2534229A"/>
    <w:rsid w:val="257D32B1"/>
    <w:rsid w:val="25EC6BD7"/>
    <w:rsid w:val="26165B41"/>
    <w:rsid w:val="26881B2A"/>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BC43604"/>
    <w:rsid w:val="2C445CD5"/>
    <w:rsid w:val="2C957B69"/>
    <w:rsid w:val="2CB23497"/>
    <w:rsid w:val="2D2F0A6E"/>
    <w:rsid w:val="2D47547B"/>
    <w:rsid w:val="2E290C48"/>
    <w:rsid w:val="2F1D5A8B"/>
    <w:rsid w:val="2FAA2872"/>
    <w:rsid w:val="2FB1307B"/>
    <w:rsid w:val="2FCA1259"/>
    <w:rsid w:val="2FDC331F"/>
    <w:rsid w:val="2FE857C9"/>
    <w:rsid w:val="309148BA"/>
    <w:rsid w:val="30A04B7E"/>
    <w:rsid w:val="30D40089"/>
    <w:rsid w:val="320D0E17"/>
    <w:rsid w:val="322D3DD5"/>
    <w:rsid w:val="323563A5"/>
    <w:rsid w:val="329F0927"/>
    <w:rsid w:val="32B61B46"/>
    <w:rsid w:val="32C945B8"/>
    <w:rsid w:val="330C0562"/>
    <w:rsid w:val="331C31BE"/>
    <w:rsid w:val="33464B7A"/>
    <w:rsid w:val="334D0383"/>
    <w:rsid w:val="33576347"/>
    <w:rsid w:val="33915228"/>
    <w:rsid w:val="33B075FE"/>
    <w:rsid w:val="33CB2631"/>
    <w:rsid w:val="340332F1"/>
    <w:rsid w:val="34395C89"/>
    <w:rsid w:val="34877D0D"/>
    <w:rsid w:val="349613D0"/>
    <w:rsid w:val="34DA79F4"/>
    <w:rsid w:val="351A72AD"/>
    <w:rsid w:val="35282C5A"/>
    <w:rsid w:val="354D41DF"/>
    <w:rsid w:val="35D5640E"/>
    <w:rsid w:val="35FB23CC"/>
    <w:rsid w:val="36371F6E"/>
    <w:rsid w:val="36774B69"/>
    <w:rsid w:val="36AC5178"/>
    <w:rsid w:val="36BE381C"/>
    <w:rsid w:val="370C6F24"/>
    <w:rsid w:val="373E372F"/>
    <w:rsid w:val="37CA3A87"/>
    <w:rsid w:val="38137F9C"/>
    <w:rsid w:val="384D2127"/>
    <w:rsid w:val="38B03454"/>
    <w:rsid w:val="39A04924"/>
    <w:rsid w:val="39E949C6"/>
    <w:rsid w:val="39FB0130"/>
    <w:rsid w:val="3A0D111F"/>
    <w:rsid w:val="3A0D38CD"/>
    <w:rsid w:val="3A387FA7"/>
    <w:rsid w:val="3A88044D"/>
    <w:rsid w:val="3AD30201"/>
    <w:rsid w:val="3B2E782F"/>
    <w:rsid w:val="3B893F22"/>
    <w:rsid w:val="3BCF2D0F"/>
    <w:rsid w:val="3C44454F"/>
    <w:rsid w:val="3CB42A10"/>
    <w:rsid w:val="3CDB60E7"/>
    <w:rsid w:val="3D6E29EB"/>
    <w:rsid w:val="3D7374F4"/>
    <w:rsid w:val="3D994F8E"/>
    <w:rsid w:val="3D9B70CD"/>
    <w:rsid w:val="3DA939C5"/>
    <w:rsid w:val="3E1F1601"/>
    <w:rsid w:val="3E431917"/>
    <w:rsid w:val="3EA74EA6"/>
    <w:rsid w:val="3EAB2453"/>
    <w:rsid w:val="3F0D38BA"/>
    <w:rsid w:val="3F156B28"/>
    <w:rsid w:val="40591B82"/>
    <w:rsid w:val="406900CD"/>
    <w:rsid w:val="409B7B27"/>
    <w:rsid w:val="40ED1605"/>
    <w:rsid w:val="412133EB"/>
    <w:rsid w:val="414B2DA0"/>
    <w:rsid w:val="41F017A8"/>
    <w:rsid w:val="42D52A3F"/>
    <w:rsid w:val="42F17050"/>
    <w:rsid w:val="431369E3"/>
    <w:rsid w:val="436A00A2"/>
    <w:rsid w:val="4399457F"/>
    <w:rsid w:val="443C6B00"/>
    <w:rsid w:val="445157F9"/>
    <w:rsid w:val="44676143"/>
    <w:rsid w:val="44794D63"/>
    <w:rsid w:val="44D067D1"/>
    <w:rsid w:val="44E670C8"/>
    <w:rsid w:val="453E3F7B"/>
    <w:rsid w:val="4572211D"/>
    <w:rsid w:val="46692B10"/>
    <w:rsid w:val="467C28B2"/>
    <w:rsid w:val="46924683"/>
    <w:rsid w:val="46B05CA5"/>
    <w:rsid w:val="473A5625"/>
    <w:rsid w:val="476F114B"/>
    <w:rsid w:val="47C02C46"/>
    <w:rsid w:val="47C17D67"/>
    <w:rsid w:val="48463A92"/>
    <w:rsid w:val="488515F1"/>
    <w:rsid w:val="489354A0"/>
    <w:rsid w:val="49083735"/>
    <w:rsid w:val="490F7BDD"/>
    <w:rsid w:val="49B758A3"/>
    <w:rsid w:val="4A8E51ED"/>
    <w:rsid w:val="4AAF17BC"/>
    <w:rsid w:val="4AFB1112"/>
    <w:rsid w:val="4C2F6420"/>
    <w:rsid w:val="4C8C3A8E"/>
    <w:rsid w:val="4D0C302C"/>
    <w:rsid w:val="4D473B61"/>
    <w:rsid w:val="4E053C46"/>
    <w:rsid w:val="4E13044B"/>
    <w:rsid w:val="4E1E499E"/>
    <w:rsid w:val="4E2906CE"/>
    <w:rsid w:val="4EC201C3"/>
    <w:rsid w:val="4F1C2EFD"/>
    <w:rsid w:val="4F691C56"/>
    <w:rsid w:val="4FA249DE"/>
    <w:rsid w:val="4FD81752"/>
    <w:rsid w:val="50B77329"/>
    <w:rsid w:val="51C41695"/>
    <w:rsid w:val="51D74CEC"/>
    <w:rsid w:val="524B0146"/>
    <w:rsid w:val="52861B73"/>
    <w:rsid w:val="52CB7035"/>
    <w:rsid w:val="52CD24EF"/>
    <w:rsid w:val="52D60FD9"/>
    <w:rsid w:val="531319AA"/>
    <w:rsid w:val="531D1557"/>
    <w:rsid w:val="5328390B"/>
    <w:rsid w:val="53506042"/>
    <w:rsid w:val="537F1847"/>
    <w:rsid w:val="54C94F38"/>
    <w:rsid w:val="554167A1"/>
    <w:rsid w:val="56BD677F"/>
    <w:rsid w:val="57564D00"/>
    <w:rsid w:val="57755916"/>
    <w:rsid w:val="5794651A"/>
    <w:rsid w:val="57EC095E"/>
    <w:rsid w:val="580F7213"/>
    <w:rsid w:val="58BB67A0"/>
    <w:rsid w:val="58DA0FD3"/>
    <w:rsid w:val="58F65C68"/>
    <w:rsid w:val="58FD4074"/>
    <w:rsid w:val="58FF5142"/>
    <w:rsid w:val="5923594F"/>
    <w:rsid w:val="59391735"/>
    <w:rsid w:val="596E70E3"/>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6B0290"/>
    <w:rsid w:val="5DF854E1"/>
    <w:rsid w:val="5E1A796B"/>
    <w:rsid w:val="5E2A5AED"/>
    <w:rsid w:val="5E7D2556"/>
    <w:rsid w:val="5EFB210D"/>
    <w:rsid w:val="5F110351"/>
    <w:rsid w:val="5F2913F5"/>
    <w:rsid w:val="5F3C0630"/>
    <w:rsid w:val="5FA97E40"/>
    <w:rsid w:val="5FAA4FFC"/>
    <w:rsid w:val="6025124B"/>
    <w:rsid w:val="603D5AAD"/>
    <w:rsid w:val="6072134A"/>
    <w:rsid w:val="608A7D81"/>
    <w:rsid w:val="60C05441"/>
    <w:rsid w:val="61186496"/>
    <w:rsid w:val="61B65F15"/>
    <w:rsid w:val="61BE058B"/>
    <w:rsid w:val="61BE4076"/>
    <w:rsid w:val="61D03DA9"/>
    <w:rsid w:val="61F61A03"/>
    <w:rsid w:val="6219297F"/>
    <w:rsid w:val="621E7D51"/>
    <w:rsid w:val="6277421B"/>
    <w:rsid w:val="62CD38A9"/>
    <w:rsid w:val="62E01DCA"/>
    <w:rsid w:val="637D72F5"/>
    <w:rsid w:val="63857653"/>
    <w:rsid w:val="63A64DC2"/>
    <w:rsid w:val="63AF3D3A"/>
    <w:rsid w:val="63D931E2"/>
    <w:rsid w:val="641D434E"/>
    <w:rsid w:val="646D072F"/>
    <w:rsid w:val="64D352B8"/>
    <w:rsid w:val="650A6E75"/>
    <w:rsid w:val="651560BA"/>
    <w:rsid w:val="65273A24"/>
    <w:rsid w:val="652B31FC"/>
    <w:rsid w:val="652E52F0"/>
    <w:rsid w:val="65302539"/>
    <w:rsid w:val="658102BD"/>
    <w:rsid w:val="65890AB7"/>
    <w:rsid w:val="65916115"/>
    <w:rsid w:val="65DE5582"/>
    <w:rsid w:val="66240165"/>
    <w:rsid w:val="66F43AF7"/>
    <w:rsid w:val="674F474C"/>
    <w:rsid w:val="675822DE"/>
    <w:rsid w:val="67787F8D"/>
    <w:rsid w:val="6792295F"/>
    <w:rsid w:val="67C07C99"/>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7E270E"/>
    <w:rsid w:val="6C8860A9"/>
    <w:rsid w:val="6C9768B4"/>
    <w:rsid w:val="6CA61A3A"/>
    <w:rsid w:val="6CC60CEF"/>
    <w:rsid w:val="6DB15CE3"/>
    <w:rsid w:val="6DCF7A62"/>
    <w:rsid w:val="6E044B8A"/>
    <w:rsid w:val="6EB448FD"/>
    <w:rsid w:val="6F383D07"/>
    <w:rsid w:val="6F421085"/>
    <w:rsid w:val="6FC714F2"/>
    <w:rsid w:val="6FF414D4"/>
    <w:rsid w:val="700746B2"/>
    <w:rsid w:val="70077DE7"/>
    <w:rsid w:val="706C7FA2"/>
    <w:rsid w:val="70845812"/>
    <w:rsid w:val="70E37F8D"/>
    <w:rsid w:val="71127BA2"/>
    <w:rsid w:val="7187084F"/>
    <w:rsid w:val="718F50E7"/>
    <w:rsid w:val="71FB5066"/>
    <w:rsid w:val="72165F65"/>
    <w:rsid w:val="72181581"/>
    <w:rsid w:val="72262C1C"/>
    <w:rsid w:val="726F6D4C"/>
    <w:rsid w:val="72835E6E"/>
    <w:rsid w:val="72B30DC7"/>
    <w:rsid w:val="73975252"/>
    <w:rsid w:val="73BB1804"/>
    <w:rsid w:val="73F12CD0"/>
    <w:rsid w:val="73FD2CDB"/>
    <w:rsid w:val="74FA55F6"/>
    <w:rsid w:val="753271D8"/>
    <w:rsid w:val="756A3CA9"/>
    <w:rsid w:val="757438E6"/>
    <w:rsid w:val="7578477B"/>
    <w:rsid w:val="75E861EF"/>
    <w:rsid w:val="760553A8"/>
    <w:rsid w:val="7618435B"/>
    <w:rsid w:val="768C1119"/>
    <w:rsid w:val="7729744D"/>
    <w:rsid w:val="776C6CE8"/>
    <w:rsid w:val="777D46CA"/>
    <w:rsid w:val="77923065"/>
    <w:rsid w:val="77B37523"/>
    <w:rsid w:val="77EF43DC"/>
    <w:rsid w:val="78501E3B"/>
    <w:rsid w:val="78B70A5B"/>
    <w:rsid w:val="795A5208"/>
    <w:rsid w:val="795D3C37"/>
    <w:rsid w:val="79833C7C"/>
    <w:rsid w:val="79C91A00"/>
    <w:rsid w:val="79DB41C3"/>
    <w:rsid w:val="79EE3760"/>
    <w:rsid w:val="7A3D23EC"/>
    <w:rsid w:val="7A5709DC"/>
    <w:rsid w:val="7A8F4748"/>
    <w:rsid w:val="7A9629B0"/>
    <w:rsid w:val="7ACB744D"/>
    <w:rsid w:val="7AD832E2"/>
    <w:rsid w:val="7B3E4593"/>
    <w:rsid w:val="7B533629"/>
    <w:rsid w:val="7B9F358C"/>
    <w:rsid w:val="7C1D1B1D"/>
    <w:rsid w:val="7C271FE0"/>
    <w:rsid w:val="7C464660"/>
    <w:rsid w:val="7CE03CA6"/>
    <w:rsid w:val="7D0801C2"/>
    <w:rsid w:val="7D3B2EE5"/>
    <w:rsid w:val="7D450D50"/>
    <w:rsid w:val="7D6E64F9"/>
    <w:rsid w:val="7DA60233"/>
    <w:rsid w:val="7DE92D15"/>
    <w:rsid w:val="7E1150D6"/>
    <w:rsid w:val="7E1A4758"/>
    <w:rsid w:val="7E590F57"/>
    <w:rsid w:val="7F1076A5"/>
    <w:rsid w:val="7F2A644F"/>
    <w:rsid w:val="7F737252"/>
    <w:rsid w:val="7F8D69DE"/>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fund.com.cn" TargetMode="External"/><Relationship Id="rId3" Type="http://schemas.openxmlformats.org/officeDocument/2006/relationships/settings" Target="settings.xml"/><Relationship Id="rId7" Type="http://schemas.openxmlformats.org/officeDocument/2006/relationships/hyperlink" Target="http://www.hgccp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aimofang.cn/" TargetMode="External"/><Relationship Id="rId5" Type="http://schemas.openxmlformats.org/officeDocument/2006/relationships/hyperlink" Target="http://www.shzq.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1736</Characters>
  <Application>Microsoft Office Word</Application>
  <DocSecurity>4</DocSecurity>
  <PresentationFormat/>
  <Lines>14</Lines>
  <Paragraphs>4</Paragraphs>
  <Slides>0</Slides>
  <Notes>0</Notes>
  <HiddenSlides>0</HiddenSlides>
  <MMClips>0</MMClips>
  <ScaleCrop>false</ScaleCrop>
  <Manager/>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东吴基金管理有限公司关于旗下部分基金新增国泰君安证券股份有限公司为代销机构、开通定期定额投资及转换业务的公告</dc:title>
  <dc:subject/>
  <dc:creator>dingxue</dc:creator>
  <cp:keywords/>
  <dc:description/>
  <cp:lastModifiedBy>ZHONGM</cp:lastModifiedBy>
  <cp:revision>2</cp:revision>
  <cp:lastPrinted>2015-06-11T02:51:00Z</cp:lastPrinted>
  <dcterms:created xsi:type="dcterms:W3CDTF">2025-03-13T16:01:00Z</dcterms:created>
  <dcterms:modified xsi:type="dcterms:W3CDTF">2025-03-13T16:01:00Z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FDE88D53636940EFB3401DC22EB00508_13</vt:lpwstr>
  </property>
</Properties>
</file>