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52116">
      <w:pPr>
        <w:spacing w:line="360" w:lineRule="auto"/>
        <w:jc w:val="center"/>
        <w:rPr>
          <w:rFonts w:ascii="宋体" w:hAnsi="宋体"/>
          <w:b/>
          <w:szCs w:val="21"/>
          <w:highlight w:val="yellow"/>
        </w:rPr>
      </w:pPr>
      <w:bookmarkStart w:id="0" w:name="_Toc361324840"/>
    </w:p>
    <w:p w14:paraId="34532B7D">
      <w:pPr>
        <w:spacing w:line="360" w:lineRule="auto"/>
        <w:jc w:val="center"/>
        <w:rPr>
          <w:rFonts w:ascii="宋体" w:hAnsi="宋体"/>
          <w:b/>
          <w:szCs w:val="21"/>
          <w:highlight w:val="none"/>
        </w:rPr>
      </w:pPr>
    </w:p>
    <w:bookmarkEnd w:id="0"/>
    <w:p w14:paraId="00FDFE15">
      <w:pPr>
        <w:spacing w:line="360" w:lineRule="auto"/>
        <w:jc w:val="center"/>
        <w:rPr>
          <w:rFonts w:ascii="宋体" w:hAnsi="宋体"/>
          <w:b/>
          <w:sz w:val="52"/>
          <w:szCs w:val="52"/>
          <w:highlight w:val="none"/>
        </w:rPr>
      </w:pPr>
      <w:bookmarkStart w:id="1" w:name="_Toc361324841"/>
      <w:r>
        <w:rPr>
          <w:rFonts w:hint="eastAsia" w:ascii="宋体" w:hAnsi="宋体"/>
          <w:b/>
          <w:sz w:val="52"/>
          <w:szCs w:val="52"/>
          <w:highlight w:val="none"/>
        </w:rPr>
        <w:t>博时荣升稳健添利18个月定期开放混合型证券投资基金</w:t>
      </w:r>
      <w:r>
        <w:rPr>
          <w:rFonts w:hint="eastAsia" w:ascii="宋体" w:hAnsi="宋体"/>
          <w:b/>
          <w:sz w:val="52"/>
          <w:szCs w:val="52"/>
          <w:highlight w:val="none"/>
          <w:lang w:val="en-US" w:eastAsia="zh-CN"/>
        </w:rPr>
        <w:t>基金</w:t>
      </w:r>
      <w:r>
        <w:rPr>
          <w:rFonts w:hint="eastAsia" w:ascii="宋体" w:hAnsi="宋体"/>
          <w:b/>
          <w:sz w:val="52"/>
          <w:szCs w:val="52"/>
          <w:highlight w:val="none"/>
        </w:rPr>
        <w:t>清算报告</w:t>
      </w:r>
      <w:bookmarkEnd w:id="1"/>
    </w:p>
    <w:p w14:paraId="0CEACC74">
      <w:pPr>
        <w:rPr>
          <w:rFonts w:ascii="宋体" w:hAnsi="宋体"/>
          <w:szCs w:val="21"/>
          <w:highlight w:val="none"/>
        </w:rPr>
      </w:pPr>
    </w:p>
    <w:p w14:paraId="6AC03D10">
      <w:pPr>
        <w:rPr>
          <w:rFonts w:ascii="宋体" w:hAnsi="宋体"/>
          <w:szCs w:val="21"/>
          <w:highlight w:val="none"/>
        </w:rPr>
      </w:pPr>
    </w:p>
    <w:p w14:paraId="5B4DE279">
      <w:pPr>
        <w:rPr>
          <w:rFonts w:ascii="宋体" w:hAnsi="宋体"/>
          <w:szCs w:val="21"/>
          <w:highlight w:val="none"/>
        </w:rPr>
      </w:pPr>
    </w:p>
    <w:p w14:paraId="43DA316C">
      <w:pPr>
        <w:rPr>
          <w:rFonts w:ascii="宋体" w:hAnsi="宋体"/>
          <w:szCs w:val="21"/>
          <w:highlight w:val="none"/>
        </w:rPr>
      </w:pPr>
    </w:p>
    <w:p w14:paraId="485C4059">
      <w:pPr>
        <w:rPr>
          <w:rFonts w:ascii="宋体" w:hAnsi="宋体"/>
          <w:szCs w:val="21"/>
          <w:highlight w:val="none"/>
        </w:rPr>
      </w:pPr>
    </w:p>
    <w:p w14:paraId="6A90B51E">
      <w:pPr>
        <w:rPr>
          <w:rFonts w:ascii="宋体" w:hAnsi="宋体"/>
          <w:szCs w:val="21"/>
          <w:highlight w:val="none"/>
        </w:rPr>
      </w:pPr>
    </w:p>
    <w:p w14:paraId="21E68FB8">
      <w:pPr>
        <w:rPr>
          <w:rFonts w:ascii="宋体" w:hAnsi="宋体"/>
          <w:szCs w:val="21"/>
          <w:highlight w:val="none"/>
        </w:rPr>
      </w:pPr>
    </w:p>
    <w:p w14:paraId="399A9ADE">
      <w:pPr>
        <w:rPr>
          <w:rFonts w:ascii="宋体" w:hAnsi="宋体"/>
          <w:szCs w:val="21"/>
          <w:highlight w:val="none"/>
        </w:rPr>
      </w:pPr>
    </w:p>
    <w:p w14:paraId="59067160">
      <w:pPr>
        <w:rPr>
          <w:rFonts w:ascii="宋体" w:hAnsi="宋体"/>
          <w:szCs w:val="21"/>
          <w:highlight w:val="none"/>
        </w:rPr>
      </w:pPr>
    </w:p>
    <w:p w14:paraId="65725B95">
      <w:pPr>
        <w:rPr>
          <w:rFonts w:ascii="宋体" w:hAnsi="宋体"/>
          <w:szCs w:val="21"/>
          <w:highlight w:val="none"/>
        </w:rPr>
      </w:pPr>
    </w:p>
    <w:p w14:paraId="62D38858">
      <w:pPr>
        <w:rPr>
          <w:rFonts w:ascii="宋体" w:hAnsi="宋体"/>
          <w:szCs w:val="21"/>
          <w:highlight w:val="none"/>
        </w:rPr>
      </w:pPr>
    </w:p>
    <w:p w14:paraId="26E67864">
      <w:pPr>
        <w:spacing w:line="360" w:lineRule="auto"/>
        <w:jc w:val="center"/>
        <w:rPr>
          <w:rFonts w:ascii="宋体" w:hAnsi="宋体"/>
          <w:b/>
          <w:color w:val="000000"/>
          <w:sz w:val="36"/>
          <w:szCs w:val="36"/>
          <w:highlight w:val="none"/>
        </w:rPr>
      </w:pPr>
      <w:r>
        <w:rPr>
          <w:rFonts w:ascii="宋体" w:hAnsi="宋体"/>
          <w:b/>
          <w:color w:val="000000"/>
          <w:sz w:val="36"/>
          <w:szCs w:val="36"/>
          <w:highlight w:val="none"/>
        </w:rPr>
        <w:t>基金管理人：博时基金管理有限公司</w:t>
      </w:r>
    </w:p>
    <w:p w14:paraId="09A5844B">
      <w:pPr>
        <w:spacing w:line="360" w:lineRule="auto"/>
        <w:jc w:val="center"/>
        <w:rPr>
          <w:rFonts w:ascii="宋体" w:hAnsi="宋体"/>
          <w:b/>
          <w:color w:val="000000"/>
          <w:sz w:val="36"/>
          <w:szCs w:val="36"/>
          <w:highlight w:val="none"/>
        </w:rPr>
      </w:pPr>
      <w:r>
        <w:rPr>
          <w:rFonts w:ascii="宋体" w:hAnsi="宋体"/>
          <w:b/>
          <w:color w:val="000000"/>
          <w:sz w:val="36"/>
          <w:szCs w:val="36"/>
          <w:highlight w:val="none"/>
        </w:rPr>
        <w:t>基金托管人：</w:t>
      </w:r>
      <w:bookmarkStart w:id="2" w:name="OLE_LINK1"/>
      <w:r>
        <w:rPr>
          <w:rFonts w:hint="eastAsia" w:ascii="宋体" w:hAnsi="宋体"/>
          <w:b/>
          <w:color w:val="000000"/>
          <w:sz w:val="36"/>
          <w:szCs w:val="36"/>
          <w:highlight w:val="none"/>
          <w:lang w:val="en-US" w:eastAsia="zh-CN"/>
        </w:rPr>
        <w:t>中国邮政储蓄银行股份有限公司</w:t>
      </w:r>
      <w:bookmarkEnd w:id="2"/>
    </w:p>
    <w:p w14:paraId="77D669F5">
      <w:pPr>
        <w:spacing w:line="360" w:lineRule="auto"/>
        <w:jc w:val="center"/>
        <w:rPr>
          <w:rFonts w:ascii="宋体" w:hAnsi="宋体"/>
          <w:b/>
          <w:color w:val="000000"/>
          <w:sz w:val="36"/>
          <w:szCs w:val="36"/>
          <w:highlight w:val="none"/>
        </w:rPr>
      </w:pPr>
      <w:r>
        <w:rPr>
          <w:rFonts w:ascii="宋体" w:hAnsi="宋体"/>
          <w:b/>
          <w:color w:val="000000"/>
          <w:sz w:val="36"/>
          <w:szCs w:val="36"/>
          <w:highlight w:val="none"/>
        </w:rPr>
        <w:t>报告</w:t>
      </w:r>
      <w:r>
        <w:rPr>
          <w:rFonts w:hint="eastAsia" w:ascii="宋体" w:hAnsi="宋体"/>
          <w:b/>
          <w:color w:val="000000"/>
          <w:sz w:val="36"/>
          <w:szCs w:val="36"/>
          <w:highlight w:val="none"/>
        </w:rPr>
        <w:t>出具</w:t>
      </w:r>
      <w:r>
        <w:rPr>
          <w:rFonts w:ascii="宋体" w:hAnsi="宋体"/>
          <w:b/>
          <w:color w:val="000000"/>
          <w:sz w:val="36"/>
          <w:szCs w:val="36"/>
          <w:highlight w:val="none"/>
        </w:rPr>
        <w:t>日期：二〇</w:t>
      </w:r>
      <w:r>
        <w:rPr>
          <w:rFonts w:hint="eastAsia" w:ascii="宋体" w:hAnsi="宋体"/>
          <w:b/>
          <w:color w:val="000000"/>
          <w:sz w:val="36"/>
          <w:szCs w:val="36"/>
          <w:highlight w:val="none"/>
        </w:rPr>
        <w:t>二</w:t>
      </w:r>
      <w:r>
        <w:rPr>
          <w:rFonts w:hint="eastAsia" w:ascii="宋体" w:hAnsi="宋体"/>
          <w:b/>
          <w:color w:val="000000"/>
          <w:sz w:val="36"/>
          <w:szCs w:val="36"/>
          <w:highlight w:val="none"/>
          <w:lang w:val="en-US" w:eastAsia="zh-CN"/>
        </w:rPr>
        <w:t>五</w:t>
      </w:r>
      <w:r>
        <w:rPr>
          <w:rFonts w:ascii="宋体" w:hAnsi="宋体"/>
          <w:b/>
          <w:color w:val="000000"/>
          <w:sz w:val="36"/>
          <w:szCs w:val="36"/>
          <w:highlight w:val="none"/>
        </w:rPr>
        <w:t>年</w:t>
      </w:r>
      <w:r>
        <w:rPr>
          <w:rFonts w:hint="eastAsia" w:ascii="宋体" w:hAnsi="宋体"/>
          <w:b/>
          <w:color w:val="000000"/>
          <w:sz w:val="36"/>
          <w:szCs w:val="36"/>
          <w:highlight w:val="none"/>
          <w:lang w:val="en-US" w:eastAsia="zh-CN"/>
        </w:rPr>
        <w:t>三</w:t>
      </w:r>
      <w:r>
        <w:rPr>
          <w:rFonts w:ascii="宋体" w:hAnsi="宋体"/>
          <w:b/>
          <w:color w:val="000000"/>
          <w:sz w:val="36"/>
          <w:szCs w:val="36"/>
          <w:highlight w:val="none"/>
        </w:rPr>
        <w:t>月</w:t>
      </w:r>
      <w:r>
        <w:rPr>
          <w:rFonts w:hint="eastAsia" w:ascii="宋体" w:hAnsi="宋体"/>
          <w:b/>
          <w:color w:val="000000"/>
          <w:sz w:val="36"/>
          <w:szCs w:val="36"/>
          <w:highlight w:val="none"/>
          <w:lang w:val="en-US" w:eastAsia="zh-CN"/>
        </w:rPr>
        <w:t>十</w:t>
      </w:r>
      <w:r>
        <w:rPr>
          <w:rFonts w:hint="eastAsia" w:ascii="宋体" w:hAnsi="宋体"/>
          <w:b/>
          <w:color w:val="000000"/>
          <w:sz w:val="36"/>
          <w:szCs w:val="36"/>
          <w:highlight w:val="none"/>
        </w:rPr>
        <w:t>日</w:t>
      </w:r>
    </w:p>
    <w:p w14:paraId="40CE7AB8">
      <w:pPr>
        <w:spacing w:line="360" w:lineRule="auto"/>
        <w:jc w:val="center"/>
        <w:rPr>
          <w:rFonts w:ascii="宋体" w:hAnsi="宋体"/>
          <w:b/>
          <w:color w:val="000000"/>
          <w:sz w:val="36"/>
          <w:szCs w:val="36"/>
          <w:highlight w:val="none"/>
        </w:rPr>
      </w:pPr>
      <w:r>
        <w:rPr>
          <w:rFonts w:hint="eastAsia" w:ascii="宋体" w:hAnsi="宋体"/>
          <w:b/>
          <w:color w:val="000000"/>
          <w:sz w:val="36"/>
          <w:szCs w:val="36"/>
          <w:highlight w:val="none"/>
        </w:rPr>
        <w:t>报告公告日期：二〇二</w:t>
      </w:r>
      <w:r>
        <w:rPr>
          <w:rFonts w:hint="eastAsia" w:ascii="宋体" w:hAnsi="宋体"/>
          <w:b/>
          <w:color w:val="000000"/>
          <w:sz w:val="36"/>
          <w:szCs w:val="36"/>
          <w:highlight w:val="none"/>
          <w:lang w:val="en-US" w:eastAsia="zh-CN"/>
        </w:rPr>
        <w:t>五</w:t>
      </w:r>
      <w:r>
        <w:rPr>
          <w:rFonts w:hint="eastAsia" w:ascii="宋体" w:hAnsi="宋体"/>
          <w:b/>
          <w:color w:val="000000"/>
          <w:sz w:val="36"/>
          <w:szCs w:val="36"/>
          <w:highlight w:val="none"/>
        </w:rPr>
        <w:t>年</w:t>
      </w:r>
      <w:r>
        <w:rPr>
          <w:rFonts w:hint="eastAsia" w:ascii="宋体" w:hAnsi="宋体"/>
          <w:b/>
          <w:color w:val="000000"/>
          <w:sz w:val="36"/>
          <w:szCs w:val="36"/>
          <w:highlight w:val="none"/>
          <w:lang w:val="en-US" w:eastAsia="zh-CN"/>
        </w:rPr>
        <w:t>三</w:t>
      </w:r>
      <w:r>
        <w:rPr>
          <w:rFonts w:hint="eastAsia" w:ascii="宋体" w:hAnsi="宋体"/>
          <w:b/>
          <w:color w:val="000000"/>
          <w:sz w:val="36"/>
          <w:szCs w:val="36"/>
          <w:highlight w:val="none"/>
        </w:rPr>
        <w:t>月</w:t>
      </w:r>
      <w:r>
        <w:rPr>
          <w:rFonts w:hint="eastAsia" w:ascii="宋体" w:hAnsi="宋体"/>
          <w:b/>
          <w:color w:val="000000"/>
          <w:sz w:val="36"/>
          <w:szCs w:val="36"/>
          <w:highlight w:val="none"/>
          <w:lang w:val="en-US" w:eastAsia="zh-CN"/>
        </w:rPr>
        <w:t>十三</w:t>
      </w:r>
      <w:r>
        <w:rPr>
          <w:rFonts w:hint="eastAsia" w:ascii="宋体" w:hAnsi="宋体"/>
          <w:b/>
          <w:color w:val="000000"/>
          <w:sz w:val="36"/>
          <w:szCs w:val="36"/>
          <w:highlight w:val="none"/>
        </w:rPr>
        <w:t>日</w:t>
      </w:r>
    </w:p>
    <w:p w14:paraId="24904F66">
      <w:pPr>
        <w:spacing w:line="360" w:lineRule="auto"/>
        <w:jc w:val="center"/>
        <w:rPr>
          <w:rFonts w:ascii="宋体" w:hAnsi="宋体"/>
          <w:b/>
          <w:color w:val="000000"/>
          <w:sz w:val="36"/>
          <w:szCs w:val="36"/>
          <w:highlight w:val="yellow"/>
        </w:rPr>
      </w:pPr>
    </w:p>
    <w:p w14:paraId="23DEA6D5">
      <w:pPr>
        <w:spacing w:line="360" w:lineRule="auto"/>
        <w:ind w:firstLine="1265" w:firstLineChars="350"/>
        <w:rPr>
          <w:rFonts w:ascii="宋体" w:hAnsi="宋体"/>
          <w:b/>
          <w:color w:val="000000"/>
          <w:sz w:val="36"/>
          <w:szCs w:val="36"/>
          <w:highlight w:val="yellow"/>
        </w:rPr>
        <w:sectPr>
          <w:headerReference r:id="rId3" w:type="default"/>
          <w:footerReference r:id="rId4" w:type="default"/>
          <w:pgSz w:w="11926" w:h="15840"/>
          <w:pgMar w:top="1418" w:right="1418" w:bottom="851" w:left="1418" w:header="851" w:footer="992" w:gutter="0"/>
          <w:pgNumType w:start="1"/>
          <w:cols w:space="720" w:num="1"/>
          <w:titlePg/>
          <w:docGrid w:linePitch="286" w:charSpace="0"/>
        </w:sectPr>
      </w:pPr>
    </w:p>
    <w:sdt>
      <w:sdtPr>
        <w:rPr>
          <w:rFonts w:ascii="Times New Roman" w:hAnsi="Times New Roman" w:eastAsia="宋体" w:cs="Times New Roman"/>
          <w:b w:val="0"/>
          <w:bCs w:val="0"/>
          <w:color w:val="auto"/>
          <w:kern w:val="2"/>
          <w:sz w:val="21"/>
          <w:szCs w:val="24"/>
          <w:highlight w:val="yellow"/>
          <w:lang w:val="zh-CN"/>
        </w:rPr>
        <w:id w:val="542722309"/>
        <w:docPartObj>
          <w:docPartGallery w:val="Table of Contents"/>
          <w:docPartUnique/>
        </w:docPartObj>
      </w:sdtPr>
      <w:sdtEndPr>
        <w:rPr>
          <w:rFonts w:ascii="Times New Roman" w:hAnsi="Times New Roman" w:eastAsia="宋体" w:cs="Times New Roman"/>
          <w:b w:val="0"/>
          <w:bCs w:val="0"/>
          <w:color w:val="auto"/>
          <w:kern w:val="2"/>
          <w:sz w:val="21"/>
          <w:szCs w:val="24"/>
          <w:highlight w:val="yellow"/>
          <w:lang w:val="zh-CN"/>
        </w:rPr>
      </w:sdtEndPr>
      <w:sdtContent>
        <w:p w14:paraId="27FB6022">
          <w:pPr>
            <w:pStyle w:val="32"/>
            <w:jc w:val="center"/>
            <w:rPr>
              <w:highlight w:val="none"/>
            </w:rPr>
          </w:pPr>
          <w:bookmarkStart w:id="3" w:name="_Toc484769794"/>
          <w:r>
            <w:rPr>
              <w:highlight w:val="none"/>
              <w:lang w:val="zh-CN"/>
            </w:rPr>
            <w:t>目录</w:t>
          </w:r>
        </w:p>
        <w:p w14:paraId="51F622EA">
          <w:pPr>
            <w:pStyle w:val="9"/>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"_Toc491963077" </w:instrText>
          </w:r>
          <w:r>
            <w:rPr>
              <w:highlight w:val="none"/>
            </w:rPr>
            <w:fldChar w:fldCharType="separate"/>
          </w:r>
          <w:r>
            <w:rPr>
              <w:rStyle w:val="15"/>
              <w:rFonts w:ascii="宋体" w:hAnsi="宋体"/>
              <w:b/>
              <w:highlight w:val="none"/>
            </w:rPr>
            <w:t>1</w:t>
          </w:r>
          <w:r>
            <w:rPr>
              <w:rStyle w:val="15"/>
              <w:rFonts w:hint="eastAsia" w:ascii="宋体" w:hAnsi="宋体"/>
              <w:b/>
              <w:highlight w:val="none"/>
            </w:rPr>
            <w:t>、重要提示</w:t>
          </w:r>
          <w:r>
            <w:rPr>
              <w:highlight w:val="none"/>
            </w:rPr>
            <w:tab/>
          </w:r>
          <w:r>
            <w:rPr>
              <w:highlight w:val="none"/>
            </w:rPr>
            <w:fldChar w:fldCharType="begin"/>
          </w:r>
          <w:r>
            <w:rPr>
              <w:highlight w:val="none"/>
            </w:rPr>
            <w:instrText xml:space="preserve"> PAGEREF _Toc491963077 \h </w:instrText>
          </w:r>
          <w:r>
            <w:rPr>
              <w:highlight w:val="none"/>
            </w:rPr>
            <w:fldChar w:fldCharType="separate"/>
          </w:r>
          <w:r>
            <w:rPr>
              <w:highlight w:val="none"/>
            </w:rPr>
            <w:t>1</w:t>
          </w:r>
          <w:r>
            <w:rPr>
              <w:highlight w:val="none"/>
            </w:rPr>
            <w:fldChar w:fldCharType="end"/>
          </w:r>
          <w:r>
            <w:rPr>
              <w:highlight w:val="none"/>
            </w:rPr>
            <w:fldChar w:fldCharType="end"/>
          </w:r>
        </w:p>
        <w:p w14:paraId="750D9122">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"_Toc491963078" </w:instrText>
          </w:r>
          <w:r>
            <w:rPr>
              <w:highlight w:val="none"/>
            </w:rPr>
            <w:fldChar w:fldCharType="separate"/>
          </w:r>
          <w:r>
            <w:rPr>
              <w:rStyle w:val="15"/>
              <w:rFonts w:ascii="宋体" w:hAnsi="宋体"/>
              <w:kern w:val="0"/>
              <w:highlight w:val="none"/>
            </w:rPr>
            <w:t xml:space="preserve">1.1 </w:t>
          </w:r>
          <w:r>
            <w:rPr>
              <w:rStyle w:val="15"/>
              <w:rFonts w:hint="eastAsia" w:ascii="宋体" w:hAnsi="宋体"/>
              <w:kern w:val="0"/>
              <w:highlight w:val="none"/>
            </w:rPr>
            <w:t>重要提示</w:t>
          </w:r>
          <w:r>
            <w:rPr>
              <w:highlight w:val="none"/>
            </w:rPr>
            <w:tab/>
          </w:r>
          <w:r>
            <w:rPr>
              <w:highlight w:val="none"/>
            </w:rPr>
            <w:fldChar w:fldCharType="begin"/>
          </w:r>
          <w:r>
            <w:rPr>
              <w:highlight w:val="none"/>
            </w:rPr>
            <w:instrText xml:space="preserve"> PAGEREF _Toc491963078 \h </w:instrText>
          </w:r>
          <w:r>
            <w:rPr>
              <w:highlight w:val="none"/>
            </w:rPr>
            <w:fldChar w:fldCharType="separate"/>
          </w:r>
          <w:r>
            <w:rPr>
              <w:highlight w:val="none"/>
            </w:rPr>
            <w:t>1</w:t>
          </w:r>
          <w:r>
            <w:rPr>
              <w:highlight w:val="none"/>
            </w:rPr>
            <w:fldChar w:fldCharType="end"/>
          </w:r>
          <w:r>
            <w:rPr>
              <w:highlight w:val="none"/>
            </w:rPr>
            <w:fldChar w:fldCharType="end"/>
          </w:r>
        </w:p>
        <w:p w14:paraId="1F34219F">
          <w:pPr>
            <w:pStyle w:val="9"/>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"_Toc491963079" </w:instrText>
          </w:r>
          <w:r>
            <w:rPr>
              <w:highlight w:val="none"/>
            </w:rPr>
            <w:fldChar w:fldCharType="separate"/>
          </w:r>
          <w:r>
            <w:rPr>
              <w:rStyle w:val="15"/>
              <w:rFonts w:ascii="宋体" w:hAnsi="宋体"/>
              <w:b/>
              <w:highlight w:val="none"/>
            </w:rPr>
            <w:t>2</w:t>
          </w:r>
          <w:r>
            <w:rPr>
              <w:rStyle w:val="15"/>
              <w:rFonts w:hint="eastAsia" w:ascii="宋体" w:hAnsi="宋体"/>
              <w:b/>
              <w:highlight w:val="none"/>
            </w:rPr>
            <w:t>、基金概况</w:t>
          </w:r>
          <w:r>
            <w:rPr>
              <w:highlight w:val="none"/>
            </w:rPr>
            <w:tab/>
          </w:r>
          <w:r>
            <w:rPr>
              <w:highlight w:val="none"/>
            </w:rPr>
            <w:fldChar w:fldCharType="begin"/>
          </w:r>
          <w:r>
            <w:rPr>
              <w:highlight w:val="none"/>
            </w:rPr>
            <w:instrText xml:space="preserve"> PAGEREF _Toc491963079 \h </w:instrText>
          </w:r>
          <w:r>
            <w:rPr>
              <w:highlight w:val="none"/>
            </w:rPr>
            <w:fldChar w:fldCharType="separate"/>
          </w:r>
          <w:r>
            <w:rPr>
              <w:highlight w:val="none"/>
            </w:rPr>
            <w:t>1</w:t>
          </w:r>
          <w:r>
            <w:rPr>
              <w:highlight w:val="none"/>
            </w:rPr>
            <w:fldChar w:fldCharType="end"/>
          </w:r>
          <w:r>
            <w:rPr>
              <w:highlight w:val="none"/>
            </w:rPr>
            <w:fldChar w:fldCharType="end"/>
          </w:r>
        </w:p>
        <w:p w14:paraId="4A06E296">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"_Toc491963080" </w:instrText>
          </w:r>
          <w:r>
            <w:rPr>
              <w:highlight w:val="none"/>
            </w:rPr>
            <w:fldChar w:fldCharType="separate"/>
          </w:r>
          <w:r>
            <w:rPr>
              <w:rStyle w:val="15"/>
              <w:rFonts w:ascii="宋体" w:hAnsi="宋体"/>
              <w:kern w:val="0"/>
              <w:highlight w:val="none"/>
            </w:rPr>
            <w:t xml:space="preserve">2.1 </w:t>
          </w:r>
          <w:r>
            <w:rPr>
              <w:rStyle w:val="15"/>
              <w:rFonts w:hint="eastAsia" w:ascii="宋体" w:hAnsi="宋体"/>
              <w:kern w:val="0"/>
              <w:highlight w:val="none"/>
            </w:rPr>
            <w:t>基金基本情况</w:t>
          </w:r>
          <w:r>
            <w:rPr>
              <w:highlight w:val="none"/>
            </w:rPr>
            <w:tab/>
          </w:r>
          <w:r>
            <w:rPr>
              <w:highlight w:val="none"/>
            </w:rPr>
            <w:fldChar w:fldCharType="begin"/>
          </w:r>
          <w:r>
            <w:rPr>
              <w:highlight w:val="none"/>
            </w:rPr>
            <w:instrText xml:space="preserve"> PAGEREF _Toc491963080 \h </w:instrText>
          </w:r>
          <w:r>
            <w:rPr>
              <w:highlight w:val="none"/>
            </w:rPr>
            <w:fldChar w:fldCharType="separate"/>
          </w:r>
          <w:r>
            <w:rPr>
              <w:highlight w:val="none"/>
            </w:rPr>
            <w:t>1</w:t>
          </w:r>
          <w:r>
            <w:rPr>
              <w:highlight w:val="none"/>
            </w:rPr>
            <w:fldChar w:fldCharType="end"/>
          </w:r>
          <w:r>
            <w:rPr>
              <w:highlight w:val="none"/>
            </w:rPr>
            <w:fldChar w:fldCharType="end"/>
          </w:r>
        </w:p>
        <w:p w14:paraId="3ABEC326">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"_Toc491963081" </w:instrText>
          </w:r>
          <w:r>
            <w:rPr>
              <w:highlight w:val="none"/>
            </w:rPr>
            <w:fldChar w:fldCharType="separate"/>
          </w:r>
          <w:r>
            <w:rPr>
              <w:rStyle w:val="15"/>
              <w:rFonts w:ascii="宋体" w:hAnsi="宋体"/>
              <w:highlight w:val="none"/>
            </w:rPr>
            <w:t xml:space="preserve">2.2 </w:t>
          </w:r>
          <w:r>
            <w:rPr>
              <w:rStyle w:val="15"/>
              <w:rFonts w:hint="eastAsia" w:ascii="宋体" w:hAnsi="宋体"/>
              <w:highlight w:val="none"/>
            </w:rPr>
            <w:t>基金产品说明</w:t>
          </w:r>
          <w:r>
            <w:rPr>
              <w:highlight w:val="none"/>
            </w:rPr>
            <w:tab/>
          </w:r>
          <w:r>
            <w:rPr>
              <w:highlight w:val="none"/>
            </w:rPr>
            <w:fldChar w:fldCharType="begin"/>
          </w:r>
          <w:r>
            <w:rPr>
              <w:highlight w:val="none"/>
            </w:rPr>
            <w:instrText xml:space="preserve"> PAGEREF _Toc491963081 \h </w:instrText>
          </w:r>
          <w:r>
            <w:rPr>
              <w:highlight w:val="none"/>
            </w:rPr>
            <w:fldChar w:fldCharType="separate"/>
          </w:r>
          <w:r>
            <w:rPr>
              <w:highlight w:val="none"/>
            </w:rPr>
            <w:t>2</w:t>
          </w:r>
          <w:r>
            <w:rPr>
              <w:highlight w:val="none"/>
            </w:rPr>
            <w:fldChar w:fldCharType="end"/>
          </w:r>
          <w:r>
            <w:rPr>
              <w:highlight w:val="none"/>
            </w:rPr>
            <w:fldChar w:fldCharType="end"/>
          </w:r>
        </w:p>
        <w:p w14:paraId="203EDE7A">
          <w:pPr>
            <w:pStyle w:val="9"/>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"_Toc491963082" </w:instrText>
          </w:r>
          <w:r>
            <w:rPr>
              <w:highlight w:val="none"/>
            </w:rPr>
            <w:fldChar w:fldCharType="separate"/>
          </w:r>
          <w:r>
            <w:rPr>
              <w:rStyle w:val="15"/>
              <w:rFonts w:ascii="宋体" w:hAnsi="宋体"/>
              <w:b/>
              <w:highlight w:val="none"/>
            </w:rPr>
            <w:t>3</w:t>
          </w:r>
          <w:r>
            <w:rPr>
              <w:rStyle w:val="15"/>
              <w:rFonts w:hint="eastAsia" w:ascii="宋体" w:hAnsi="宋体"/>
              <w:b/>
              <w:highlight w:val="none"/>
            </w:rPr>
            <w:t>、基金运作情况说明</w:t>
          </w:r>
          <w:r>
            <w:rPr>
              <w:highlight w:val="none"/>
            </w:rPr>
            <w:tab/>
          </w:r>
          <w:r>
            <w:rPr>
              <w:highlight w:val="none"/>
            </w:rPr>
            <w:fldChar w:fldCharType="begin"/>
          </w:r>
          <w:r>
            <w:rPr>
              <w:highlight w:val="none"/>
            </w:rPr>
            <w:instrText xml:space="preserve"> PAGEREF _Toc491963082 \h </w:instrText>
          </w:r>
          <w:r>
            <w:rPr>
              <w:highlight w:val="none"/>
            </w:rPr>
            <w:fldChar w:fldCharType="separate"/>
          </w:r>
          <w:r>
            <w:rPr>
              <w:highlight w:val="none"/>
            </w:rPr>
            <w:t>2</w:t>
          </w:r>
          <w:r>
            <w:rPr>
              <w:highlight w:val="none"/>
            </w:rPr>
            <w:fldChar w:fldCharType="end"/>
          </w:r>
          <w:r>
            <w:rPr>
              <w:highlight w:val="none"/>
            </w:rPr>
            <w:fldChar w:fldCharType="end"/>
          </w:r>
        </w:p>
        <w:p w14:paraId="430DF9D4">
          <w:pPr>
            <w:pStyle w:val="9"/>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"_Toc491963083" </w:instrText>
          </w:r>
          <w:r>
            <w:rPr>
              <w:highlight w:val="none"/>
            </w:rPr>
            <w:fldChar w:fldCharType="separate"/>
          </w:r>
          <w:r>
            <w:rPr>
              <w:rStyle w:val="15"/>
              <w:rFonts w:ascii="宋体" w:hAnsi="宋体"/>
              <w:b/>
              <w:highlight w:val="none"/>
            </w:rPr>
            <w:t>4</w:t>
          </w:r>
          <w:r>
            <w:rPr>
              <w:rStyle w:val="15"/>
              <w:rFonts w:hint="eastAsia" w:ascii="宋体" w:hAnsi="宋体"/>
              <w:b/>
              <w:highlight w:val="none"/>
            </w:rPr>
            <w:t>、财务报告</w:t>
          </w:r>
          <w:r>
            <w:rPr>
              <w:highlight w:val="none"/>
            </w:rPr>
            <w:tab/>
          </w:r>
          <w:r>
            <w:rPr>
              <w:highlight w:val="none"/>
            </w:rPr>
            <w:fldChar w:fldCharType="begin"/>
          </w:r>
          <w:r>
            <w:rPr>
              <w:highlight w:val="none"/>
            </w:rPr>
            <w:instrText xml:space="preserve"> PAGEREF _Toc491963083 \h </w:instrText>
          </w:r>
          <w:r>
            <w:rPr>
              <w:highlight w:val="none"/>
            </w:rPr>
            <w:fldChar w:fldCharType="separate"/>
          </w:r>
          <w:r>
            <w:rPr>
              <w:highlight w:val="none"/>
            </w:rPr>
            <w:t>3</w:t>
          </w:r>
          <w:r>
            <w:rPr>
              <w:highlight w:val="none"/>
            </w:rPr>
            <w:fldChar w:fldCharType="end"/>
          </w:r>
          <w:r>
            <w:rPr>
              <w:highlight w:val="none"/>
            </w:rPr>
            <w:fldChar w:fldCharType="end"/>
          </w:r>
        </w:p>
        <w:p w14:paraId="15FF2ABF">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"_Toc491963084" </w:instrText>
          </w:r>
          <w:r>
            <w:rPr>
              <w:highlight w:val="none"/>
            </w:rPr>
            <w:fldChar w:fldCharType="separate"/>
          </w:r>
          <w:r>
            <w:rPr>
              <w:rStyle w:val="15"/>
              <w:rFonts w:ascii="宋体" w:hAnsi="宋体"/>
              <w:kern w:val="0"/>
              <w:highlight w:val="none"/>
            </w:rPr>
            <w:t xml:space="preserve">4.1 </w:t>
          </w:r>
          <w:r>
            <w:rPr>
              <w:rStyle w:val="15"/>
              <w:rFonts w:hint="eastAsia" w:ascii="宋体" w:hAnsi="宋体"/>
              <w:kern w:val="0"/>
              <w:highlight w:val="none"/>
            </w:rPr>
            <w:t>资产负债表</w:t>
          </w:r>
          <w:r>
            <w:rPr>
              <w:highlight w:val="none"/>
            </w:rPr>
            <w:tab/>
          </w:r>
          <w:r>
            <w:rPr>
              <w:highlight w:val="none"/>
            </w:rPr>
            <w:fldChar w:fldCharType="begin"/>
          </w:r>
          <w:r>
            <w:rPr>
              <w:highlight w:val="none"/>
            </w:rPr>
            <w:instrText xml:space="preserve"> PAGEREF _Toc491963084 \h </w:instrText>
          </w:r>
          <w:r>
            <w:rPr>
              <w:highlight w:val="none"/>
            </w:rPr>
            <w:fldChar w:fldCharType="separate"/>
          </w:r>
          <w:r>
            <w:rPr>
              <w:highlight w:val="none"/>
            </w:rPr>
            <w:t>3</w:t>
          </w:r>
          <w:r>
            <w:rPr>
              <w:highlight w:val="none"/>
            </w:rPr>
            <w:fldChar w:fldCharType="end"/>
          </w:r>
          <w:r>
            <w:rPr>
              <w:highlight w:val="none"/>
            </w:rPr>
            <w:fldChar w:fldCharType="end"/>
          </w:r>
        </w:p>
        <w:p w14:paraId="0FFA42B9">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"_Toc491963085" </w:instrText>
          </w:r>
          <w:r>
            <w:rPr>
              <w:highlight w:val="none"/>
            </w:rPr>
            <w:fldChar w:fldCharType="separate"/>
          </w:r>
          <w:r>
            <w:rPr>
              <w:rStyle w:val="15"/>
              <w:rFonts w:ascii="宋体" w:hAnsi="宋体"/>
              <w:kern w:val="0"/>
              <w:highlight w:val="none"/>
            </w:rPr>
            <w:t xml:space="preserve">4.2 </w:t>
          </w:r>
          <w:r>
            <w:rPr>
              <w:rStyle w:val="15"/>
              <w:rFonts w:hint="eastAsia" w:ascii="宋体" w:hAnsi="宋体"/>
              <w:kern w:val="0"/>
              <w:highlight w:val="none"/>
            </w:rPr>
            <w:t>清算损益表</w:t>
          </w:r>
          <w:r>
            <w:rPr>
              <w:highlight w:val="none"/>
            </w:rPr>
            <w:tab/>
          </w:r>
          <w:r>
            <w:rPr>
              <w:highlight w:val="none"/>
            </w:rPr>
            <w:fldChar w:fldCharType="begin"/>
          </w:r>
          <w:r>
            <w:rPr>
              <w:highlight w:val="none"/>
            </w:rPr>
            <w:instrText xml:space="preserve"> PAGEREF _Toc491963085 \h </w:instrText>
          </w:r>
          <w:r>
            <w:rPr>
              <w:highlight w:val="none"/>
            </w:rPr>
            <w:fldChar w:fldCharType="separate"/>
          </w:r>
          <w:r>
            <w:rPr>
              <w:highlight w:val="none"/>
            </w:rPr>
            <w:t>4</w:t>
          </w:r>
          <w:r>
            <w:rPr>
              <w:highlight w:val="none"/>
            </w:rPr>
            <w:fldChar w:fldCharType="end"/>
          </w:r>
          <w:r>
            <w:rPr>
              <w:highlight w:val="none"/>
            </w:rPr>
            <w:fldChar w:fldCharType="end"/>
          </w:r>
        </w:p>
        <w:p w14:paraId="614A4023">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"_Toc491963086" </w:instrText>
          </w:r>
          <w:r>
            <w:rPr>
              <w:highlight w:val="none"/>
            </w:rPr>
            <w:fldChar w:fldCharType="separate"/>
          </w:r>
          <w:r>
            <w:rPr>
              <w:rStyle w:val="15"/>
              <w:rFonts w:ascii="宋体" w:hAnsi="宋体"/>
              <w:kern w:val="0"/>
              <w:highlight w:val="none"/>
            </w:rPr>
            <w:t xml:space="preserve">4.3 </w:t>
          </w:r>
          <w:r>
            <w:rPr>
              <w:rStyle w:val="15"/>
              <w:rFonts w:hint="eastAsia" w:ascii="宋体" w:hAnsi="宋体"/>
              <w:kern w:val="0"/>
              <w:highlight w:val="none"/>
            </w:rPr>
            <w:t>报表附注</w:t>
          </w:r>
          <w:r>
            <w:rPr>
              <w:highlight w:val="none"/>
            </w:rPr>
            <w:tab/>
          </w:r>
          <w:r>
            <w:rPr>
              <w:highlight w:val="none"/>
            </w:rPr>
            <w:fldChar w:fldCharType="begin"/>
          </w:r>
          <w:r>
            <w:rPr>
              <w:highlight w:val="none"/>
            </w:rPr>
            <w:instrText xml:space="preserve"> PAGEREF _Toc491963086 \h </w:instrText>
          </w:r>
          <w:r>
            <w:rPr>
              <w:highlight w:val="none"/>
            </w:rPr>
            <w:fldChar w:fldCharType="separate"/>
          </w:r>
          <w:r>
            <w:rPr>
              <w:highlight w:val="none"/>
            </w:rPr>
            <w:t>4</w:t>
          </w:r>
          <w:r>
            <w:rPr>
              <w:highlight w:val="none"/>
            </w:rPr>
            <w:fldChar w:fldCharType="end"/>
          </w:r>
          <w:r>
            <w:rPr>
              <w:highlight w:val="none"/>
            </w:rPr>
            <w:fldChar w:fldCharType="end"/>
          </w:r>
        </w:p>
        <w:p w14:paraId="5F86BD3A">
          <w:pPr>
            <w:pStyle w:val="9"/>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"_Toc491963087" </w:instrText>
          </w:r>
          <w:r>
            <w:rPr>
              <w:highlight w:val="none"/>
            </w:rPr>
            <w:fldChar w:fldCharType="separate"/>
          </w:r>
          <w:r>
            <w:rPr>
              <w:rStyle w:val="15"/>
              <w:rFonts w:ascii="宋体" w:hAnsi="宋体"/>
              <w:b/>
              <w:highlight w:val="none"/>
            </w:rPr>
            <w:t>5</w:t>
          </w:r>
          <w:r>
            <w:rPr>
              <w:rStyle w:val="15"/>
              <w:rFonts w:hint="eastAsia" w:ascii="宋体" w:hAnsi="宋体"/>
              <w:b/>
              <w:highlight w:val="none"/>
            </w:rPr>
            <w:t>、清算情况</w:t>
          </w:r>
          <w:r>
            <w:rPr>
              <w:highlight w:val="none"/>
            </w:rPr>
            <w:tab/>
          </w:r>
          <w:r>
            <w:rPr>
              <w:highlight w:val="none"/>
            </w:rPr>
            <w:fldChar w:fldCharType="begin"/>
          </w:r>
          <w:r>
            <w:rPr>
              <w:highlight w:val="none"/>
            </w:rPr>
            <w:instrText xml:space="preserve"> PAGEREF _Toc491963087 \h </w:instrText>
          </w:r>
          <w:r>
            <w:rPr>
              <w:highlight w:val="none"/>
            </w:rPr>
            <w:fldChar w:fldCharType="separate"/>
          </w:r>
          <w:r>
            <w:rPr>
              <w:highlight w:val="none"/>
            </w:rPr>
            <w:t>7</w:t>
          </w:r>
          <w:r>
            <w:rPr>
              <w:highlight w:val="none"/>
            </w:rPr>
            <w:fldChar w:fldCharType="end"/>
          </w:r>
          <w:r>
            <w:rPr>
              <w:highlight w:val="none"/>
            </w:rPr>
            <w:fldChar w:fldCharType="end"/>
          </w:r>
        </w:p>
        <w:p w14:paraId="0FE50868">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"_Toc491963088" </w:instrText>
          </w:r>
          <w:r>
            <w:rPr>
              <w:highlight w:val="none"/>
            </w:rPr>
            <w:fldChar w:fldCharType="separate"/>
          </w:r>
          <w:r>
            <w:rPr>
              <w:rStyle w:val="15"/>
              <w:rFonts w:ascii="宋体" w:hAnsi="宋体"/>
              <w:kern w:val="0"/>
              <w:highlight w:val="none"/>
            </w:rPr>
            <w:t xml:space="preserve">5.1 </w:t>
          </w:r>
          <w:r>
            <w:rPr>
              <w:rStyle w:val="15"/>
              <w:rFonts w:hint="eastAsia" w:ascii="宋体" w:hAnsi="宋体"/>
              <w:kern w:val="0"/>
              <w:highlight w:val="none"/>
            </w:rPr>
            <w:t>资产负债清算情况</w:t>
          </w:r>
          <w:r>
            <w:rPr>
              <w:highlight w:val="none"/>
            </w:rPr>
            <w:tab/>
          </w:r>
          <w:r>
            <w:rPr>
              <w:highlight w:val="none"/>
            </w:rPr>
            <w:fldChar w:fldCharType="begin"/>
          </w:r>
          <w:r>
            <w:rPr>
              <w:highlight w:val="none"/>
            </w:rPr>
            <w:instrText xml:space="preserve"> PAGEREF _Toc491963088 \h </w:instrText>
          </w:r>
          <w:r>
            <w:rPr>
              <w:highlight w:val="none"/>
            </w:rPr>
            <w:fldChar w:fldCharType="separate"/>
          </w:r>
          <w:r>
            <w:rPr>
              <w:highlight w:val="none"/>
            </w:rPr>
            <w:t>8</w:t>
          </w:r>
          <w:r>
            <w:rPr>
              <w:highlight w:val="none"/>
            </w:rPr>
            <w:fldChar w:fldCharType="end"/>
          </w:r>
          <w:r>
            <w:rPr>
              <w:highlight w:val="none"/>
            </w:rPr>
            <w:fldChar w:fldCharType="end"/>
          </w:r>
        </w:p>
        <w:p w14:paraId="4C9C5A0D">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"_Toc491963089" </w:instrText>
          </w:r>
          <w:r>
            <w:rPr>
              <w:highlight w:val="none"/>
            </w:rPr>
            <w:fldChar w:fldCharType="separate"/>
          </w:r>
          <w:r>
            <w:rPr>
              <w:rStyle w:val="15"/>
              <w:rFonts w:ascii="宋体" w:hAnsi="宋体"/>
              <w:kern w:val="0"/>
              <w:highlight w:val="none"/>
            </w:rPr>
            <w:t xml:space="preserve">5.2 </w:t>
          </w:r>
          <w:r>
            <w:rPr>
              <w:rStyle w:val="15"/>
              <w:rFonts w:hint="eastAsia" w:ascii="宋体" w:hAnsi="宋体"/>
              <w:kern w:val="0"/>
              <w:highlight w:val="none"/>
            </w:rPr>
            <w:t>截至本次清算期结束日的剩余财产情况及剩余财产分配安排</w:t>
          </w:r>
          <w:r>
            <w:rPr>
              <w:highlight w:val="none"/>
            </w:rPr>
            <w:tab/>
          </w:r>
          <w:r>
            <w:rPr>
              <w:highlight w:val="none"/>
            </w:rPr>
            <w:fldChar w:fldCharType="begin"/>
          </w:r>
          <w:r>
            <w:rPr>
              <w:highlight w:val="none"/>
            </w:rPr>
            <w:instrText xml:space="preserve"> PAGEREF _Toc491963089 \h </w:instrText>
          </w:r>
          <w:r>
            <w:rPr>
              <w:highlight w:val="none"/>
            </w:rPr>
            <w:fldChar w:fldCharType="separate"/>
          </w:r>
          <w:r>
            <w:rPr>
              <w:highlight w:val="none"/>
            </w:rPr>
            <w:t>9</w:t>
          </w:r>
          <w:r>
            <w:rPr>
              <w:highlight w:val="none"/>
            </w:rPr>
            <w:fldChar w:fldCharType="end"/>
          </w:r>
          <w:r>
            <w:rPr>
              <w:highlight w:val="none"/>
            </w:rPr>
            <w:fldChar w:fldCharType="end"/>
          </w:r>
        </w:p>
        <w:p w14:paraId="059C4B1B">
          <w:pPr>
            <w:pStyle w:val="9"/>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"_Toc491963090" </w:instrText>
          </w:r>
          <w:r>
            <w:rPr>
              <w:highlight w:val="none"/>
            </w:rPr>
            <w:fldChar w:fldCharType="separate"/>
          </w:r>
          <w:r>
            <w:rPr>
              <w:rStyle w:val="15"/>
              <w:rFonts w:ascii="宋体" w:hAnsi="宋体"/>
              <w:b/>
              <w:highlight w:val="none"/>
            </w:rPr>
            <w:t>6</w:t>
          </w:r>
          <w:r>
            <w:rPr>
              <w:rStyle w:val="15"/>
              <w:rFonts w:hint="eastAsia" w:ascii="宋体" w:hAnsi="宋体"/>
              <w:b/>
              <w:highlight w:val="none"/>
            </w:rPr>
            <w:t>、备查文件目录</w:t>
          </w:r>
          <w:r>
            <w:rPr>
              <w:highlight w:val="none"/>
            </w:rPr>
            <w:tab/>
          </w:r>
          <w:r>
            <w:rPr>
              <w:highlight w:val="none"/>
            </w:rPr>
            <w:fldChar w:fldCharType="begin"/>
          </w:r>
          <w:r>
            <w:rPr>
              <w:highlight w:val="none"/>
            </w:rPr>
            <w:instrText xml:space="preserve"> PAGEREF _Toc491963090 \h </w:instrText>
          </w:r>
          <w:r>
            <w:rPr>
              <w:highlight w:val="none"/>
            </w:rPr>
            <w:fldChar w:fldCharType="separate"/>
          </w:r>
          <w:r>
            <w:rPr>
              <w:highlight w:val="none"/>
            </w:rPr>
            <w:t>9</w:t>
          </w:r>
          <w:r>
            <w:rPr>
              <w:highlight w:val="none"/>
            </w:rPr>
            <w:fldChar w:fldCharType="end"/>
          </w:r>
          <w:r>
            <w:rPr>
              <w:highlight w:val="none"/>
            </w:rPr>
            <w:fldChar w:fldCharType="end"/>
          </w:r>
        </w:p>
        <w:p w14:paraId="0371B479">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"_Toc491963091" </w:instrText>
          </w:r>
          <w:r>
            <w:rPr>
              <w:highlight w:val="none"/>
            </w:rPr>
            <w:fldChar w:fldCharType="separate"/>
          </w:r>
          <w:r>
            <w:rPr>
              <w:rStyle w:val="15"/>
              <w:rFonts w:ascii="宋体" w:hAnsi="宋体"/>
              <w:kern w:val="0"/>
              <w:highlight w:val="none"/>
            </w:rPr>
            <w:t xml:space="preserve">6.1 </w:t>
          </w:r>
          <w:r>
            <w:rPr>
              <w:rStyle w:val="15"/>
              <w:rFonts w:hint="eastAsia" w:ascii="宋体" w:hAnsi="宋体"/>
              <w:kern w:val="0"/>
              <w:highlight w:val="none"/>
            </w:rPr>
            <w:t>备查文件目录</w:t>
          </w:r>
          <w:r>
            <w:rPr>
              <w:highlight w:val="none"/>
            </w:rPr>
            <w:tab/>
          </w:r>
          <w:r>
            <w:rPr>
              <w:highlight w:val="none"/>
            </w:rPr>
            <w:fldChar w:fldCharType="begin"/>
          </w:r>
          <w:r>
            <w:rPr>
              <w:highlight w:val="none"/>
            </w:rPr>
            <w:instrText xml:space="preserve"> PAGEREF _Toc491963091 \h </w:instrText>
          </w:r>
          <w:r>
            <w:rPr>
              <w:highlight w:val="none"/>
            </w:rPr>
            <w:fldChar w:fldCharType="separate"/>
          </w:r>
          <w:r>
            <w:rPr>
              <w:highlight w:val="none"/>
            </w:rPr>
            <w:t>9</w:t>
          </w:r>
          <w:r>
            <w:rPr>
              <w:highlight w:val="none"/>
            </w:rPr>
            <w:fldChar w:fldCharType="end"/>
          </w:r>
          <w:r>
            <w:rPr>
              <w:highlight w:val="none"/>
            </w:rPr>
            <w:fldChar w:fldCharType="end"/>
          </w:r>
        </w:p>
        <w:p w14:paraId="17D125A7">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"_Toc491963092" </w:instrText>
          </w:r>
          <w:r>
            <w:rPr>
              <w:highlight w:val="none"/>
            </w:rPr>
            <w:fldChar w:fldCharType="separate"/>
          </w:r>
          <w:r>
            <w:rPr>
              <w:rStyle w:val="15"/>
              <w:rFonts w:ascii="宋体" w:hAnsi="宋体"/>
              <w:kern w:val="0"/>
              <w:highlight w:val="none"/>
            </w:rPr>
            <w:t xml:space="preserve">6.2 </w:t>
          </w:r>
          <w:r>
            <w:rPr>
              <w:rStyle w:val="15"/>
              <w:rFonts w:hint="eastAsia" w:ascii="宋体" w:hAnsi="宋体"/>
              <w:kern w:val="0"/>
              <w:highlight w:val="none"/>
            </w:rPr>
            <w:t>存放地点</w:t>
          </w:r>
          <w:r>
            <w:rPr>
              <w:highlight w:val="none"/>
            </w:rPr>
            <w:tab/>
          </w:r>
          <w:r>
            <w:rPr>
              <w:highlight w:val="none"/>
            </w:rPr>
            <w:fldChar w:fldCharType="begin"/>
          </w:r>
          <w:r>
            <w:rPr>
              <w:highlight w:val="none"/>
            </w:rPr>
            <w:instrText xml:space="preserve"> PAGEREF _Toc491963092 \h </w:instrText>
          </w:r>
          <w:r>
            <w:rPr>
              <w:highlight w:val="none"/>
            </w:rPr>
            <w:fldChar w:fldCharType="separate"/>
          </w:r>
          <w:r>
            <w:rPr>
              <w:highlight w:val="none"/>
            </w:rPr>
            <w:t>10</w:t>
          </w:r>
          <w:r>
            <w:rPr>
              <w:highlight w:val="none"/>
            </w:rPr>
            <w:fldChar w:fldCharType="end"/>
          </w:r>
          <w:r>
            <w:rPr>
              <w:highlight w:val="none"/>
            </w:rPr>
            <w:fldChar w:fldCharType="end"/>
          </w:r>
        </w:p>
        <w:p w14:paraId="445517B4">
          <w:pPr>
            <w:pStyle w:val="10"/>
            <w:tabs>
              <w:tab w:val="right" w:leader="dot" w:pos="8296"/>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"_Toc491963093" </w:instrText>
          </w:r>
          <w:r>
            <w:rPr>
              <w:highlight w:val="none"/>
            </w:rPr>
            <w:fldChar w:fldCharType="separate"/>
          </w:r>
          <w:r>
            <w:rPr>
              <w:rStyle w:val="15"/>
              <w:rFonts w:ascii="宋体" w:hAnsi="宋体"/>
              <w:kern w:val="0"/>
              <w:highlight w:val="none"/>
            </w:rPr>
            <w:t xml:space="preserve">6.3 </w:t>
          </w:r>
          <w:r>
            <w:rPr>
              <w:rStyle w:val="15"/>
              <w:rFonts w:hint="eastAsia" w:ascii="宋体" w:hAnsi="宋体"/>
              <w:kern w:val="0"/>
              <w:highlight w:val="none"/>
            </w:rPr>
            <w:t>查阅方式</w:t>
          </w:r>
          <w:r>
            <w:rPr>
              <w:highlight w:val="none"/>
            </w:rPr>
            <w:tab/>
          </w:r>
          <w:r>
            <w:rPr>
              <w:highlight w:val="none"/>
            </w:rPr>
            <w:fldChar w:fldCharType="begin"/>
          </w:r>
          <w:r>
            <w:rPr>
              <w:highlight w:val="none"/>
            </w:rPr>
            <w:instrText xml:space="preserve"> PAGEREF _Toc491963093 \h </w:instrText>
          </w:r>
          <w:r>
            <w:rPr>
              <w:highlight w:val="none"/>
            </w:rPr>
            <w:fldChar w:fldCharType="separate"/>
          </w:r>
          <w:r>
            <w:rPr>
              <w:highlight w:val="none"/>
            </w:rPr>
            <w:t>10</w:t>
          </w:r>
          <w:r>
            <w:rPr>
              <w:highlight w:val="none"/>
            </w:rPr>
            <w:fldChar w:fldCharType="end"/>
          </w:r>
          <w:r>
            <w:rPr>
              <w:highlight w:val="none"/>
            </w:rPr>
            <w:fldChar w:fldCharType="end"/>
          </w:r>
        </w:p>
        <w:p w14:paraId="7B6144F2">
          <w:pPr>
            <w:rPr>
              <w:highlight w:val="yellow"/>
            </w:rPr>
          </w:pPr>
          <w:r>
            <w:rPr>
              <w:b/>
              <w:bCs/>
              <w:highlight w:val="none"/>
              <w:lang w:val="zh-CN"/>
            </w:rPr>
            <w:fldChar w:fldCharType="end"/>
          </w:r>
        </w:p>
      </w:sdtContent>
    </w:sdt>
    <w:p w14:paraId="58E813B4">
      <w:pPr>
        <w:widowControl/>
        <w:jc w:val="left"/>
        <w:rPr>
          <w:rStyle w:val="20"/>
          <w:rFonts w:ascii="宋体" w:hAnsi="宋体"/>
          <w:highlight w:val="yellow"/>
        </w:rPr>
      </w:pPr>
      <w:bookmarkStart w:id="4" w:name="_Toc491963077"/>
      <w:r>
        <w:rPr>
          <w:rStyle w:val="20"/>
          <w:rFonts w:ascii="宋体" w:hAnsi="宋体"/>
          <w:highlight w:val="yellow"/>
        </w:rPr>
        <w:br w:type="page"/>
      </w:r>
    </w:p>
    <w:p w14:paraId="419BB87B">
      <w:pPr>
        <w:widowControl/>
        <w:jc w:val="center"/>
        <w:rPr>
          <w:rStyle w:val="20"/>
          <w:rFonts w:ascii="宋体" w:hAnsi="宋体"/>
          <w:highlight w:val="yellow"/>
        </w:rPr>
        <w:sectPr>
          <w:headerReference r:id="rId5" w:type="default"/>
          <w:pgSz w:w="11906" w:h="16838"/>
          <w:pgMar w:top="1440" w:right="1800" w:bottom="1440" w:left="1800" w:header="851" w:footer="992" w:gutter="0"/>
          <w:pgNumType w:start="1"/>
          <w:cols w:space="425" w:num="1"/>
          <w:docGrid w:type="lines" w:linePitch="312" w:charSpace="0"/>
        </w:sectPr>
      </w:pPr>
    </w:p>
    <w:p w14:paraId="109AEFB3">
      <w:pPr>
        <w:widowControl/>
        <w:jc w:val="center"/>
        <w:rPr>
          <w:rStyle w:val="20"/>
          <w:rFonts w:ascii="宋体" w:hAnsi="宋体"/>
          <w:highlight w:val="none"/>
        </w:rPr>
      </w:pPr>
      <w:r>
        <w:rPr>
          <w:rStyle w:val="20"/>
          <w:rFonts w:hint="eastAsia" w:ascii="宋体" w:hAnsi="宋体"/>
          <w:highlight w:val="none"/>
        </w:rPr>
        <w:t>1、重要提示</w:t>
      </w:r>
      <w:bookmarkEnd w:id="3"/>
      <w:bookmarkEnd w:id="4"/>
    </w:p>
    <w:p w14:paraId="2AB40DC2">
      <w:pPr>
        <w:pStyle w:val="3"/>
        <w:spacing w:before="0" w:after="0"/>
        <w:rPr>
          <w:rFonts w:ascii="宋体" w:hAnsi="宋体" w:eastAsia="宋体"/>
          <w:kern w:val="0"/>
          <w:sz w:val="21"/>
          <w:szCs w:val="21"/>
          <w:highlight w:val="none"/>
        </w:rPr>
      </w:pPr>
      <w:bookmarkStart w:id="5" w:name="_Toc491963078"/>
      <w:bookmarkStart w:id="6" w:name="_Toc484607300"/>
      <w:bookmarkStart w:id="7" w:name="_Toc483396827"/>
      <w:bookmarkStart w:id="8" w:name="_Toc484769795"/>
      <w:r>
        <w:rPr>
          <w:rFonts w:hint="eastAsia" w:ascii="宋体" w:hAnsi="宋体" w:eastAsia="宋体"/>
          <w:kern w:val="0"/>
          <w:sz w:val="21"/>
          <w:szCs w:val="21"/>
          <w:highlight w:val="none"/>
        </w:rPr>
        <w:t>1</w:t>
      </w:r>
      <w:r>
        <w:rPr>
          <w:rFonts w:ascii="宋体" w:hAnsi="宋体" w:eastAsia="宋体"/>
          <w:kern w:val="0"/>
          <w:sz w:val="21"/>
          <w:szCs w:val="21"/>
          <w:highlight w:val="none"/>
        </w:rPr>
        <w:t>.1</w:t>
      </w:r>
      <w:r>
        <w:rPr>
          <w:rFonts w:hint="eastAsia" w:ascii="宋体" w:hAnsi="宋体" w:eastAsia="宋体"/>
          <w:kern w:val="0"/>
          <w:sz w:val="21"/>
          <w:szCs w:val="21"/>
          <w:highlight w:val="none"/>
        </w:rPr>
        <w:t xml:space="preserve"> 重要提示</w:t>
      </w:r>
      <w:bookmarkEnd w:id="5"/>
      <w:bookmarkEnd w:id="6"/>
      <w:bookmarkEnd w:id="7"/>
      <w:bookmarkEnd w:id="8"/>
    </w:p>
    <w:p w14:paraId="14983E2E">
      <w:pPr>
        <w:spacing w:line="360" w:lineRule="auto"/>
        <w:ind w:firstLine="420" w:firstLineChars="200"/>
        <w:rPr>
          <w:rFonts w:hint="eastAsia" w:eastAsiaTheme="minorEastAsia"/>
          <w:highlight w:val="none"/>
        </w:rPr>
      </w:pPr>
      <w:r>
        <w:rPr>
          <w:rFonts w:hint="eastAsia" w:eastAsiaTheme="minorEastAsia"/>
          <w:highlight w:val="none"/>
        </w:rPr>
        <w:t>博时荣升稳健添利18个月定期开放混合型证券投资基金(以下简称“本基金”)经中国证券监督管理委员会(以下简称“中国证监会”)证监许可[2020]184号《关于准予博时荣升稳健添利18个月定期开放混合型证券投资基金注册的批复》核准，由博时基金管理有限公司依照《中华人民共和国证券投资基金法》和《博时荣升稳健添利18个月定期开放混合型证券投资基金基金合同》负责公开募集。本基金为契约型、定期开放式，存续期限不定，首次设立募集不包括认购资金利息共募集人民币922,952,432.47元，业经普华永道中天会计师事务所(特殊普通合伙)普华永道中天验字(2020)第0345号验资报告予以验证。经向中国证监会备案，《博时荣升稳健添利18个月定期开放混合型证券投资基金基金合同》于2020年4月29日正式生效，基金合同生效日的基金份额总额为923,579,757.26份基金份额，其中认购资金利息折合627,324.79份基金份额。本基金的基金管理人为博时基金管理有限公司，基金托管人为中国邮政储蓄银行股份有限公司。</w:t>
      </w:r>
    </w:p>
    <w:p w14:paraId="2A5B4579">
      <w:pPr>
        <w:spacing w:line="360" w:lineRule="auto"/>
        <w:ind w:firstLine="420" w:firstLineChars="200"/>
        <w:rPr>
          <w:rFonts w:hint="eastAsia" w:eastAsiaTheme="minorEastAsia"/>
          <w:highlight w:val="yellow"/>
        </w:rPr>
      </w:pPr>
      <w:r>
        <w:rPr>
          <w:rFonts w:hint="eastAsia" w:eastAsiaTheme="minorEastAsia"/>
          <w:highlight w:val="none"/>
        </w:rPr>
        <w:t>根据《博时荣升稳健添利18个月定期开放混合型证券投资基金基金合同》(以下简称“《基金合同》”)、本基金基金份额持有人大会于202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22</w:t>
      </w:r>
      <w:r>
        <w:rPr>
          <w:rFonts w:hint="eastAsia" w:eastAsiaTheme="minorEastAsia"/>
          <w:highlight w:val="none"/>
        </w:rPr>
        <w:t>日表决通过的《关于终止博时荣升稳健添利18个月定期开放混合型证券投资基金</w:t>
      </w:r>
      <w:r>
        <w:rPr>
          <w:rFonts w:hint="eastAsia" w:eastAsiaTheme="minorEastAsia"/>
        </w:rPr>
        <w:t>基金</w:t>
      </w:r>
      <w:r>
        <w:rPr>
          <w:rFonts w:hint="eastAsia" w:eastAsiaTheme="minorEastAsia"/>
          <w:highlight w:val="none"/>
          <w:lang w:val="en-US" w:eastAsia="zh-CN"/>
        </w:rPr>
        <w:t>合同有关事项的</w:t>
      </w:r>
      <w:r>
        <w:rPr>
          <w:rFonts w:hint="eastAsia" w:eastAsiaTheme="minorEastAsia"/>
          <w:highlight w:val="none"/>
        </w:rPr>
        <w:t>议案》以及博时基金管理有限公司于202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23</w:t>
      </w:r>
      <w:r>
        <w:rPr>
          <w:rFonts w:hint="eastAsia" w:eastAsiaTheme="minorEastAsia"/>
          <w:highlight w:val="none"/>
        </w:rPr>
        <w:t>日发布的《博时基金管理有限公司关于博时荣升稳健添利18个月定期开放混合型证券投资基金基金份额持有人大会表决结果暨决议生效的公告》，本基金的最后运作日定为202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w:t>
      </w:r>
      <w:r>
        <w:rPr>
          <w:rFonts w:hint="eastAsia" w:eastAsiaTheme="minorEastAsia"/>
          <w:highlight w:val="none"/>
        </w:rPr>
        <w:t>7日，并于202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w:t>
      </w:r>
      <w:r>
        <w:rPr>
          <w:rFonts w:hint="eastAsia" w:eastAsiaTheme="minorEastAsia"/>
          <w:highlight w:val="none"/>
        </w:rPr>
        <w:t>8日进入财产清算期。</w:t>
      </w:r>
    </w:p>
    <w:p w14:paraId="496D6DB6">
      <w:pPr>
        <w:spacing w:line="360" w:lineRule="auto"/>
        <w:ind w:firstLine="420" w:firstLineChars="200"/>
        <w:rPr>
          <w:rFonts w:ascii="宋体" w:hAnsi="宋体" w:cs="Arial"/>
          <w:color w:val="000000"/>
          <w:szCs w:val="21"/>
          <w:highlight w:val="none"/>
        </w:rPr>
      </w:pPr>
      <w:r>
        <w:rPr>
          <w:rFonts w:hint="eastAsia" w:eastAsiaTheme="minorEastAsia"/>
          <w:highlight w:val="none"/>
        </w:rPr>
        <w:t xml:space="preserve"> 本基金最后运作日为202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27</w:t>
      </w:r>
      <w:r>
        <w:rPr>
          <w:rFonts w:hint="eastAsia" w:eastAsiaTheme="minorEastAsia"/>
          <w:highlight w:val="none"/>
        </w:rPr>
        <w:t>日，自202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月2</w:t>
      </w:r>
      <w:r>
        <w:rPr>
          <w:rFonts w:hint="eastAsia" w:eastAsiaTheme="minorEastAsia"/>
          <w:highlight w:val="none"/>
          <w:lang w:val="en-US" w:eastAsia="zh-CN"/>
        </w:rPr>
        <w:t>8</w:t>
      </w:r>
      <w:r>
        <w:rPr>
          <w:rFonts w:hint="eastAsia" w:eastAsiaTheme="minorEastAsia"/>
          <w:highlight w:val="none"/>
        </w:rPr>
        <w:t>日起进入清算程序，由本基金管理人博时基金管理有限公司、基金托管人</w:t>
      </w:r>
      <w:r>
        <w:rPr>
          <w:rFonts w:hint="eastAsia" w:eastAsiaTheme="minorEastAsia"/>
          <w:highlight w:val="none"/>
          <w:lang w:val="en-US" w:eastAsia="zh-CN"/>
        </w:rPr>
        <w:t>中国邮政储蓄银行股份有限公司</w:t>
      </w:r>
      <w:r>
        <w:rPr>
          <w:rFonts w:hint="eastAsia" w:eastAsiaTheme="minorEastAsia"/>
          <w:highlight w:val="none"/>
        </w:rPr>
        <w:t>、</w:t>
      </w:r>
      <w:r>
        <w:rPr>
          <w:rFonts w:hint="eastAsia" w:eastAsiaTheme="minorEastAsia"/>
          <w:highlight w:val="none"/>
          <w:lang w:val="en-US" w:eastAsia="zh-CN"/>
        </w:rPr>
        <w:t>容诚</w:t>
      </w:r>
      <w:r>
        <w:rPr>
          <w:rFonts w:hint="eastAsia" w:eastAsiaTheme="minorEastAsia"/>
          <w:highlight w:val="none"/>
        </w:rPr>
        <w:t>会计师事务所</w:t>
      </w:r>
      <w:r>
        <w:rPr>
          <w:rFonts w:hint="eastAsia" w:eastAsiaTheme="minorEastAsia"/>
        </w:rPr>
        <w:t>（特殊普通合伙）</w:t>
      </w:r>
      <w:r>
        <w:rPr>
          <w:rFonts w:hint="eastAsia" w:eastAsiaTheme="minorEastAsia"/>
          <w:highlight w:val="none"/>
        </w:rPr>
        <w:t>和上海</w:t>
      </w:r>
      <w:r>
        <w:rPr>
          <w:rFonts w:hint="eastAsia" w:ascii="宋体" w:hAnsi="宋体"/>
          <w:color w:val="000000"/>
          <w:szCs w:val="21"/>
          <w:highlight w:val="none"/>
          <w:lang w:val="en-US" w:eastAsia="zh-CN"/>
        </w:rPr>
        <w:t>源泰</w:t>
      </w:r>
      <w:r>
        <w:rPr>
          <w:rFonts w:hint="eastAsia" w:eastAsiaTheme="minorEastAsia"/>
          <w:highlight w:val="none"/>
        </w:rPr>
        <w:t>律师事务所组成基金财产清算小组履行基金财产清算程序，并由</w:t>
      </w:r>
      <w:r>
        <w:rPr>
          <w:rFonts w:hint="eastAsia" w:eastAsiaTheme="minorEastAsia"/>
          <w:highlight w:val="none"/>
          <w:lang w:val="en-US" w:eastAsia="zh-CN"/>
        </w:rPr>
        <w:t>容诚</w:t>
      </w:r>
      <w:r>
        <w:rPr>
          <w:rFonts w:hint="eastAsia" w:eastAsiaTheme="minorEastAsia"/>
          <w:highlight w:val="none"/>
        </w:rPr>
        <w:t>会计师事务所</w:t>
      </w:r>
      <w:r>
        <w:rPr>
          <w:rFonts w:hint="eastAsia" w:eastAsiaTheme="minorEastAsia"/>
        </w:rPr>
        <w:t>（特殊普通合伙）</w:t>
      </w:r>
      <w:r>
        <w:rPr>
          <w:rFonts w:hint="eastAsia" w:eastAsiaTheme="minorEastAsia"/>
          <w:highlight w:val="none"/>
        </w:rPr>
        <w:t>对本基金进行清算审计，上海</w:t>
      </w:r>
      <w:r>
        <w:rPr>
          <w:rFonts w:hint="eastAsia" w:ascii="宋体" w:hAnsi="宋体"/>
          <w:color w:val="000000"/>
          <w:szCs w:val="21"/>
          <w:highlight w:val="none"/>
          <w:lang w:val="en-US" w:eastAsia="zh-CN"/>
        </w:rPr>
        <w:t>源泰</w:t>
      </w:r>
      <w:r>
        <w:rPr>
          <w:rFonts w:hint="eastAsia" w:eastAsiaTheme="minorEastAsia"/>
          <w:highlight w:val="none"/>
        </w:rPr>
        <w:t>律师事务所对清算报告出具法律意见。</w:t>
      </w:r>
    </w:p>
    <w:p w14:paraId="30A8423D">
      <w:pPr>
        <w:pStyle w:val="2"/>
        <w:keepNext/>
        <w:keepLines/>
        <w:widowControl w:val="0"/>
        <w:spacing w:before="312" w:beforeLines="100" w:after="312" w:afterLines="100" w:line="360" w:lineRule="auto"/>
        <w:jc w:val="center"/>
        <w:rPr>
          <w:rStyle w:val="20"/>
          <w:rFonts w:ascii="宋体" w:hAnsi="宋体"/>
          <w:highlight w:val="none"/>
        </w:rPr>
      </w:pPr>
      <w:bookmarkStart w:id="9" w:name="_Toc491963079"/>
      <w:bookmarkStart w:id="10" w:name="_Toc484769796"/>
      <w:r>
        <w:rPr>
          <w:rStyle w:val="20"/>
          <w:rFonts w:ascii="宋体" w:hAnsi="宋体"/>
          <w:highlight w:val="none"/>
        </w:rPr>
        <w:t>2</w:t>
      </w:r>
      <w:r>
        <w:rPr>
          <w:rStyle w:val="20"/>
          <w:rFonts w:hint="eastAsia" w:ascii="宋体" w:hAnsi="宋体"/>
          <w:highlight w:val="none"/>
        </w:rPr>
        <w:t>、</w:t>
      </w:r>
      <w:r>
        <w:rPr>
          <w:rStyle w:val="20"/>
          <w:rFonts w:ascii="宋体" w:hAnsi="宋体"/>
          <w:highlight w:val="none"/>
        </w:rPr>
        <w:t>基金</w:t>
      </w:r>
      <w:r>
        <w:rPr>
          <w:rStyle w:val="20"/>
          <w:rFonts w:hint="eastAsia" w:ascii="宋体" w:hAnsi="宋体"/>
          <w:highlight w:val="none"/>
        </w:rPr>
        <w:t>概况</w:t>
      </w:r>
      <w:bookmarkEnd w:id="9"/>
      <w:bookmarkEnd w:id="10"/>
    </w:p>
    <w:p w14:paraId="4D3B8EBC">
      <w:pPr>
        <w:pStyle w:val="3"/>
        <w:spacing w:before="0" w:after="0"/>
        <w:rPr>
          <w:rFonts w:ascii="宋体" w:hAnsi="宋体" w:eastAsia="宋体"/>
          <w:kern w:val="0"/>
          <w:sz w:val="21"/>
          <w:szCs w:val="21"/>
          <w:highlight w:val="none"/>
        </w:rPr>
      </w:pPr>
      <w:bookmarkStart w:id="11" w:name="_Toc483396829"/>
      <w:bookmarkStart w:id="12" w:name="_Toc476577246"/>
      <w:bookmarkStart w:id="13" w:name="_Toc484607302"/>
      <w:bookmarkStart w:id="14" w:name="_Toc491963080"/>
      <w:bookmarkStart w:id="15" w:name="_Toc484769797"/>
      <w:bookmarkStart w:id="16" w:name="_Toc409100044"/>
      <w:bookmarkStart w:id="17" w:name="_Toc361324845"/>
      <w:bookmarkStart w:id="18" w:name="_Toc409100407"/>
      <w:r>
        <w:rPr>
          <w:rFonts w:ascii="宋体" w:hAnsi="宋体" w:eastAsia="宋体"/>
          <w:kern w:val="0"/>
          <w:sz w:val="21"/>
          <w:szCs w:val="21"/>
          <w:highlight w:val="none"/>
        </w:rPr>
        <w:t>2.1</w:t>
      </w:r>
      <w:r>
        <w:rPr>
          <w:rFonts w:hint="eastAsia" w:ascii="宋体" w:hAnsi="宋体" w:eastAsia="宋体"/>
          <w:kern w:val="0"/>
          <w:sz w:val="21"/>
          <w:szCs w:val="21"/>
          <w:highlight w:val="none"/>
        </w:rPr>
        <w:t xml:space="preserve"> </w:t>
      </w:r>
      <w:r>
        <w:rPr>
          <w:rFonts w:ascii="宋体" w:hAnsi="宋体" w:eastAsia="宋体"/>
          <w:kern w:val="0"/>
          <w:sz w:val="21"/>
          <w:szCs w:val="21"/>
          <w:highlight w:val="none"/>
        </w:rPr>
        <w:t>基金基本情况</w:t>
      </w:r>
      <w:bookmarkEnd w:id="11"/>
      <w:bookmarkEnd w:id="12"/>
      <w:bookmarkEnd w:id="13"/>
      <w:bookmarkEnd w:id="14"/>
      <w:bookmarkEnd w:id="15"/>
      <w:bookmarkEnd w:id="16"/>
      <w:bookmarkEnd w:id="17"/>
      <w:bookmarkEnd w:id="18"/>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70"/>
        <w:gridCol w:w="2576"/>
        <w:gridCol w:w="2576"/>
      </w:tblGrid>
      <w:tr w14:paraId="2F79F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7035441B">
            <w:pPr>
              <w:pStyle w:val="36"/>
              <w:rPr>
                <w:rFonts w:ascii="Times New Roman" w:hAnsi="Times New Roman" w:eastAsiaTheme="minorEastAsia"/>
                <w:highlight w:val="none"/>
              </w:rPr>
            </w:pPr>
            <w:r>
              <w:rPr>
                <w:rFonts w:ascii="Times New Roman" w:hAnsi="Times New Roman" w:eastAsiaTheme="minorEastAsia"/>
                <w:highlight w:val="none"/>
              </w:rPr>
              <w:t>基金名称</w:t>
            </w:r>
          </w:p>
        </w:tc>
        <w:tc>
          <w:tcPr>
            <w:tcW w:w="5152" w:type="dxa"/>
            <w:gridSpan w:val="2"/>
            <w:tcBorders>
              <w:top w:val="single" w:color="000000" w:sz="4" w:space="0"/>
              <w:left w:val="single" w:color="000000" w:sz="4" w:space="0"/>
              <w:bottom w:val="single" w:color="000000" w:sz="4" w:space="0"/>
              <w:right w:val="single" w:color="000000" w:sz="4" w:space="0"/>
            </w:tcBorders>
            <w:vAlign w:val="center"/>
          </w:tcPr>
          <w:p w14:paraId="0FF011EB">
            <w:pPr>
              <w:pStyle w:val="36"/>
              <w:rPr>
                <w:rFonts w:ascii="Times New Roman" w:hAnsi="Times New Roman" w:eastAsiaTheme="minorEastAsia"/>
                <w:highlight w:val="none"/>
              </w:rPr>
            </w:pPr>
            <w:r>
              <w:rPr>
                <w:rFonts w:hint="eastAsia" w:eastAsiaTheme="minorEastAsia"/>
                <w:highlight w:val="none"/>
              </w:rPr>
              <w:t>博时荣升稳健添利18个月定期开放混合型证券投资基金</w:t>
            </w:r>
          </w:p>
        </w:tc>
      </w:tr>
      <w:tr w14:paraId="0ABB4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61AD4AF3">
            <w:pPr>
              <w:pStyle w:val="36"/>
              <w:rPr>
                <w:rFonts w:ascii="Times New Roman" w:hAnsi="Times New Roman" w:eastAsiaTheme="minorEastAsia"/>
                <w:highlight w:val="none"/>
              </w:rPr>
            </w:pPr>
            <w:r>
              <w:rPr>
                <w:rFonts w:ascii="Times New Roman" w:hAnsi="Times New Roman" w:eastAsiaTheme="minorEastAsia"/>
                <w:highlight w:val="none"/>
              </w:rPr>
              <w:t>基金简称</w:t>
            </w:r>
          </w:p>
        </w:tc>
        <w:tc>
          <w:tcPr>
            <w:tcW w:w="5152" w:type="dxa"/>
            <w:gridSpan w:val="2"/>
            <w:tcBorders>
              <w:top w:val="single" w:color="000000" w:sz="4" w:space="0"/>
              <w:left w:val="single" w:color="000000" w:sz="4" w:space="0"/>
              <w:bottom w:val="single" w:color="000000" w:sz="4" w:space="0"/>
              <w:right w:val="single" w:color="000000" w:sz="4" w:space="0"/>
            </w:tcBorders>
            <w:vAlign w:val="center"/>
          </w:tcPr>
          <w:p w14:paraId="469B01AD">
            <w:pPr>
              <w:pStyle w:val="36"/>
              <w:rPr>
                <w:rFonts w:ascii="Times New Roman" w:hAnsi="Times New Roman" w:eastAsiaTheme="minorEastAsia"/>
                <w:highlight w:val="none"/>
              </w:rPr>
            </w:pPr>
            <w:r>
              <w:rPr>
                <w:rFonts w:hint="eastAsia" w:eastAsiaTheme="minorEastAsia"/>
                <w:highlight w:val="none"/>
              </w:rPr>
              <w:t>博时荣升稳健添利混合</w:t>
            </w:r>
          </w:p>
        </w:tc>
      </w:tr>
      <w:tr w14:paraId="320A7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6E0A5883">
            <w:pPr>
              <w:pStyle w:val="36"/>
              <w:rPr>
                <w:rFonts w:ascii="Times New Roman" w:hAnsi="Times New Roman" w:eastAsiaTheme="minorEastAsia"/>
                <w:highlight w:val="none"/>
              </w:rPr>
            </w:pPr>
            <w:r>
              <w:rPr>
                <w:rFonts w:ascii="Times New Roman" w:hAnsi="Times New Roman" w:eastAsiaTheme="minorEastAsia"/>
                <w:highlight w:val="none"/>
              </w:rPr>
              <w:t>基金主代码</w:t>
            </w:r>
          </w:p>
        </w:tc>
        <w:tc>
          <w:tcPr>
            <w:tcW w:w="5152" w:type="dxa"/>
            <w:gridSpan w:val="2"/>
            <w:tcBorders>
              <w:top w:val="single" w:color="000000" w:sz="4" w:space="0"/>
              <w:left w:val="single" w:color="000000" w:sz="4" w:space="0"/>
              <w:bottom w:val="single" w:color="000000" w:sz="4" w:space="0"/>
              <w:right w:val="single" w:color="000000" w:sz="4" w:space="0"/>
            </w:tcBorders>
            <w:vAlign w:val="center"/>
          </w:tcPr>
          <w:p w14:paraId="647DEEFB">
            <w:pPr>
              <w:pStyle w:val="36"/>
              <w:rPr>
                <w:rFonts w:hint="default" w:ascii="Times New Roman" w:hAnsi="Times New Roman" w:eastAsiaTheme="minorEastAsia"/>
                <w:highlight w:val="none"/>
                <w:lang w:val="en-US" w:eastAsia="zh-CN"/>
              </w:rPr>
            </w:pPr>
            <w:r>
              <w:rPr>
                <w:rFonts w:hint="eastAsia" w:eastAsiaTheme="minorEastAsia"/>
                <w:highlight w:val="none"/>
                <w:lang w:val="en-US" w:eastAsia="zh-CN"/>
              </w:rPr>
              <w:t>009144</w:t>
            </w:r>
          </w:p>
        </w:tc>
      </w:tr>
      <w:tr w14:paraId="46EED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0BDDAAD9">
            <w:pPr>
              <w:pStyle w:val="36"/>
              <w:rPr>
                <w:rFonts w:ascii="Times New Roman" w:hAnsi="Times New Roman" w:eastAsiaTheme="minorEastAsia"/>
                <w:highlight w:val="none"/>
              </w:rPr>
            </w:pPr>
            <w:r>
              <w:rPr>
                <w:rFonts w:ascii="Times New Roman" w:hAnsi="Times New Roman" w:eastAsiaTheme="minorEastAsia"/>
                <w:highlight w:val="none"/>
              </w:rPr>
              <w:t>基金运作方式</w:t>
            </w:r>
          </w:p>
        </w:tc>
        <w:tc>
          <w:tcPr>
            <w:tcW w:w="5152" w:type="dxa"/>
            <w:gridSpan w:val="2"/>
            <w:tcBorders>
              <w:top w:val="single" w:color="000000" w:sz="4" w:space="0"/>
              <w:left w:val="single" w:color="000000" w:sz="4" w:space="0"/>
              <w:bottom w:val="single" w:color="000000" w:sz="4" w:space="0"/>
              <w:right w:val="single" w:color="000000" w:sz="4" w:space="0"/>
            </w:tcBorders>
            <w:vAlign w:val="center"/>
          </w:tcPr>
          <w:p w14:paraId="0FDB81A2">
            <w:pPr>
              <w:pStyle w:val="36"/>
              <w:rPr>
                <w:rFonts w:ascii="Times New Roman" w:hAnsi="Times New Roman" w:eastAsiaTheme="minorEastAsia"/>
                <w:highlight w:val="none"/>
              </w:rPr>
            </w:pPr>
            <w:r>
              <w:rPr>
                <w:rFonts w:ascii="Times New Roman" w:hAnsi="Times New Roman" w:eastAsiaTheme="minorEastAsia"/>
                <w:highlight w:val="none"/>
              </w:rPr>
              <w:t>契约型</w:t>
            </w:r>
            <w:r>
              <w:rPr>
                <w:rFonts w:hint="eastAsia" w:ascii="Times New Roman" w:hAnsi="Times New Roman" w:eastAsiaTheme="minorEastAsia"/>
                <w:highlight w:val="none"/>
                <w:lang w:val="en-US" w:eastAsia="zh-CN"/>
              </w:rPr>
              <w:t>定期</w:t>
            </w:r>
            <w:r>
              <w:rPr>
                <w:rFonts w:ascii="Times New Roman" w:hAnsi="Times New Roman" w:eastAsiaTheme="minorEastAsia"/>
                <w:highlight w:val="none"/>
              </w:rPr>
              <w:t>开放式</w:t>
            </w:r>
          </w:p>
        </w:tc>
      </w:tr>
      <w:tr w14:paraId="781EA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33488CC6">
            <w:pPr>
              <w:pStyle w:val="36"/>
              <w:rPr>
                <w:rFonts w:ascii="Times New Roman" w:hAnsi="Times New Roman" w:eastAsiaTheme="minorEastAsia"/>
                <w:highlight w:val="none"/>
              </w:rPr>
            </w:pPr>
            <w:r>
              <w:rPr>
                <w:rFonts w:ascii="Times New Roman" w:hAnsi="Times New Roman" w:eastAsiaTheme="minorEastAsia"/>
                <w:highlight w:val="none"/>
              </w:rPr>
              <w:t>基金合同生效日</w:t>
            </w:r>
          </w:p>
        </w:tc>
        <w:tc>
          <w:tcPr>
            <w:tcW w:w="5152" w:type="dxa"/>
            <w:gridSpan w:val="2"/>
            <w:tcBorders>
              <w:top w:val="single" w:color="000000" w:sz="4" w:space="0"/>
              <w:left w:val="single" w:color="000000" w:sz="4" w:space="0"/>
              <w:bottom w:val="single" w:color="000000" w:sz="4" w:space="0"/>
              <w:right w:val="single" w:color="000000" w:sz="4" w:space="0"/>
            </w:tcBorders>
            <w:vAlign w:val="center"/>
          </w:tcPr>
          <w:p w14:paraId="0B6AEBEB">
            <w:pPr>
              <w:pStyle w:val="36"/>
              <w:rPr>
                <w:rFonts w:ascii="Times New Roman" w:hAnsi="Times New Roman" w:eastAsiaTheme="minorEastAsia"/>
                <w:highlight w:val="none"/>
              </w:rPr>
            </w:pPr>
            <w:r>
              <w:rPr>
                <w:rFonts w:hint="eastAsia" w:eastAsiaTheme="minorEastAsia"/>
                <w:highlight w:val="none"/>
              </w:rPr>
              <w:t>20</w:t>
            </w:r>
            <w:r>
              <w:rPr>
                <w:rFonts w:hint="eastAsia" w:eastAsiaTheme="minorEastAsia"/>
                <w:highlight w:val="none"/>
                <w:lang w:val="en-US" w:eastAsia="zh-CN"/>
              </w:rPr>
              <w:t>20</w:t>
            </w:r>
            <w:r>
              <w:rPr>
                <w:rFonts w:hint="eastAsia" w:eastAsiaTheme="minorEastAsia"/>
                <w:highlight w:val="none"/>
              </w:rPr>
              <w:t>年</w:t>
            </w:r>
            <w:r>
              <w:rPr>
                <w:rFonts w:hint="eastAsia" w:eastAsiaTheme="minorEastAsia"/>
                <w:highlight w:val="none"/>
                <w:lang w:val="en-US" w:eastAsia="zh-CN"/>
              </w:rPr>
              <w:t>4</w:t>
            </w:r>
            <w:r>
              <w:rPr>
                <w:rFonts w:hint="eastAsia" w:eastAsiaTheme="minorEastAsia"/>
                <w:highlight w:val="none"/>
              </w:rPr>
              <w:t>月</w:t>
            </w:r>
            <w:r>
              <w:rPr>
                <w:rFonts w:hint="eastAsia" w:eastAsiaTheme="minorEastAsia"/>
                <w:highlight w:val="none"/>
                <w:lang w:val="en-US" w:eastAsia="zh-CN"/>
              </w:rPr>
              <w:t>29</w:t>
            </w:r>
            <w:r>
              <w:rPr>
                <w:rFonts w:hint="eastAsia" w:eastAsiaTheme="minorEastAsia"/>
                <w:highlight w:val="none"/>
              </w:rPr>
              <w:t>日</w:t>
            </w:r>
          </w:p>
        </w:tc>
      </w:tr>
      <w:tr w14:paraId="631B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45B5CD70">
            <w:pPr>
              <w:pStyle w:val="36"/>
              <w:rPr>
                <w:rFonts w:ascii="Times New Roman" w:hAnsi="Times New Roman" w:eastAsiaTheme="minorEastAsia"/>
                <w:highlight w:val="none"/>
              </w:rPr>
            </w:pPr>
            <w:r>
              <w:rPr>
                <w:rFonts w:ascii="Times New Roman" w:hAnsi="Times New Roman" w:eastAsiaTheme="minorEastAsia"/>
                <w:highlight w:val="none"/>
              </w:rPr>
              <w:t>基金管理人</w:t>
            </w:r>
          </w:p>
        </w:tc>
        <w:tc>
          <w:tcPr>
            <w:tcW w:w="5152" w:type="dxa"/>
            <w:gridSpan w:val="2"/>
            <w:tcBorders>
              <w:top w:val="single" w:color="000000" w:sz="4" w:space="0"/>
              <w:left w:val="single" w:color="000000" w:sz="4" w:space="0"/>
              <w:bottom w:val="single" w:color="000000" w:sz="4" w:space="0"/>
              <w:right w:val="single" w:color="000000" w:sz="4" w:space="0"/>
            </w:tcBorders>
            <w:vAlign w:val="center"/>
          </w:tcPr>
          <w:p w14:paraId="19E1DC36">
            <w:pPr>
              <w:pStyle w:val="36"/>
              <w:rPr>
                <w:rFonts w:ascii="Times New Roman" w:hAnsi="Times New Roman" w:eastAsiaTheme="minorEastAsia"/>
                <w:highlight w:val="none"/>
              </w:rPr>
            </w:pPr>
            <w:r>
              <w:rPr>
                <w:rFonts w:ascii="Times New Roman" w:hAnsi="Times New Roman" w:eastAsiaTheme="minorEastAsia"/>
                <w:highlight w:val="none"/>
              </w:rPr>
              <w:t>博时基金管理有限公司</w:t>
            </w:r>
          </w:p>
        </w:tc>
      </w:tr>
      <w:tr w14:paraId="7B0D6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6364FF2F">
            <w:pPr>
              <w:pStyle w:val="36"/>
              <w:rPr>
                <w:rFonts w:ascii="Times New Roman" w:hAnsi="Times New Roman" w:eastAsiaTheme="minorEastAsia"/>
                <w:highlight w:val="none"/>
              </w:rPr>
            </w:pPr>
            <w:r>
              <w:rPr>
                <w:rFonts w:ascii="Times New Roman" w:hAnsi="Times New Roman" w:eastAsiaTheme="minorEastAsia"/>
                <w:highlight w:val="none"/>
              </w:rPr>
              <w:t>基金托管人</w:t>
            </w:r>
          </w:p>
        </w:tc>
        <w:tc>
          <w:tcPr>
            <w:tcW w:w="5152" w:type="dxa"/>
            <w:gridSpan w:val="2"/>
            <w:tcBorders>
              <w:top w:val="single" w:color="000000" w:sz="4" w:space="0"/>
              <w:left w:val="single" w:color="000000" w:sz="4" w:space="0"/>
              <w:bottom w:val="single" w:color="000000" w:sz="4" w:space="0"/>
              <w:right w:val="single" w:color="000000" w:sz="4" w:space="0"/>
            </w:tcBorders>
            <w:vAlign w:val="center"/>
          </w:tcPr>
          <w:p w14:paraId="259767FD">
            <w:pPr>
              <w:pStyle w:val="36"/>
              <w:rPr>
                <w:rFonts w:ascii="Times New Roman" w:hAnsi="Times New Roman" w:eastAsiaTheme="minorEastAsia"/>
                <w:highlight w:val="none"/>
              </w:rPr>
            </w:pPr>
            <w:r>
              <w:rPr>
                <w:rFonts w:hint="eastAsia" w:eastAsiaTheme="minorEastAsia"/>
                <w:highlight w:val="none"/>
                <w:lang w:val="en-US" w:eastAsia="zh-CN"/>
              </w:rPr>
              <w:t>中国邮政储蓄银行股份有限公司</w:t>
            </w:r>
          </w:p>
        </w:tc>
      </w:tr>
      <w:tr w14:paraId="79ED7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473C4C61">
            <w:pPr>
              <w:pStyle w:val="36"/>
              <w:rPr>
                <w:rFonts w:ascii="Times New Roman" w:hAnsi="Times New Roman" w:eastAsiaTheme="minorEastAsia"/>
                <w:highlight w:val="none"/>
              </w:rPr>
            </w:pPr>
            <w:r>
              <w:rPr>
                <w:rFonts w:hint="eastAsia" w:ascii="Times New Roman" w:hAnsi="Times New Roman" w:eastAsiaTheme="minorEastAsia"/>
                <w:highlight w:val="none"/>
              </w:rPr>
              <w:t>最后运作日（202</w:t>
            </w:r>
            <w:r>
              <w:rPr>
                <w:rFonts w:hint="eastAsia" w:ascii="Times New Roman" w:hAnsi="Times New Roman" w:eastAsiaTheme="minorEastAsia"/>
                <w:highlight w:val="none"/>
                <w:lang w:val="en-US" w:eastAsia="zh-CN"/>
              </w:rPr>
              <w:t>5</w:t>
            </w:r>
            <w:r>
              <w:rPr>
                <w:rFonts w:hint="eastAsia" w:ascii="Times New Roman" w:hAnsi="Times New Roman" w:eastAsiaTheme="minorEastAsia"/>
                <w:highlight w:val="none"/>
              </w:rPr>
              <w:t>年</w:t>
            </w:r>
            <w:r>
              <w:rPr>
                <w:rFonts w:hint="eastAsia" w:ascii="Times New Roman" w:hAnsi="Times New Roman" w:eastAsiaTheme="minorEastAsia"/>
                <w:highlight w:val="none"/>
                <w:lang w:val="en-US" w:eastAsia="zh-CN"/>
              </w:rPr>
              <w:t>1</w:t>
            </w:r>
            <w:r>
              <w:rPr>
                <w:rFonts w:hint="eastAsia" w:ascii="Times New Roman" w:hAnsi="Times New Roman" w:eastAsiaTheme="minorEastAsia"/>
                <w:highlight w:val="none"/>
              </w:rPr>
              <w:t>月</w:t>
            </w:r>
            <w:r>
              <w:rPr>
                <w:rFonts w:hint="eastAsia" w:ascii="Times New Roman" w:hAnsi="Times New Roman" w:eastAsiaTheme="minorEastAsia"/>
                <w:highlight w:val="none"/>
                <w:lang w:val="en-US" w:eastAsia="zh-CN"/>
              </w:rPr>
              <w:t>27</w:t>
            </w:r>
            <w:r>
              <w:rPr>
                <w:rFonts w:hint="eastAsia" w:ascii="Times New Roman" w:hAnsi="Times New Roman" w:eastAsiaTheme="minorEastAsia"/>
                <w:highlight w:val="none"/>
              </w:rPr>
              <w:t>日）基金份额总额</w:t>
            </w:r>
          </w:p>
        </w:tc>
        <w:tc>
          <w:tcPr>
            <w:tcW w:w="5152" w:type="dxa"/>
            <w:gridSpan w:val="2"/>
            <w:tcBorders>
              <w:top w:val="single" w:color="000000" w:sz="4" w:space="0"/>
              <w:left w:val="single" w:color="000000" w:sz="4" w:space="0"/>
              <w:bottom w:val="single" w:color="000000" w:sz="4" w:space="0"/>
              <w:right w:val="single" w:color="000000" w:sz="4" w:space="0"/>
            </w:tcBorders>
            <w:vAlign w:val="center"/>
          </w:tcPr>
          <w:p w14:paraId="22D22DD0">
            <w:pPr>
              <w:pStyle w:val="36"/>
              <w:rPr>
                <w:rFonts w:ascii="Times New Roman" w:hAnsi="Times New Roman" w:eastAsiaTheme="minorEastAsia"/>
                <w:highlight w:val="none"/>
              </w:rPr>
            </w:pPr>
            <w:r>
              <w:rPr>
                <w:rFonts w:hint="eastAsia" w:ascii="Times New Roman" w:hAnsi="Times New Roman" w:eastAsiaTheme="minorEastAsia"/>
                <w:highlight w:val="none"/>
              </w:rPr>
              <w:t>14,906,757.14</w:t>
            </w:r>
            <w:r>
              <w:rPr>
                <w:rFonts w:ascii="Times New Roman" w:hAnsi="Times New Roman" w:eastAsiaTheme="minorEastAsia"/>
                <w:highlight w:val="none"/>
              </w:rPr>
              <w:t>份</w:t>
            </w:r>
          </w:p>
        </w:tc>
      </w:tr>
      <w:tr w14:paraId="70996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0C3C557F">
            <w:pPr>
              <w:pStyle w:val="36"/>
              <w:rPr>
                <w:rFonts w:ascii="Times New Roman" w:hAnsi="Times New Roman" w:eastAsiaTheme="minorEastAsia"/>
                <w:highlight w:val="none"/>
              </w:rPr>
            </w:pPr>
            <w:r>
              <w:rPr>
                <w:rFonts w:ascii="Times New Roman" w:hAnsi="Times New Roman" w:eastAsiaTheme="minorEastAsia"/>
                <w:highlight w:val="none"/>
              </w:rPr>
              <w:t>基金合同存续期</w:t>
            </w:r>
          </w:p>
        </w:tc>
        <w:tc>
          <w:tcPr>
            <w:tcW w:w="5152" w:type="dxa"/>
            <w:gridSpan w:val="2"/>
            <w:tcBorders>
              <w:top w:val="single" w:color="000000" w:sz="4" w:space="0"/>
              <w:left w:val="single" w:color="000000" w:sz="4" w:space="0"/>
              <w:bottom w:val="single" w:color="000000" w:sz="4" w:space="0"/>
              <w:right w:val="single" w:color="000000" w:sz="4" w:space="0"/>
            </w:tcBorders>
            <w:vAlign w:val="center"/>
          </w:tcPr>
          <w:p w14:paraId="03127A74">
            <w:pPr>
              <w:pStyle w:val="36"/>
              <w:rPr>
                <w:rFonts w:ascii="Times New Roman" w:hAnsi="Times New Roman" w:eastAsiaTheme="minorEastAsia"/>
                <w:highlight w:val="none"/>
              </w:rPr>
            </w:pPr>
            <w:r>
              <w:rPr>
                <w:rFonts w:ascii="Times New Roman" w:hAnsi="Times New Roman" w:eastAsiaTheme="minorEastAsia"/>
                <w:highlight w:val="none"/>
              </w:rPr>
              <w:t>不定期</w:t>
            </w:r>
          </w:p>
        </w:tc>
      </w:tr>
      <w:tr w14:paraId="4D3B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0912616F">
            <w:pPr>
              <w:adjustRightInd w:val="0"/>
              <w:rPr>
                <w:rFonts w:ascii="Times New Roman" w:hAnsi="Times New Roman" w:eastAsiaTheme="minorEastAsia"/>
                <w:highlight w:val="none"/>
              </w:rPr>
            </w:pPr>
            <w:bookmarkStart w:id="19" w:name="_Toc491184118"/>
            <w:bookmarkStart w:id="20" w:name="_Toc491963081"/>
            <w:bookmarkStart w:id="21" w:name="_Toc482092221"/>
            <w:bookmarkStart w:id="22" w:name="_Toc390421230"/>
            <w:r>
              <w:rPr>
                <w:color w:val="000000" w:themeColor="text1"/>
                <w:szCs w:val="21"/>
                <w:highlight w:val="none"/>
                <w14:textFill>
                  <w14:solidFill>
                    <w14:schemeClr w14:val="tx1"/>
                  </w14:solidFill>
                </w14:textFill>
              </w:rPr>
              <w:t>下属分级基金的基金简称</w:t>
            </w:r>
          </w:p>
        </w:tc>
        <w:tc>
          <w:tcPr>
            <w:tcW w:w="2576" w:type="dxa"/>
            <w:tcBorders>
              <w:top w:val="single" w:color="000000" w:sz="4" w:space="0"/>
              <w:left w:val="single" w:color="000000" w:sz="4" w:space="0"/>
              <w:bottom w:val="single" w:color="000000" w:sz="4" w:space="0"/>
              <w:right w:val="single" w:color="000000" w:sz="4" w:space="0"/>
            </w:tcBorders>
            <w:vAlign w:val="center"/>
          </w:tcPr>
          <w:p w14:paraId="50A96102">
            <w:pPr>
              <w:pStyle w:val="36"/>
              <w:rPr>
                <w:rFonts w:ascii="Times New Roman" w:hAnsi="Times New Roman" w:eastAsiaTheme="minorEastAsia"/>
                <w:highlight w:val="none"/>
              </w:rPr>
            </w:pPr>
            <w:r>
              <w:rPr>
                <w:rFonts w:hint="eastAsia" w:eastAsiaTheme="minorEastAsia"/>
                <w:highlight w:val="none"/>
              </w:rPr>
              <w:t>博时荣升稳健添利混合A</w:t>
            </w:r>
          </w:p>
        </w:tc>
        <w:tc>
          <w:tcPr>
            <w:tcW w:w="2576" w:type="dxa"/>
            <w:tcBorders>
              <w:top w:val="single" w:color="000000" w:sz="4" w:space="0"/>
              <w:left w:val="single" w:color="000000" w:sz="4" w:space="0"/>
              <w:bottom w:val="single" w:color="000000" w:sz="4" w:space="0"/>
              <w:right w:val="single" w:color="000000" w:sz="4" w:space="0"/>
            </w:tcBorders>
            <w:vAlign w:val="center"/>
          </w:tcPr>
          <w:p w14:paraId="3CF530BC">
            <w:pPr>
              <w:pStyle w:val="36"/>
              <w:rPr>
                <w:rFonts w:hint="eastAsia" w:ascii="Times New Roman" w:hAnsi="Times New Roman" w:eastAsiaTheme="minorEastAsia"/>
                <w:highlight w:val="none"/>
                <w:lang w:eastAsia="zh-CN"/>
              </w:rPr>
            </w:pPr>
            <w:r>
              <w:rPr>
                <w:rFonts w:hint="eastAsia" w:eastAsiaTheme="minorEastAsia"/>
                <w:highlight w:val="none"/>
              </w:rPr>
              <w:t>博时荣升稳健添利混合</w:t>
            </w:r>
            <w:r>
              <w:rPr>
                <w:rFonts w:hint="eastAsia" w:eastAsiaTheme="minorEastAsia"/>
                <w:highlight w:val="none"/>
                <w:lang w:val="en-US" w:eastAsia="zh-CN"/>
              </w:rPr>
              <w:t>C</w:t>
            </w:r>
          </w:p>
        </w:tc>
      </w:tr>
      <w:tr w14:paraId="50EEF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4384DB0C">
            <w:pPr>
              <w:rPr>
                <w:rFonts w:ascii="Times New Roman" w:hAnsi="Times New Roman" w:eastAsiaTheme="minorEastAsia"/>
                <w:highlight w:val="none"/>
              </w:rPr>
            </w:pPr>
            <w:r>
              <w:rPr>
                <w:highlight w:val="none"/>
              </w:rPr>
              <w:t>下属分级基金的交易代码</w:t>
            </w:r>
          </w:p>
        </w:tc>
        <w:tc>
          <w:tcPr>
            <w:tcW w:w="2576" w:type="dxa"/>
            <w:tcBorders>
              <w:top w:val="single" w:color="000000" w:sz="4" w:space="0"/>
              <w:left w:val="single" w:color="000000" w:sz="4" w:space="0"/>
              <w:bottom w:val="single" w:color="000000" w:sz="4" w:space="0"/>
              <w:right w:val="single" w:color="000000" w:sz="4" w:space="0"/>
            </w:tcBorders>
            <w:vAlign w:val="center"/>
          </w:tcPr>
          <w:p w14:paraId="290D37B6">
            <w:pPr>
              <w:pStyle w:val="36"/>
              <w:rPr>
                <w:rFonts w:hint="default" w:ascii="Times New Roman" w:hAnsi="Times New Roman" w:eastAsiaTheme="minorEastAsia"/>
                <w:highlight w:val="none"/>
                <w:lang w:val="en-US" w:eastAsia="zh-CN"/>
              </w:rPr>
            </w:pPr>
            <w:r>
              <w:rPr>
                <w:rFonts w:hint="eastAsia" w:ascii="Times New Roman" w:hAnsi="Times New Roman" w:eastAsiaTheme="minorEastAsia"/>
                <w:highlight w:val="none"/>
                <w:lang w:val="en-US" w:eastAsia="zh-CN"/>
              </w:rPr>
              <w:t>009144</w:t>
            </w:r>
          </w:p>
        </w:tc>
        <w:tc>
          <w:tcPr>
            <w:tcW w:w="2576" w:type="dxa"/>
            <w:tcBorders>
              <w:top w:val="single" w:color="000000" w:sz="4" w:space="0"/>
              <w:left w:val="single" w:color="000000" w:sz="4" w:space="0"/>
              <w:bottom w:val="single" w:color="000000" w:sz="4" w:space="0"/>
              <w:right w:val="single" w:color="000000" w:sz="4" w:space="0"/>
            </w:tcBorders>
            <w:vAlign w:val="center"/>
          </w:tcPr>
          <w:p w14:paraId="5F12519A">
            <w:pPr>
              <w:pStyle w:val="36"/>
              <w:rPr>
                <w:rFonts w:hint="default" w:ascii="Times New Roman" w:hAnsi="Times New Roman" w:eastAsiaTheme="minorEastAsia"/>
                <w:highlight w:val="none"/>
                <w:lang w:val="en-US" w:eastAsia="zh-CN"/>
              </w:rPr>
            </w:pPr>
            <w:r>
              <w:rPr>
                <w:rFonts w:hint="eastAsia" w:ascii="Times New Roman" w:hAnsi="Times New Roman" w:eastAsiaTheme="minorEastAsia"/>
                <w:highlight w:val="none"/>
                <w:lang w:val="en-US" w:eastAsia="zh-CN"/>
              </w:rPr>
              <w:t>009145</w:t>
            </w:r>
          </w:p>
        </w:tc>
      </w:tr>
      <w:tr w14:paraId="42389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3370" w:type="dxa"/>
            <w:tcBorders>
              <w:top w:val="single" w:color="000000" w:sz="4" w:space="0"/>
              <w:left w:val="single" w:color="000000" w:sz="4" w:space="0"/>
              <w:bottom w:val="single" w:color="000000" w:sz="4" w:space="0"/>
              <w:right w:val="single" w:color="000000" w:sz="4" w:space="0"/>
            </w:tcBorders>
            <w:vAlign w:val="center"/>
          </w:tcPr>
          <w:p w14:paraId="48C0FA34">
            <w:pPr>
              <w:pStyle w:val="36"/>
              <w:rPr>
                <w:rFonts w:ascii="Times New Roman" w:hAnsi="Times New Roman" w:eastAsiaTheme="minorEastAsia"/>
                <w:highlight w:val="none"/>
              </w:rPr>
            </w:pPr>
            <w:r>
              <w:rPr>
                <w:color w:val="000000" w:themeColor="text1"/>
                <w:szCs w:val="21"/>
                <w:highlight w:val="none"/>
                <w14:textFill>
                  <w14:solidFill>
                    <w14:schemeClr w14:val="tx1"/>
                  </w14:solidFill>
                </w14:textFill>
              </w:rPr>
              <w:t>最后运作日下属分级基金的份额总额</w:t>
            </w:r>
          </w:p>
        </w:tc>
        <w:tc>
          <w:tcPr>
            <w:tcW w:w="2576" w:type="dxa"/>
            <w:tcBorders>
              <w:top w:val="single" w:color="000000" w:sz="4" w:space="0"/>
              <w:left w:val="single" w:color="000000" w:sz="4" w:space="0"/>
              <w:bottom w:val="single" w:color="000000" w:sz="4" w:space="0"/>
              <w:right w:val="single" w:color="000000" w:sz="4" w:space="0"/>
            </w:tcBorders>
            <w:vAlign w:val="center"/>
          </w:tcPr>
          <w:p w14:paraId="050B15A8">
            <w:pPr>
              <w:pStyle w:val="36"/>
              <w:rPr>
                <w:rFonts w:ascii="Times New Roman" w:hAnsi="Times New Roman" w:eastAsiaTheme="minorEastAsia"/>
                <w:highlight w:val="none"/>
              </w:rPr>
            </w:pPr>
            <w:r>
              <w:rPr>
                <w:rFonts w:hint="eastAsia" w:ascii="宋体" w:hAnsi="宋体" w:cs="Arial"/>
                <w:szCs w:val="21"/>
                <w:highlight w:val="none"/>
              </w:rPr>
              <w:t>13,925,075.27</w:t>
            </w:r>
          </w:p>
        </w:tc>
        <w:tc>
          <w:tcPr>
            <w:tcW w:w="2576" w:type="dxa"/>
            <w:tcBorders>
              <w:top w:val="single" w:color="000000" w:sz="4" w:space="0"/>
              <w:left w:val="single" w:color="000000" w:sz="4" w:space="0"/>
              <w:bottom w:val="single" w:color="000000" w:sz="4" w:space="0"/>
              <w:right w:val="single" w:color="000000" w:sz="4" w:space="0"/>
            </w:tcBorders>
            <w:vAlign w:val="center"/>
          </w:tcPr>
          <w:p w14:paraId="1C66CAC3">
            <w:pPr>
              <w:pStyle w:val="36"/>
              <w:rPr>
                <w:rFonts w:ascii="Times New Roman" w:hAnsi="Times New Roman" w:eastAsiaTheme="minorEastAsia"/>
                <w:highlight w:val="none"/>
              </w:rPr>
            </w:pPr>
            <w:r>
              <w:rPr>
                <w:rFonts w:hint="eastAsia" w:ascii="宋体" w:hAnsi="宋体" w:cs="Arial"/>
                <w:szCs w:val="21"/>
                <w:highlight w:val="none"/>
              </w:rPr>
              <w:t>981,681.87</w:t>
            </w:r>
          </w:p>
        </w:tc>
      </w:tr>
    </w:tbl>
    <w:p w14:paraId="159E0DFB">
      <w:pPr>
        <w:pStyle w:val="22"/>
        <w:rPr>
          <w:rFonts w:ascii="宋体" w:hAnsi="宋体"/>
          <w:sz w:val="21"/>
          <w:szCs w:val="21"/>
          <w:highlight w:val="none"/>
        </w:rPr>
      </w:pPr>
      <w:r>
        <w:rPr>
          <w:rFonts w:ascii="宋体" w:hAnsi="宋体"/>
          <w:sz w:val="21"/>
          <w:szCs w:val="21"/>
          <w:highlight w:val="none"/>
        </w:rPr>
        <w:t>2.2 基金产品说明</w:t>
      </w:r>
      <w:bookmarkEnd w:id="19"/>
      <w:bookmarkEnd w:id="20"/>
      <w:bookmarkEnd w:id="21"/>
      <w:bookmarkEnd w:id="22"/>
    </w:p>
    <w:tbl>
      <w:tblPr>
        <w:tblStyle w:val="13"/>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6991"/>
      </w:tblGrid>
      <w:tr w14:paraId="673FF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Borders>
              <w:top w:val="single" w:color="000000" w:sz="4" w:space="0"/>
              <w:left w:val="single" w:color="000000" w:sz="4" w:space="0"/>
              <w:bottom w:val="single" w:color="000000" w:sz="4" w:space="0"/>
              <w:right w:val="single" w:color="000000" w:sz="4" w:space="0"/>
            </w:tcBorders>
            <w:vAlign w:val="center"/>
          </w:tcPr>
          <w:p w14:paraId="7601D58E">
            <w:pPr>
              <w:pStyle w:val="36"/>
              <w:rPr>
                <w:rFonts w:ascii="Times New Roman" w:hAnsi="Times New Roman" w:eastAsiaTheme="minorEastAsia"/>
                <w:highlight w:val="none"/>
              </w:rPr>
            </w:pPr>
            <w:r>
              <w:rPr>
                <w:rFonts w:ascii="Times New Roman" w:hAnsi="Times New Roman" w:eastAsiaTheme="minorEastAsia"/>
                <w:highlight w:val="none"/>
              </w:rPr>
              <w:t>投资目标</w:t>
            </w:r>
          </w:p>
        </w:tc>
        <w:tc>
          <w:tcPr>
            <w:tcW w:w="6996" w:type="dxa"/>
            <w:tcBorders>
              <w:top w:val="single" w:color="000000" w:sz="4" w:space="0"/>
              <w:left w:val="single" w:color="000000" w:sz="4" w:space="0"/>
              <w:bottom w:val="single" w:color="000000" w:sz="4" w:space="0"/>
              <w:right w:val="single" w:color="000000" w:sz="4" w:space="0"/>
            </w:tcBorders>
            <w:vAlign w:val="center"/>
          </w:tcPr>
          <w:p w14:paraId="59026D44">
            <w:pPr>
              <w:pStyle w:val="36"/>
              <w:rPr>
                <w:rFonts w:ascii="Times New Roman" w:hAnsi="Times New Roman" w:eastAsiaTheme="minorEastAsia"/>
                <w:highlight w:val="none"/>
              </w:rPr>
            </w:pPr>
            <w:r>
              <w:rPr>
                <w:rFonts w:hint="eastAsia" w:ascii="Times New Roman" w:hAnsi="Times New Roman" w:eastAsiaTheme="minorEastAsia"/>
                <w:highlight w:val="none"/>
              </w:rPr>
              <w:t>本基金在控制风险的前提下，以绝对收益为核心投资目标，通过积极主动的投资管理，力争实现组合资产长期稳健的增值。</w:t>
            </w:r>
          </w:p>
        </w:tc>
      </w:tr>
      <w:tr w14:paraId="3B72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Borders>
              <w:top w:val="single" w:color="000000" w:sz="4" w:space="0"/>
              <w:left w:val="single" w:color="000000" w:sz="4" w:space="0"/>
              <w:bottom w:val="single" w:color="000000" w:sz="4" w:space="0"/>
              <w:right w:val="single" w:color="000000" w:sz="4" w:space="0"/>
            </w:tcBorders>
            <w:vAlign w:val="center"/>
          </w:tcPr>
          <w:p w14:paraId="7FA1AB8D">
            <w:pPr>
              <w:pStyle w:val="36"/>
              <w:rPr>
                <w:rFonts w:ascii="Times New Roman" w:hAnsi="Times New Roman" w:eastAsiaTheme="minorEastAsia"/>
                <w:highlight w:val="none"/>
              </w:rPr>
            </w:pPr>
            <w:r>
              <w:rPr>
                <w:rFonts w:ascii="Times New Roman" w:hAnsi="Times New Roman" w:eastAsiaTheme="minorEastAsia"/>
                <w:highlight w:val="none"/>
              </w:rPr>
              <w:t>投资策略</w:t>
            </w:r>
          </w:p>
        </w:tc>
        <w:tc>
          <w:tcPr>
            <w:tcW w:w="6996" w:type="dxa"/>
            <w:tcBorders>
              <w:top w:val="single" w:color="000000" w:sz="4" w:space="0"/>
              <w:left w:val="single" w:color="000000" w:sz="4" w:space="0"/>
              <w:bottom w:val="single" w:color="000000" w:sz="4" w:space="0"/>
              <w:right w:val="single" w:color="000000" w:sz="4" w:space="0"/>
            </w:tcBorders>
            <w:vAlign w:val="center"/>
          </w:tcPr>
          <w:p w14:paraId="367E1949">
            <w:pPr>
              <w:pStyle w:val="36"/>
              <w:rPr>
                <w:rFonts w:hint="eastAsia" w:ascii="Times New Roman" w:hAnsi="Times New Roman" w:eastAsiaTheme="minorEastAsia"/>
                <w:highlight w:val="none"/>
              </w:rPr>
            </w:pPr>
            <w:r>
              <w:rPr>
                <w:rFonts w:hint="eastAsia" w:ascii="Times New Roman" w:hAnsi="Times New Roman" w:eastAsiaTheme="minorEastAsia"/>
                <w:highlight w:val="none"/>
              </w:rPr>
              <w:t>（一）封闭期投资策略</w:t>
            </w:r>
          </w:p>
          <w:p w14:paraId="43FA12FD">
            <w:pPr>
              <w:pStyle w:val="36"/>
              <w:rPr>
                <w:rFonts w:hint="eastAsia" w:ascii="Times New Roman" w:hAnsi="Times New Roman" w:eastAsiaTheme="minorEastAsia"/>
                <w:highlight w:val="none"/>
              </w:rPr>
            </w:pPr>
            <w:r>
              <w:rPr>
                <w:rFonts w:hint="eastAsia" w:ascii="Times New Roman" w:hAnsi="Times New Roman" w:eastAsiaTheme="minorEastAsia"/>
                <w:highlight w:val="none"/>
              </w:rPr>
              <w:t>本基金通过自上而下和自下而上相结合、定性分析和定量分析互相补充的方法，在债券、股票和现金等资产类之间进行相对稳定的适度配置，强调通过自上而下的宏观分析与自下而上的市场趋势分析有机结合进行前瞻性的决策。本基金资产配置在考虑宏观基本面影响因素的同时考虑市场情绪、同业基金仓位水平的影响，并根据市场情况作出应对措施。</w:t>
            </w:r>
          </w:p>
          <w:p w14:paraId="506D73DD">
            <w:pPr>
              <w:pStyle w:val="36"/>
              <w:rPr>
                <w:rFonts w:hint="eastAsia" w:ascii="Times New Roman" w:hAnsi="Times New Roman" w:eastAsiaTheme="minorEastAsia"/>
                <w:highlight w:val="none"/>
              </w:rPr>
            </w:pPr>
            <w:r>
              <w:rPr>
                <w:rFonts w:hint="eastAsia" w:ascii="Times New Roman" w:hAnsi="Times New Roman" w:eastAsiaTheme="minorEastAsia"/>
                <w:highlight w:val="none"/>
              </w:rPr>
              <w:t>本基金投资策略具体包括债券投资策略、股票投资策略、资产支持证券投资策略、金融衍生品投资策略、融资投资策略和流通受限证券投资策略。</w:t>
            </w:r>
          </w:p>
          <w:p w14:paraId="5B6020ED">
            <w:pPr>
              <w:pStyle w:val="36"/>
              <w:rPr>
                <w:rFonts w:hint="eastAsia" w:ascii="Times New Roman" w:hAnsi="Times New Roman" w:eastAsiaTheme="minorEastAsia"/>
                <w:highlight w:val="none"/>
              </w:rPr>
            </w:pPr>
            <w:r>
              <w:rPr>
                <w:rFonts w:hint="eastAsia" w:ascii="Times New Roman" w:hAnsi="Times New Roman" w:eastAsiaTheme="minorEastAsia"/>
                <w:highlight w:val="none"/>
              </w:rPr>
              <w:t>（二）开放期投资策略</w:t>
            </w:r>
          </w:p>
          <w:p w14:paraId="1250AE95">
            <w:pPr>
              <w:pStyle w:val="36"/>
              <w:rPr>
                <w:rFonts w:ascii="Times New Roman" w:hAnsi="Times New Roman" w:eastAsiaTheme="minorEastAsia"/>
                <w:highlight w:val="none"/>
              </w:rPr>
            </w:pPr>
            <w:r>
              <w:rPr>
                <w:rFonts w:hint="eastAsia" w:ascii="Times New Roman" w:hAnsi="Times New Roman" w:eastAsiaTheme="minorEastAsia"/>
                <w:highlight w:val="none"/>
              </w:rPr>
              <w:t>开放期内，本基金为保持较高的组合流动性，方便投资人安排投资，在遵守本基金有关投资限制与投资比例的前提下，将主要投资于高流动性的投资品种。</w:t>
            </w:r>
          </w:p>
        </w:tc>
      </w:tr>
      <w:tr w14:paraId="4F908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Borders>
              <w:top w:val="single" w:color="000000" w:sz="4" w:space="0"/>
              <w:left w:val="single" w:color="000000" w:sz="4" w:space="0"/>
              <w:bottom w:val="single" w:color="000000" w:sz="4" w:space="0"/>
              <w:right w:val="single" w:color="000000" w:sz="4" w:space="0"/>
            </w:tcBorders>
            <w:vAlign w:val="center"/>
          </w:tcPr>
          <w:p w14:paraId="6BDAA715">
            <w:pPr>
              <w:pStyle w:val="36"/>
              <w:rPr>
                <w:rFonts w:ascii="Times New Roman" w:hAnsi="Times New Roman" w:eastAsiaTheme="minorEastAsia"/>
                <w:highlight w:val="none"/>
              </w:rPr>
            </w:pPr>
            <w:r>
              <w:rPr>
                <w:rFonts w:ascii="Times New Roman" w:hAnsi="Times New Roman" w:eastAsiaTheme="minorEastAsia"/>
                <w:highlight w:val="none"/>
              </w:rPr>
              <w:t>业绩比较基准</w:t>
            </w:r>
          </w:p>
        </w:tc>
        <w:tc>
          <w:tcPr>
            <w:tcW w:w="6996" w:type="dxa"/>
            <w:tcBorders>
              <w:top w:val="single" w:color="000000" w:sz="4" w:space="0"/>
              <w:left w:val="single" w:color="000000" w:sz="4" w:space="0"/>
              <w:bottom w:val="single" w:color="000000" w:sz="4" w:space="0"/>
              <w:right w:val="single" w:color="000000" w:sz="4" w:space="0"/>
            </w:tcBorders>
            <w:vAlign w:val="center"/>
          </w:tcPr>
          <w:p w14:paraId="671DDB63">
            <w:pPr>
              <w:pStyle w:val="36"/>
              <w:rPr>
                <w:rFonts w:ascii="Times New Roman" w:hAnsi="Times New Roman" w:eastAsiaTheme="minorEastAsia"/>
                <w:highlight w:val="none"/>
              </w:rPr>
            </w:pPr>
            <w:r>
              <w:rPr>
                <w:rFonts w:hint="eastAsia" w:ascii="Times New Roman" w:hAnsi="Times New Roman" w:eastAsiaTheme="minorEastAsia"/>
                <w:highlight w:val="none"/>
              </w:rPr>
              <w:t>中债综合财富(总值)指数收益率×85%+沪深300指数收益率×10%+恒生综合指数收益率×5%</w:t>
            </w:r>
          </w:p>
        </w:tc>
      </w:tr>
      <w:tr w14:paraId="05EC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26" w:type="dxa"/>
            <w:tcBorders>
              <w:top w:val="single" w:color="000000" w:sz="4" w:space="0"/>
              <w:left w:val="single" w:color="000000" w:sz="4" w:space="0"/>
              <w:bottom w:val="single" w:color="000000" w:sz="4" w:space="0"/>
              <w:right w:val="single" w:color="000000" w:sz="4" w:space="0"/>
            </w:tcBorders>
            <w:vAlign w:val="center"/>
          </w:tcPr>
          <w:p w14:paraId="4BCDE187">
            <w:pPr>
              <w:pStyle w:val="36"/>
              <w:rPr>
                <w:rFonts w:ascii="Times New Roman" w:hAnsi="Times New Roman" w:eastAsiaTheme="minorEastAsia"/>
                <w:highlight w:val="none"/>
              </w:rPr>
            </w:pPr>
            <w:r>
              <w:rPr>
                <w:rFonts w:ascii="Times New Roman" w:hAnsi="Times New Roman" w:eastAsiaTheme="minorEastAsia"/>
                <w:highlight w:val="none"/>
              </w:rPr>
              <w:t>风险收益特征</w:t>
            </w:r>
          </w:p>
        </w:tc>
        <w:tc>
          <w:tcPr>
            <w:tcW w:w="6996" w:type="dxa"/>
            <w:tcBorders>
              <w:top w:val="single" w:color="000000" w:sz="4" w:space="0"/>
              <w:left w:val="single" w:color="000000" w:sz="4" w:space="0"/>
              <w:bottom w:val="single" w:color="000000" w:sz="4" w:space="0"/>
              <w:right w:val="single" w:color="000000" w:sz="4" w:space="0"/>
            </w:tcBorders>
            <w:vAlign w:val="center"/>
          </w:tcPr>
          <w:p w14:paraId="1DD9C37C">
            <w:pPr>
              <w:pStyle w:val="36"/>
              <w:rPr>
                <w:rFonts w:ascii="Times New Roman" w:hAnsi="Times New Roman" w:eastAsiaTheme="minorEastAsia"/>
                <w:highlight w:val="none"/>
              </w:rPr>
            </w:pPr>
            <w:r>
              <w:rPr>
                <w:rFonts w:hint="eastAsia" w:ascii="Times New Roman" w:hAnsi="Times New Roman" w:eastAsiaTheme="minorEastAsia"/>
                <w:highlight w:val="none"/>
              </w:rPr>
              <w:t>本基金是混合型证券投资基金，其预期收益和预期风险水平高于债券型基金产品和货币市场基金，低于股票型基金，属于中等预期风险、中等预期收益的基金产品。本基金如果投资港股通标的股票，需承担汇率风险以及境外市场的风险。</w:t>
            </w:r>
          </w:p>
        </w:tc>
      </w:tr>
    </w:tbl>
    <w:p w14:paraId="4AD3A719">
      <w:pPr>
        <w:pStyle w:val="2"/>
        <w:keepNext/>
        <w:keepLines/>
        <w:widowControl w:val="0"/>
        <w:spacing w:before="312" w:beforeLines="100" w:after="312" w:afterLines="100" w:line="360" w:lineRule="auto"/>
        <w:jc w:val="center"/>
        <w:rPr>
          <w:rStyle w:val="20"/>
          <w:rFonts w:ascii="宋体" w:hAnsi="宋体"/>
          <w:b w:val="0"/>
          <w:highlight w:val="none"/>
        </w:rPr>
      </w:pPr>
      <w:bookmarkStart w:id="23" w:name="_Toc409100049"/>
      <w:bookmarkStart w:id="24" w:name="_Toc409100412"/>
      <w:bookmarkStart w:id="25" w:name="_Toc225498250"/>
      <w:bookmarkStart w:id="26" w:name="_Toc361324850"/>
      <w:bookmarkStart w:id="27" w:name="_Toc484769799"/>
      <w:bookmarkStart w:id="28" w:name="_Toc491963082"/>
      <w:r>
        <w:rPr>
          <w:rStyle w:val="20"/>
          <w:rFonts w:ascii="宋体" w:hAnsi="宋体"/>
          <w:highlight w:val="none"/>
        </w:rPr>
        <w:t>3</w:t>
      </w:r>
      <w:bookmarkEnd w:id="23"/>
      <w:bookmarkEnd w:id="24"/>
      <w:bookmarkEnd w:id="25"/>
      <w:bookmarkEnd w:id="26"/>
      <w:r>
        <w:rPr>
          <w:rStyle w:val="20"/>
          <w:rFonts w:hint="eastAsia" w:ascii="宋体" w:hAnsi="宋体"/>
          <w:highlight w:val="none"/>
        </w:rPr>
        <w:t>、基金运作情况说明</w:t>
      </w:r>
      <w:bookmarkEnd w:id="27"/>
      <w:bookmarkEnd w:id="28"/>
    </w:p>
    <w:p w14:paraId="430EB689">
      <w:pPr>
        <w:pStyle w:val="24"/>
        <w:rPr>
          <w:rFonts w:hint="eastAsia" w:eastAsiaTheme="minorEastAsia"/>
          <w:highlight w:val="none"/>
        </w:rPr>
      </w:pPr>
      <w:r>
        <w:rPr>
          <w:rFonts w:hint="eastAsia" w:eastAsiaTheme="minorEastAsia"/>
          <w:highlight w:val="none"/>
        </w:rPr>
        <w:t>本基金经中国证监会证监许可[2020]184号《关于准予博时荣升稳健添利18个月定期开放混合型证券投资基金注册的批复》核准，由博时基金管理有限公司依照《中华人民共和国证券投资基金法》和《基金合同》负责公开募集。本基金为契约型、定期开放式，存续期限不定，首次设立募集不包括认购资金利息共募集人民币922,952,432.47元，业经普华永道中天会计师事务所(特殊普通合伙)普华永道中天验字(2020)第0345号验资报告予以验证。经向中国证监会备案，《基金合同》于2020年4月29日正式生效，基金合同生效日的基金份额总额为923,579,757.26份基金份额，其中认购资金利息折合627,324.79份基金份额。</w:t>
      </w:r>
    </w:p>
    <w:p w14:paraId="5E2A3CED">
      <w:pPr>
        <w:pStyle w:val="24"/>
        <w:rPr>
          <w:rFonts w:hint="eastAsia" w:eastAsiaTheme="minorEastAsia"/>
          <w:highlight w:val="none"/>
        </w:rPr>
      </w:pPr>
      <w:r>
        <w:rPr>
          <w:rFonts w:hint="eastAsia" w:eastAsiaTheme="minorEastAsia"/>
          <w:highlight w:val="none"/>
        </w:rPr>
        <w:t>自20</w:t>
      </w:r>
      <w:r>
        <w:rPr>
          <w:rFonts w:hint="eastAsia" w:eastAsiaTheme="minorEastAsia"/>
          <w:highlight w:val="none"/>
          <w:lang w:val="en-US" w:eastAsia="zh-CN"/>
        </w:rPr>
        <w:t>20</w:t>
      </w:r>
      <w:r>
        <w:rPr>
          <w:rFonts w:hint="eastAsia" w:eastAsiaTheme="minorEastAsia"/>
          <w:highlight w:val="none"/>
        </w:rPr>
        <w:t>年</w:t>
      </w:r>
      <w:r>
        <w:rPr>
          <w:rFonts w:hint="eastAsia" w:eastAsiaTheme="minorEastAsia"/>
          <w:highlight w:val="none"/>
          <w:lang w:val="en-US" w:eastAsia="zh-CN"/>
        </w:rPr>
        <w:t>4</w:t>
      </w:r>
      <w:r>
        <w:rPr>
          <w:rFonts w:hint="eastAsia" w:eastAsiaTheme="minorEastAsia"/>
          <w:highlight w:val="none"/>
        </w:rPr>
        <w:t>月</w:t>
      </w:r>
      <w:r>
        <w:rPr>
          <w:rFonts w:hint="eastAsia" w:eastAsiaTheme="minorEastAsia"/>
          <w:highlight w:val="none"/>
          <w:lang w:val="en-US" w:eastAsia="zh-CN"/>
        </w:rPr>
        <w:t>29</w:t>
      </w:r>
      <w:r>
        <w:rPr>
          <w:rFonts w:hint="eastAsia" w:eastAsiaTheme="minorEastAsia"/>
          <w:highlight w:val="none"/>
        </w:rPr>
        <w:t>日至202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27</w:t>
      </w:r>
      <w:r>
        <w:rPr>
          <w:rFonts w:hint="eastAsia" w:eastAsiaTheme="minorEastAsia"/>
          <w:highlight w:val="none"/>
        </w:rPr>
        <w:t>日期间，本基金按《基金合同》正常运作。</w:t>
      </w:r>
    </w:p>
    <w:p w14:paraId="28CC3D0D">
      <w:pPr>
        <w:spacing w:line="360" w:lineRule="auto"/>
        <w:ind w:firstLine="420" w:firstLineChars="200"/>
        <w:rPr>
          <w:rFonts w:hint="eastAsia" w:eastAsiaTheme="minorEastAsia"/>
          <w:highlight w:val="yellow"/>
        </w:rPr>
      </w:pPr>
      <w:bookmarkStart w:id="29" w:name="_Toc491963083"/>
      <w:bookmarkStart w:id="30" w:name="_Toc484769805"/>
      <w:r>
        <w:rPr>
          <w:rFonts w:hint="eastAsia" w:eastAsiaTheme="minorEastAsia"/>
          <w:highlight w:val="none"/>
        </w:rPr>
        <w:t>根据《基金合同》、本基金基金份额持有人大会于202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22</w:t>
      </w:r>
      <w:r>
        <w:rPr>
          <w:rFonts w:hint="eastAsia" w:eastAsiaTheme="minorEastAsia"/>
          <w:highlight w:val="none"/>
        </w:rPr>
        <w:t>日表决通过的《关于终止博时荣升稳健添利18个月定期开放混合型证券投资基金</w:t>
      </w:r>
      <w:r>
        <w:rPr>
          <w:rFonts w:hint="eastAsia" w:eastAsiaTheme="minorEastAsia"/>
        </w:rPr>
        <w:t>基金</w:t>
      </w:r>
      <w:r>
        <w:rPr>
          <w:rFonts w:hint="eastAsia" w:eastAsiaTheme="minorEastAsia"/>
          <w:highlight w:val="none"/>
          <w:lang w:val="en-US" w:eastAsia="zh-CN"/>
        </w:rPr>
        <w:t>合同有关事项的</w:t>
      </w:r>
      <w:r>
        <w:rPr>
          <w:rFonts w:hint="eastAsia" w:eastAsiaTheme="minorEastAsia"/>
          <w:highlight w:val="none"/>
        </w:rPr>
        <w:t>议案》以及博时基金管理有限公司于202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23</w:t>
      </w:r>
      <w:r>
        <w:rPr>
          <w:rFonts w:hint="eastAsia" w:eastAsiaTheme="minorEastAsia"/>
          <w:highlight w:val="none"/>
        </w:rPr>
        <w:t>日发布的《博时基金管理有限公司关于博时荣升稳健添利18个月定期开放混合型证券投资基金基金份额持有人大会表决结果暨决议生效的公告》，本基金的最后运作日定为202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w:t>
      </w:r>
      <w:r>
        <w:rPr>
          <w:rFonts w:hint="eastAsia" w:eastAsiaTheme="minorEastAsia"/>
          <w:highlight w:val="none"/>
        </w:rPr>
        <w:t>7日，并于202</w:t>
      </w:r>
      <w:r>
        <w:rPr>
          <w:rFonts w:hint="eastAsia" w:eastAsiaTheme="minorEastAsia"/>
          <w:highlight w:val="none"/>
          <w:lang w:val="en-US" w:eastAsia="zh-CN"/>
        </w:rPr>
        <w:t>5</w:t>
      </w:r>
      <w:r>
        <w:rPr>
          <w:rFonts w:hint="eastAsia" w:eastAsiaTheme="minorEastAsia"/>
          <w:highlight w:val="none"/>
        </w:rPr>
        <w:t>年</w:t>
      </w:r>
      <w:r>
        <w:rPr>
          <w:rFonts w:hint="eastAsia" w:eastAsiaTheme="minorEastAsia"/>
          <w:highlight w:val="none"/>
          <w:lang w:val="en-US" w:eastAsia="zh-CN"/>
        </w:rPr>
        <w:t>1</w:t>
      </w:r>
      <w:r>
        <w:rPr>
          <w:rFonts w:hint="eastAsia" w:eastAsiaTheme="minorEastAsia"/>
          <w:highlight w:val="none"/>
        </w:rPr>
        <w:t>月</w:t>
      </w:r>
      <w:r>
        <w:rPr>
          <w:rFonts w:hint="eastAsia" w:eastAsiaTheme="minorEastAsia"/>
          <w:highlight w:val="none"/>
          <w:lang w:val="en-US" w:eastAsia="zh-CN"/>
        </w:rPr>
        <w:t>2</w:t>
      </w:r>
      <w:r>
        <w:rPr>
          <w:rFonts w:hint="eastAsia" w:eastAsiaTheme="minorEastAsia"/>
          <w:highlight w:val="none"/>
        </w:rPr>
        <w:t>8日进入财产清算期。</w:t>
      </w:r>
    </w:p>
    <w:p w14:paraId="7BB74E84">
      <w:pPr>
        <w:pStyle w:val="2"/>
        <w:keepNext/>
        <w:keepLines/>
        <w:widowControl w:val="0"/>
        <w:spacing w:before="312" w:beforeLines="100" w:after="312" w:afterLines="100" w:line="360" w:lineRule="auto"/>
        <w:jc w:val="center"/>
        <w:rPr>
          <w:rStyle w:val="20"/>
          <w:rFonts w:ascii="宋体" w:hAnsi="宋体"/>
          <w:highlight w:val="none"/>
        </w:rPr>
      </w:pPr>
      <w:r>
        <w:rPr>
          <w:rStyle w:val="20"/>
          <w:rFonts w:hint="eastAsia" w:ascii="宋体" w:hAnsi="宋体"/>
          <w:highlight w:val="none"/>
        </w:rPr>
        <w:t>4、财务报告</w:t>
      </w:r>
      <w:bookmarkEnd w:id="29"/>
      <w:bookmarkEnd w:id="30"/>
    </w:p>
    <w:p w14:paraId="0E31188D">
      <w:pPr>
        <w:pStyle w:val="3"/>
        <w:spacing w:before="0" w:after="0"/>
        <w:rPr>
          <w:rFonts w:ascii="宋体" w:hAnsi="宋体" w:eastAsia="宋体"/>
          <w:kern w:val="0"/>
          <w:sz w:val="21"/>
          <w:szCs w:val="21"/>
          <w:highlight w:val="none"/>
        </w:rPr>
      </w:pPr>
      <w:bookmarkStart w:id="31" w:name="_Toc409100437"/>
      <w:bookmarkStart w:id="32" w:name="_Toc225498268"/>
      <w:bookmarkStart w:id="33" w:name="_Toc409100074"/>
      <w:bookmarkStart w:id="34" w:name="_Toc484607311"/>
      <w:bookmarkStart w:id="35" w:name="_Toc361324873"/>
      <w:bookmarkStart w:id="36" w:name="_Toc484769806"/>
      <w:bookmarkStart w:id="37" w:name="_Toc476577275"/>
      <w:bookmarkStart w:id="38" w:name="_Toc483396838"/>
      <w:bookmarkStart w:id="39" w:name="_Toc491963084"/>
      <w:r>
        <w:rPr>
          <w:rFonts w:hint="eastAsia" w:ascii="宋体" w:hAnsi="宋体" w:eastAsia="宋体"/>
          <w:kern w:val="0"/>
          <w:sz w:val="21"/>
          <w:szCs w:val="21"/>
          <w:highlight w:val="none"/>
        </w:rPr>
        <w:t>4</w:t>
      </w:r>
      <w:r>
        <w:rPr>
          <w:rFonts w:ascii="宋体" w:hAnsi="宋体" w:eastAsia="宋体"/>
          <w:kern w:val="0"/>
          <w:sz w:val="21"/>
          <w:szCs w:val="21"/>
          <w:highlight w:val="none"/>
        </w:rPr>
        <w:t>.1 资产负债表</w:t>
      </w:r>
      <w:bookmarkEnd w:id="31"/>
      <w:bookmarkEnd w:id="32"/>
      <w:bookmarkEnd w:id="33"/>
      <w:bookmarkEnd w:id="34"/>
      <w:bookmarkEnd w:id="35"/>
      <w:bookmarkEnd w:id="36"/>
      <w:bookmarkEnd w:id="37"/>
      <w:bookmarkEnd w:id="38"/>
      <w:bookmarkEnd w:id="39"/>
      <w:r>
        <w:rPr>
          <w:rFonts w:hint="eastAsia" w:ascii="宋体" w:hAnsi="宋体" w:eastAsia="宋体"/>
          <w:kern w:val="0"/>
          <w:sz w:val="21"/>
          <w:szCs w:val="21"/>
          <w:highlight w:val="none"/>
        </w:rPr>
        <w:t>(已经审计)</w:t>
      </w:r>
    </w:p>
    <w:p w14:paraId="565C1A33">
      <w:pPr>
        <w:autoSpaceDE w:val="0"/>
        <w:autoSpaceDN w:val="0"/>
        <w:adjustRightInd w:val="0"/>
        <w:spacing w:before="29" w:line="360" w:lineRule="auto"/>
        <w:ind w:left="15"/>
        <w:jc w:val="right"/>
        <w:rPr>
          <w:rFonts w:ascii="宋体" w:hAnsi="宋体"/>
          <w:color w:val="000000"/>
          <w:kern w:val="0"/>
          <w:szCs w:val="21"/>
          <w:highlight w:val="none"/>
        </w:rPr>
      </w:pPr>
      <w:r>
        <w:rPr>
          <w:rFonts w:ascii="宋体" w:hAnsi="宋体"/>
          <w:color w:val="000000"/>
          <w:kern w:val="0"/>
          <w:szCs w:val="21"/>
          <w:highlight w:val="none"/>
        </w:rPr>
        <w:t>单位：人民币元</w:t>
      </w:r>
    </w:p>
    <w:tbl>
      <w:tblPr>
        <w:tblStyle w:val="13"/>
        <w:tblW w:w="7951"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0"/>
        <w:gridCol w:w="4461"/>
      </w:tblGrid>
      <w:tr w14:paraId="4438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center"/>
          </w:tcPr>
          <w:p w14:paraId="0EBAD5B7">
            <w:pPr>
              <w:pStyle w:val="11"/>
              <w:spacing w:before="0" w:beforeAutospacing="0" w:after="0" w:afterAutospacing="0"/>
              <w:jc w:val="center"/>
              <w:rPr>
                <w:rFonts w:ascii="Arial" w:hAnsi="Arial" w:eastAsia="宋体" w:cs="Arial"/>
                <w:b/>
                <w:highlight w:val="none"/>
              </w:rPr>
            </w:pPr>
            <w:r>
              <w:rPr>
                <w:rFonts w:ascii="Arial" w:hAnsi="Arial" w:eastAsia="宋体" w:cs="Arial"/>
                <w:b/>
                <w:highlight w:val="none"/>
              </w:rPr>
              <w:t>资产</w:t>
            </w:r>
          </w:p>
        </w:tc>
        <w:tc>
          <w:tcPr>
            <w:tcW w:w="4461" w:type="dxa"/>
            <w:shd w:val="clear" w:color="auto" w:fill="auto"/>
            <w:vAlign w:val="center"/>
          </w:tcPr>
          <w:p w14:paraId="36EEB7D1">
            <w:pPr>
              <w:pStyle w:val="11"/>
              <w:spacing w:before="0" w:beforeAutospacing="0" w:after="0" w:afterAutospacing="0"/>
              <w:jc w:val="center"/>
              <w:rPr>
                <w:rFonts w:ascii="Arial" w:hAnsi="Arial" w:eastAsia="宋体" w:cs="Arial"/>
                <w:b/>
                <w:highlight w:val="none"/>
                <w:lang w:eastAsia="zh-CN"/>
              </w:rPr>
            </w:pPr>
            <w:r>
              <w:rPr>
                <w:rFonts w:ascii="Arial" w:hAnsi="Arial" w:eastAsia="宋体" w:cs="Arial"/>
                <w:b/>
                <w:highlight w:val="none"/>
                <w:lang w:eastAsia="zh-CN"/>
              </w:rPr>
              <w:t>202</w:t>
            </w:r>
            <w:r>
              <w:rPr>
                <w:rFonts w:hint="eastAsia" w:ascii="Arial" w:hAnsi="Arial" w:eastAsia="宋体" w:cs="Arial"/>
                <w:b/>
                <w:highlight w:val="none"/>
                <w:lang w:val="en-US" w:eastAsia="zh-CN"/>
              </w:rPr>
              <w:t>5</w:t>
            </w:r>
            <w:r>
              <w:rPr>
                <w:rFonts w:ascii="Arial" w:hAnsi="Arial" w:eastAsia="宋体" w:cs="Arial"/>
                <w:b/>
                <w:highlight w:val="none"/>
                <w:lang w:eastAsia="zh-CN"/>
              </w:rPr>
              <w:t>年</w:t>
            </w:r>
            <w:r>
              <w:rPr>
                <w:rFonts w:hint="eastAsia" w:ascii="Arial" w:hAnsi="Arial" w:eastAsia="宋体" w:cs="Arial"/>
                <w:b/>
                <w:highlight w:val="none"/>
                <w:lang w:val="en-US" w:eastAsia="zh-CN"/>
              </w:rPr>
              <w:t>1</w:t>
            </w:r>
            <w:r>
              <w:rPr>
                <w:rFonts w:ascii="Arial" w:hAnsi="Arial" w:eastAsia="宋体" w:cs="Arial"/>
                <w:b/>
                <w:highlight w:val="none"/>
                <w:lang w:eastAsia="zh-CN"/>
              </w:rPr>
              <w:t>月</w:t>
            </w:r>
            <w:r>
              <w:rPr>
                <w:rFonts w:hint="eastAsia" w:ascii="Arial" w:hAnsi="Arial" w:eastAsia="宋体" w:cs="Arial"/>
                <w:b/>
                <w:highlight w:val="none"/>
                <w:lang w:val="en-US" w:eastAsia="zh-CN"/>
              </w:rPr>
              <w:t>27</w:t>
            </w:r>
            <w:r>
              <w:rPr>
                <w:rFonts w:ascii="Arial" w:hAnsi="Arial" w:eastAsia="宋体" w:cs="Arial"/>
                <w:b/>
                <w:highlight w:val="none"/>
                <w:lang w:eastAsia="zh-CN"/>
              </w:rPr>
              <w:t>日</w:t>
            </w:r>
          </w:p>
          <w:p w14:paraId="4B08A15E">
            <w:pPr>
              <w:pStyle w:val="11"/>
              <w:spacing w:before="0" w:beforeAutospacing="0" w:after="0" w:afterAutospacing="0"/>
              <w:jc w:val="center"/>
              <w:rPr>
                <w:rFonts w:ascii="Arial" w:hAnsi="Arial" w:eastAsia="宋体" w:cs="Arial"/>
                <w:b/>
                <w:highlight w:val="none"/>
                <w:lang w:eastAsia="zh-CN"/>
              </w:rPr>
            </w:pPr>
            <w:r>
              <w:rPr>
                <w:rFonts w:ascii="Arial" w:hAnsi="Arial" w:eastAsia="宋体" w:cs="Arial"/>
                <w:b/>
                <w:highlight w:val="none"/>
                <w:lang w:eastAsia="zh-CN"/>
              </w:rPr>
              <w:t>(基金</w:t>
            </w:r>
            <w:r>
              <w:rPr>
                <w:rFonts w:hint="eastAsia" w:ascii="Arial" w:hAnsi="Arial" w:eastAsia="宋体" w:cs="Arial"/>
                <w:b/>
                <w:highlight w:val="none"/>
                <w:lang w:eastAsia="zh-CN"/>
              </w:rPr>
              <w:t>最后运作</w:t>
            </w:r>
            <w:r>
              <w:rPr>
                <w:rFonts w:ascii="Arial" w:hAnsi="Arial" w:eastAsia="宋体" w:cs="Arial"/>
                <w:b/>
                <w:highlight w:val="none"/>
                <w:lang w:eastAsia="zh-CN"/>
              </w:rPr>
              <w:t>日)</w:t>
            </w:r>
          </w:p>
        </w:tc>
      </w:tr>
      <w:tr w14:paraId="51D3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3490" w:type="dxa"/>
            <w:shd w:val="clear" w:color="auto" w:fill="auto"/>
            <w:vAlign w:val="bottom"/>
          </w:tcPr>
          <w:p w14:paraId="141CFFF6">
            <w:pPr>
              <w:spacing w:before="100" w:beforeAutospacing="1" w:after="100" w:afterAutospacing="1"/>
              <w:rPr>
                <w:rFonts w:ascii="Arial" w:hAnsi="Arial" w:cs="Arial"/>
                <w:b/>
                <w:bCs/>
                <w:sz w:val="24"/>
                <w:highlight w:val="yellow"/>
              </w:rPr>
            </w:pPr>
            <w:r>
              <w:rPr>
                <w:rFonts w:ascii="Arial" w:hAnsi="Arial" w:cs="Arial"/>
                <w:b/>
                <w:bCs/>
                <w:sz w:val="24"/>
                <w:highlight w:val="none"/>
              </w:rPr>
              <w:t>资产：</w:t>
            </w:r>
          </w:p>
        </w:tc>
        <w:tc>
          <w:tcPr>
            <w:tcW w:w="4461" w:type="dxa"/>
            <w:shd w:val="clear" w:color="auto" w:fill="auto"/>
            <w:vAlign w:val="bottom"/>
          </w:tcPr>
          <w:p w14:paraId="5BD4B923">
            <w:pPr>
              <w:spacing w:before="100" w:beforeAutospacing="1" w:after="100" w:afterAutospacing="1"/>
              <w:ind w:left="-72"/>
              <w:jc w:val="right"/>
              <w:rPr>
                <w:rFonts w:ascii="Arial" w:hAnsi="Arial" w:cs="Arial"/>
                <w:sz w:val="24"/>
                <w:highlight w:val="yellow"/>
              </w:rPr>
            </w:pPr>
          </w:p>
        </w:tc>
      </w:tr>
      <w:tr w14:paraId="0A60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20A0DED8">
            <w:pPr>
              <w:spacing w:before="100" w:beforeAutospacing="1" w:after="100" w:afterAutospacing="1"/>
              <w:rPr>
                <w:rFonts w:hint="eastAsia"/>
              </w:rPr>
            </w:pPr>
            <w:r>
              <w:rPr>
                <w:rFonts w:hint="eastAsia"/>
              </w:rPr>
              <w:t>货币资金</w:t>
            </w:r>
          </w:p>
        </w:tc>
        <w:tc>
          <w:tcPr>
            <w:tcW w:w="4461" w:type="dxa"/>
            <w:shd w:val="clear" w:color="auto" w:fill="auto"/>
          </w:tcPr>
          <w:p w14:paraId="679C44F7">
            <w:pPr>
              <w:ind w:left="-80"/>
              <w:jc w:val="right"/>
              <w:rPr>
                <w:rFonts w:hint="eastAsia"/>
              </w:rPr>
            </w:pPr>
            <w:r>
              <w:rPr>
                <w:rFonts w:hint="eastAsia"/>
              </w:rPr>
              <w:t>25,073,665.17</w:t>
            </w:r>
          </w:p>
        </w:tc>
      </w:tr>
      <w:tr w14:paraId="3AC7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6E378845">
            <w:pPr>
              <w:spacing w:before="100" w:beforeAutospacing="1" w:after="100" w:afterAutospacing="1"/>
              <w:rPr>
                <w:rFonts w:hint="eastAsia"/>
              </w:rPr>
            </w:pPr>
            <w:r>
              <w:rPr>
                <w:rFonts w:hint="eastAsia"/>
              </w:rPr>
              <w:t>结算备付金</w:t>
            </w:r>
          </w:p>
        </w:tc>
        <w:tc>
          <w:tcPr>
            <w:tcW w:w="4461" w:type="dxa"/>
            <w:shd w:val="clear" w:color="auto" w:fill="auto"/>
          </w:tcPr>
          <w:p w14:paraId="07BF8724">
            <w:pPr>
              <w:ind w:left="-80"/>
              <w:jc w:val="right"/>
              <w:rPr>
                <w:rFonts w:hint="eastAsia"/>
              </w:rPr>
            </w:pPr>
            <w:r>
              <w:rPr>
                <w:rFonts w:hint="eastAsia"/>
              </w:rPr>
              <w:t>237,348.19</w:t>
            </w:r>
          </w:p>
        </w:tc>
      </w:tr>
      <w:tr w14:paraId="2478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66880526">
            <w:pPr>
              <w:spacing w:before="100" w:beforeAutospacing="1" w:after="100" w:afterAutospacing="1"/>
              <w:rPr>
                <w:rFonts w:hint="eastAsia"/>
              </w:rPr>
            </w:pPr>
            <w:r>
              <w:rPr>
                <w:rFonts w:hint="eastAsia"/>
              </w:rPr>
              <w:t>存出保证金</w:t>
            </w:r>
          </w:p>
        </w:tc>
        <w:tc>
          <w:tcPr>
            <w:tcW w:w="4461" w:type="dxa"/>
            <w:shd w:val="clear" w:color="auto" w:fill="auto"/>
          </w:tcPr>
          <w:p w14:paraId="116D9F11">
            <w:pPr>
              <w:ind w:left="-80"/>
              <w:jc w:val="right"/>
              <w:rPr>
                <w:rFonts w:hint="eastAsia"/>
              </w:rPr>
            </w:pPr>
            <w:r>
              <w:rPr>
                <w:rFonts w:hint="eastAsia"/>
              </w:rPr>
              <w:t>33,853.50</w:t>
            </w:r>
          </w:p>
        </w:tc>
      </w:tr>
      <w:tr w14:paraId="5A35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3490" w:type="dxa"/>
            <w:shd w:val="clear" w:color="auto" w:fill="auto"/>
            <w:vAlign w:val="bottom"/>
          </w:tcPr>
          <w:p w14:paraId="3DE3CE51">
            <w:pPr>
              <w:spacing w:before="100" w:beforeAutospacing="1" w:after="100" w:afterAutospacing="1"/>
              <w:rPr>
                <w:rFonts w:hint="default"/>
                <w:lang w:val="en-US" w:eastAsia="zh-CN"/>
              </w:rPr>
            </w:pPr>
            <w:r>
              <w:rPr>
                <w:rFonts w:hint="eastAsia"/>
                <w:lang w:val="en-US" w:eastAsia="zh-CN"/>
              </w:rPr>
              <w:t>应收申购款</w:t>
            </w:r>
          </w:p>
        </w:tc>
        <w:tc>
          <w:tcPr>
            <w:tcW w:w="4461" w:type="dxa"/>
            <w:shd w:val="clear" w:color="auto" w:fill="auto"/>
          </w:tcPr>
          <w:p w14:paraId="1514591C">
            <w:pPr>
              <w:ind w:left="-80"/>
              <w:jc w:val="right"/>
              <w:rPr>
                <w:rFonts w:hint="default"/>
                <w:lang w:val="en-US" w:eastAsia="zh-CN"/>
              </w:rPr>
            </w:pPr>
            <w:r>
              <w:rPr>
                <w:rFonts w:hint="eastAsia"/>
                <w:lang w:val="en-US" w:eastAsia="zh-CN"/>
              </w:rPr>
              <w:t>-</w:t>
            </w:r>
          </w:p>
        </w:tc>
      </w:tr>
      <w:tr w14:paraId="7606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7A13420D">
            <w:pPr>
              <w:spacing w:before="100" w:beforeAutospacing="1" w:after="100" w:afterAutospacing="1"/>
              <w:rPr>
                <w:rFonts w:hint="eastAsia"/>
              </w:rPr>
            </w:pPr>
            <w:r>
              <w:rPr>
                <w:rFonts w:hint="eastAsia"/>
              </w:rPr>
              <w:t>交易性金融资产</w:t>
            </w:r>
          </w:p>
        </w:tc>
        <w:tc>
          <w:tcPr>
            <w:tcW w:w="4461" w:type="dxa"/>
            <w:shd w:val="clear" w:color="auto" w:fill="auto"/>
          </w:tcPr>
          <w:p w14:paraId="4A0CFF79">
            <w:pPr>
              <w:ind w:left="-80"/>
              <w:jc w:val="right"/>
              <w:rPr>
                <w:rFonts w:hint="eastAsia"/>
              </w:rPr>
            </w:pPr>
            <w:r>
              <w:rPr>
                <w:rFonts w:hint="eastAsia"/>
              </w:rPr>
              <w:t>903,745.48</w:t>
            </w:r>
          </w:p>
        </w:tc>
      </w:tr>
      <w:tr w14:paraId="71611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6C9F3829">
            <w:pPr>
              <w:spacing w:before="100" w:beforeAutospacing="1" w:after="100" w:afterAutospacing="1"/>
              <w:rPr>
                <w:rFonts w:hint="eastAsia"/>
              </w:rPr>
            </w:pPr>
            <w:r>
              <w:rPr>
                <w:rFonts w:hint="eastAsia"/>
              </w:rPr>
              <w:t>买入返售金融资产</w:t>
            </w:r>
          </w:p>
        </w:tc>
        <w:tc>
          <w:tcPr>
            <w:tcW w:w="4461" w:type="dxa"/>
            <w:shd w:val="clear" w:color="auto" w:fill="auto"/>
          </w:tcPr>
          <w:p w14:paraId="62A33D85">
            <w:pPr>
              <w:ind w:left="-80"/>
              <w:jc w:val="right"/>
              <w:rPr>
                <w:rFonts w:hint="eastAsia"/>
              </w:rPr>
            </w:pPr>
            <w:r>
              <w:rPr>
                <w:rFonts w:hint="eastAsia"/>
              </w:rPr>
              <w:t>-6,421.92</w:t>
            </w:r>
          </w:p>
        </w:tc>
      </w:tr>
      <w:tr w14:paraId="5CAA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25FF54F2">
            <w:pPr>
              <w:spacing w:before="100" w:beforeAutospacing="1" w:after="100" w:afterAutospacing="1"/>
              <w:rPr>
                <w:rFonts w:hint="default"/>
                <w:lang w:val="en-US" w:eastAsia="zh-CN"/>
              </w:rPr>
            </w:pPr>
            <w:r>
              <w:rPr>
                <w:rFonts w:hint="eastAsia"/>
                <w:lang w:val="en-US" w:eastAsia="zh-CN"/>
              </w:rPr>
              <w:t>应收清算款</w:t>
            </w:r>
          </w:p>
        </w:tc>
        <w:tc>
          <w:tcPr>
            <w:tcW w:w="4461" w:type="dxa"/>
            <w:shd w:val="clear" w:color="auto" w:fill="auto"/>
          </w:tcPr>
          <w:p w14:paraId="27626478">
            <w:pPr>
              <w:ind w:left="-80"/>
              <w:jc w:val="right"/>
              <w:rPr>
                <w:rFonts w:hint="eastAsia"/>
                <w:lang w:val="en-US" w:eastAsia="zh-CN"/>
              </w:rPr>
            </w:pPr>
            <w:r>
              <w:rPr>
                <w:rFonts w:hint="eastAsia"/>
                <w:lang w:val="en-US" w:eastAsia="zh-CN"/>
              </w:rPr>
              <w:t>10,007,224.66</w:t>
            </w:r>
          </w:p>
        </w:tc>
      </w:tr>
      <w:tr w14:paraId="30B5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79B02D2E">
            <w:pPr>
              <w:spacing w:before="100" w:beforeAutospacing="1" w:after="100" w:afterAutospacing="1"/>
              <w:rPr>
                <w:rFonts w:hint="eastAsia"/>
                <w:highlight w:val="yellow"/>
                <w:lang w:val="en-US" w:eastAsia="zh-CN"/>
              </w:rPr>
            </w:pPr>
            <w:r>
              <w:rPr>
                <w:rFonts w:hint="eastAsia"/>
              </w:rPr>
              <w:t>其他资产</w:t>
            </w:r>
          </w:p>
        </w:tc>
        <w:tc>
          <w:tcPr>
            <w:tcW w:w="4461" w:type="dxa"/>
            <w:shd w:val="clear" w:color="auto" w:fill="auto"/>
          </w:tcPr>
          <w:p w14:paraId="769C091C">
            <w:pPr>
              <w:ind w:left="-80"/>
              <w:jc w:val="right"/>
              <w:rPr>
                <w:rFonts w:hint="eastAsia"/>
                <w:lang w:val="en-US" w:eastAsia="zh-CN"/>
              </w:rPr>
            </w:pPr>
            <w:r>
              <w:rPr>
                <w:rFonts w:hint="eastAsia"/>
              </w:rPr>
              <w:t>808.69</w:t>
            </w:r>
          </w:p>
        </w:tc>
      </w:tr>
      <w:tr w14:paraId="4C81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66D368B6">
            <w:pPr>
              <w:spacing w:before="100" w:beforeAutospacing="1" w:after="100" w:afterAutospacing="1"/>
              <w:rPr>
                <w:rFonts w:ascii="Arial" w:hAnsi="Arial" w:cs="Arial"/>
                <w:b/>
                <w:bCs/>
                <w:sz w:val="24"/>
                <w:highlight w:val="none"/>
              </w:rPr>
            </w:pPr>
            <w:r>
              <w:rPr>
                <w:rFonts w:ascii="Arial" w:hAnsi="Arial" w:cs="Arial"/>
                <w:b/>
                <w:bCs/>
                <w:sz w:val="24"/>
                <w:highlight w:val="none"/>
              </w:rPr>
              <w:t>资产总计</w:t>
            </w:r>
          </w:p>
        </w:tc>
        <w:tc>
          <w:tcPr>
            <w:tcW w:w="4461" w:type="dxa"/>
            <w:shd w:val="clear" w:color="auto" w:fill="auto"/>
            <w:vAlign w:val="bottom"/>
          </w:tcPr>
          <w:p w14:paraId="3A682D3B">
            <w:pPr>
              <w:ind w:left="-72"/>
              <w:jc w:val="right"/>
              <w:rPr>
                <w:rFonts w:ascii="Arial" w:hAnsi="Arial" w:cs="Arial"/>
                <w:b/>
                <w:bCs/>
                <w:color w:val="000000"/>
                <w:sz w:val="24"/>
                <w:highlight w:val="none"/>
              </w:rPr>
            </w:pPr>
            <w:r>
              <w:rPr>
                <w:rFonts w:hint="eastAsia" w:ascii="Arial" w:hAnsi="Arial" w:cs="Arial"/>
                <w:b/>
                <w:bCs/>
                <w:color w:val="000000"/>
                <w:sz w:val="24"/>
                <w:highlight w:val="none"/>
              </w:rPr>
              <w:t>36,250,223.77</w:t>
            </w:r>
          </w:p>
        </w:tc>
      </w:tr>
      <w:tr w14:paraId="4B83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3D645D0D">
            <w:pPr>
              <w:spacing w:before="100" w:beforeAutospacing="1" w:after="100" w:afterAutospacing="1"/>
              <w:rPr>
                <w:rFonts w:ascii="Arial" w:hAnsi="Arial" w:cs="Arial"/>
                <w:b/>
                <w:bCs/>
                <w:sz w:val="24"/>
                <w:highlight w:val="none"/>
              </w:rPr>
            </w:pPr>
            <w:r>
              <w:rPr>
                <w:rFonts w:ascii="Arial" w:hAnsi="Arial" w:cs="Arial"/>
                <w:b/>
                <w:bCs/>
                <w:sz w:val="24"/>
                <w:highlight w:val="none"/>
              </w:rPr>
              <w:t>负债：</w:t>
            </w:r>
          </w:p>
        </w:tc>
        <w:tc>
          <w:tcPr>
            <w:tcW w:w="4461" w:type="dxa"/>
            <w:shd w:val="clear" w:color="auto" w:fill="auto"/>
            <w:vAlign w:val="bottom"/>
          </w:tcPr>
          <w:p w14:paraId="6525DB4F">
            <w:pPr>
              <w:ind w:left="-80"/>
              <w:jc w:val="right"/>
              <w:rPr>
                <w:rFonts w:hint="eastAsia"/>
                <w:lang w:val="en-US" w:eastAsia="zh-CN"/>
              </w:rPr>
            </w:pPr>
          </w:p>
        </w:tc>
      </w:tr>
      <w:tr w14:paraId="0338C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42FED528">
            <w:pPr>
              <w:spacing w:before="100" w:beforeAutospacing="1" w:after="100" w:afterAutospacing="1"/>
              <w:rPr>
                <w:rFonts w:ascii="Arial" w:hAnsi="Arial" w:cs="Arial"/>
                <w:sz w:val="24"/>
                <w:highlight w:val="none"/>
              </w:rPr>
            </w:pPr>
            <w:r>
              <w:rPr>
                <w:rFonts w:hint="eastAsia"/>
                <w:highlight w:val="none"/>
              </w:rPr>
              <w:t>应付清算款</w:t>
            </w:r>
          </w:p>
        </w:tc>
        <w:tc>
          <w:tcPr>
            <w:tcW w:w="4461" w:type="dxa"/>
            <w:shd w:val="clear" w:color="auto" w:fill="auto"/>
          </w:tcPr>
          <w:p w14:paraId="5A02385C">
            <w:pPr>
              <w:ind w:left="-80"/>
              <w:jc w:val="right"/>
              <w:rPr>
                <w:rFonts w:hint="eastAsia"/>
                <w:lang w:val="en-US" w:eastAsia="zh-CN"/>
              </w:rPr>
            </w:pPr>
            <w:r>
              <w:rPr>
                <w:rFonts w:hint="eastAsia"/>
                <w:lang w:val="en-US" w:eastAsia="zh-CN"/>
              </w:rPr>
              <w:t>-</w:t>
            </w:r>
          </w:p>
        </w:tc>
      </w:tr>
      <w:tr w14:paraId="0C97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05179E39">
            <w:pPr>
              <w:spacing w:before="100" w:beforeAutospacing="1" w:after="100" w:afterAutospacing="1"/>
              <w:rPr>
                <w:rFonts w:ascii="Arial" w:hAnsi="Arial" w:cs="Arial"/>
                <w:sz w:val="24"/>
                <w:highlight w:val="none"/>
              </w:rPr>
            </w:pPr>
            <w:r>
              <w:rPr>
                <w:rFonts w:hint="eastAsia"/>
                <w:highlight w:val="none"/>
              </w:rPr>
              <w:t>应付赎回款</w:t>
            </w:r>
          </w:p>
        </w:tc>
        <w:tc>
          <w:tcPr>
            <w:tcW w:w="4461" w:type="dxa"/>
            <w:shd w:val="clear" w:color="auto" w:fill="auto"/>
          </w:tcPr>
          <w:p w14:paraId="1D6E03DC">
            <w:pPr>
              <w:ind w:left="-80"/>
              <w:jc w:val="right"/>
              <w:rPr>
                <w:rFonts w:hint="eastAsia"/>
                <w:lang w:val="en-US" w:eastAsia="zh-CN"/>
              </w:rPr>
            </w:pPr>
            <w:r>
              <w:rPr>
                <w:rFonts w:hint="eastAsia"/>
                <w:lang w:val="en-US" w:eastAsia="zh-CN"/>
              </w:rPr>
              <w:t>18,890,799.88</w:t>
            </w:r>
          </w:p>
        </w:tc>
      </w:tr>
      <w:tr w14:paraId="78A7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42B10DC5">
            <w:pPr>
              <w:spacing w:before="100" w:beforeAutospacing="1" w:after="100" w:afterAutospacing="1"/>
              <w:rPr>
                <w:rFonts w:ascii="Arial" w:hAnsi="Arial" w:cs="Arial"/>
                <w:sz w:val="24"/>
                <w:highlight w:val="none"/>
              </w:rPr>
            </w:pPr>
            <w:r>
              <w:rPr>
                <w:rFonts w:hint="eastAsia"/>
                <w:highlight w:val="none"/>
              </w:rPr>
              <w:t>应付管理人报酬</w:t>
            </w:r>
          </w:p>
        </w:tc>
        <w:tc>
          <w:tcPr>
            <w:tcW w:w="4461" w:type="dxa"/>
            <w:shd w:val="clear" w:color="auto" w:fill="auto"/>
          </w:tcPr>
          <w:p w14:paraId="6B0BC8EE">
            <w:pPr>
              <w:ind w:left="-80"/>
              <w:jc w:val="right"/>
              <w:rPr>
                <w:rFonts w:hint="eastAsia"/>
                <w:lang w:val="en-US" w:eastAsia="zh-CN"/>
              </w:rPr>
            </w:pPr>
            <w:r>
              <w:rPr>
                <w:rFonts w:hint="eastAsia"/>
                <w:lang w:val="en-US" w:eastAsia="zh-CN"/>
              </w:rPr>
              <w:t>15,430.83</w:t>
            </w:r>
          </w:p>
        </w:tc>
      </w:tr>
      <w:tr w14:paraId="0292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65EFDD66">
            <w:pPr>
              <w:spacing w:before="100" w:beforeAutospacing="1" w:after="100" w:afterAutospacing="1"/>
              <w:rPr>
                <w:rFonts w:ascii="Arial" w:hAnsi="Arial" w:cs="Arial"/>
                <w:sz w:val="24"/>
                <w:highlight w:val="none"/>
              </w:rPr>
            </w:pPr>
            <w:r>
              <w:rPr>
                <w:rFonts w:hint="eastAsia"/>
                <w:highlight w:val="none"/>
              </w:rPr>
              <w:t>应付托管费</w:t>
            </w:r>
          </w:p>
        </w:tc>
        <w:tc>
          <w:tcPr>
            <w:tcW w:w="4461" w:type="dxa"/>
            <w:shd w:val="clear" w:color="auto" w:fill="auto"/>
          </w:tcPr>
          <w:p w14:paraId="6086896E">
            <w:pPr>
              <w:ind w:left="-80"/>
              <w:jc w:val="right"/>
              <w:rPr>
                <w:rFonts w:hint="eastAsia"/>
                <w:lang w:val="en-US" w:eastAsia="zh-CN"/>
              </w:rPr>
            </w:pPr>
            <w:r>
              <w:rPr>
                <w:rFonts w:hint="eastAsia"/>
                <w:lang w:val="en-US" w:eastAsia="zh-CN"/>
              </w:rPr>
              <w:t>5,143.61</w:t>
            </w:r>
          </w:p>
        </w:tc>
      </w:tr>
      <w:tr w14:paraId="4EA8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75E9850C">
            <w:pPr>
              <w:spacing w:before="100" w:beforeAutospacing="1" w:after="100" w:afterAutospacing="1"/>
              <w:rPr>
                <w:rFonts w:hint="eastAsia"/>
                <w:highlight w:val="none"/>
              </w:rPr>
            </w:pPr>
            <w:r>
              <w:rPr>
                <w:rFonts w:hint="eastAsia"/>
                <w:highlight w:val="none"/>
              </w:rPr>
              <w:t>应付销售服务费</w:t>
            </w:r>
          </w:p>
        </w:tc>
        <w:tc>
          <w:tcPr>
            <w:tcW w:w="4461" w:type="dxa"/>
            <w:shd w:val="clear" w:color="auto" w:fill="auto"/>
          </w:tcPr>
          <w:p w14:paraId="05DE2882">
            <w:pPr>
              <w:ind w:left="-80"/>
              <w:jc w:val="right"/>
              <w:rPr>
                <w:rFonts w:hint="eastAsia"/>
                <w:lang w:val="en-US" w:eastAsia="zh-CN"/>
              </w:rPr>
            </w:pPr>
            <w:r>
              <w:rPr>
                <w:rFonts w:hint="eastAsia"/>
                <w:lang w:val="en-US" w:eastAsia="zh-CN"/>
              </w:rPr>
              <w:t>5,146.39</w:t>
            </w:r>
          </w:p>
        </w:tc>
      </w:tr>
      <w:tr w14:paraId="73D4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tcPr>
          <w:p w14:paraId="4096280E">
            <w:pPr>
              <w:spacing w:before="100" w:beforeAutospacing="1" w:after="100" w:afterAutospacing="1"/>
              <w:rPr>
                <w:rFonts w:hint="eastAsia"/>
                <w:highlight w:val="none"/>
              </w:rPr>
            </w:pPr>
            <w:r>
              <w:rPr>
                <w:rFonts w:hint="eastAsia"/>
                <w:highlight w:val="none"/>
              </w:rPr>
              <w:t>应交税费</w:t>
            </w:r>
          </w:p>
        </w:tc>
        <w:tc>
          <w:tcPr>
            <w:tcW w:w="4461" w:type="dxa"/>
            <w:shd w:val="clear" w:color="auto" w:fill="auto"/>
          </w:tcPr>
          <w:p w14:paraId="34B8839A">
            <w:pPr>
              <w:ind w:left="-80"/>
              <w:jc w:val="right"/>
              <w:rPr>
                <w:rFonts w:hint="default"/>
                <w:lang w:val="en-US" w:eastAsia="zh-CN"/>
              </w:rPr>
            </w:pPr>
            <w:r>
              <w:rPr>
                <w:rFonts w:hint="eastAsia"/>
                <w:lang w:val="en-US" w:eastAsia="zh-CN"/>
              </w:rPr>
              <w:t>-</w:t>
            </w:r>
          </w:p>
        </w:tc>
      </w:tr>
      <w:tr w14:paraId="02A94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281D6B1F">
            <w:pPr>
              <w:spacing w:before="100" w:beforeAutospacing="1" w:after="100" w:afterAutospacing="1"/>
              <w:rPr>
                <w:rFonts w:ascii="Arial" w:hAnsi="Arial" w:cs="Arial"/>
                <w:sz w:val="24"/>
                <w:highlight w:val="none"/>
              </w:rPr>
            </w:pPr>
            <w:r>
              <w:rPr>
                <w:rFonts w:ascii="Arial" w:hAnsi="Arial" w:cs="Arial"/>
                <w:sz w:val="24"/>
                <w:highlight w:val="none"/>
              </w:rPr>
              <w:t>其他负债</w:t>
            </w:r>
          </w:p>
        </w:tc>
        <w:tc>
          <w:tcPr>
            <w:tcW w:w="4461" w:type="dxa"/>
            <w:shd w:val="clear" w:color="auto" w:fill="auto"/>
            <w:vAlign w:val="bottom"/>
          </w:tcPr>
          <w:p w14:paraId="26213ED3">
            <w:pPr>
              <w:ind w:left="-80"/>
              <w:jc w:val="right"/>
              <w:rPr>
                <w:rFonts w:hint="eastAsia"/>
                <w:lang w:val="en-US" w:eastAsia="zh-CN"/>
              </w:rPr>
            </w:pPr>
            <w:r>
              <w:rPr>
                <w:rFonts w:hint="eastAsia"/>
                <w:lang w:val="en-US" w:eastAsia="zh-CN"/>
              </w:rPr>
              <w:t>84,197.80</w:t>
            </w:r>
          </w:p>
        </w:tc>
      </w:tr>
      <w:tr w14:paraId="513F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0E43C066">
            <w:pPr>
              <w:spacing w:before="100" w:beforeAutospacing="1" w:after="100" w:afterAutospacing="1"/>
              <w:rPr>
                <w:rFonts w:ascii="Arial" w:hAnsi="Arial" w:cs="Arial"/>
                <w:b/>
                <w:bCs/>
                <w:sz w:val="24"/>
                <w:highlight w:val="yellow"/>
              </w:rPr>
            </w:pPr>
            <w:r>
              <w:rPr>
                <w:rFonts w:ascii="Arial" w:hAnsi="Arial" w:cs="Arial"/>
                <w:b/>
                <w:bCs/>
                <w:sz w:val="24"/>
                <w:highlight w:val="none"/>
              </w:rPr>
              <w:t>负债合计</w:t>
            </w:r>
          </w:p>
        </w:tc>
        <w:tc>
          <w:tcPr>
            <w:tcW w:w="4461" w:type="dxa"/>
            <w:shd w:val="clear" w:color="auto" w:fill="auto"/>
            <w:vAlign w:val="bottom"/>
          </w:tcPr>
          <w:p w14:paraId="03C0F978">
            <w:pPr>
              <w:ind w:left="-72"/>
              <w:jc w:val="right"/>
              <w:rPr>
                <w:rFonts w:hint="eastAsia" w:ascii="Arial" w:hAnsi="Arial" w:cs="Arial"/>
                <w:b/>
                <w:bCs/>
                <w:color w:val="000000"/>
                <w:sz w:val="24"/>
                <w:highlight w:val="none"/>
              </w:rPr>
            </w:pPr>
            <w:r>
              <w:rPr>
                <w:rFonts w:hint="eastAsia" w:ascii="Arial" w:hAnsi="Arial" w:cs="Arial"/>
                <w:b/>
                <w:bCs/>
                <w:color w:val="000000"/>
                <w:sz w:val="24"/>
                <w:highlight w:val="none"/>
              </w:rPr>
              <w:t>19,000,718.51</w:t>
            </w:r>
          </w:p>
        </w:tc>
      </w:tr>
      <w:tr w14:paraId="36E6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4348254F">
            <w:pPr>
              <w:spacing w:before="100" w:beforeAutospacing="1" w:after="100" w:afterAutospacing="1"/>
              <w:rPr>
                <w:rFonts w:ascii="Arial" w:hAnsi="Arial" w:cs="Arial"/>
                <w:b/>
                <w:bCs/>
                <w:sz w:val="24"/>
                <w:highlight w:val="none"/>
              </w:rPr>
            </w:pPr>
            <w:r>
              <w:rPr>
                <w:rFonts w:hint="eastAsia" w:ascii="Arial" w:hAnsi="Arial" w:cs="Arial"/>
                <w:b/>
                <w:bCs/>
                <w:sz w:val="24"/>
                <w:highlight w:val="none"/>
              </w:rPr>
              <w:t>净资产</w:t>
            </w:r>
            <w:r>
              <w:rPr>
                <w:rFonts w:ascii="Arial" w:hAnsi="Arial" w:cs="Arial"/>
                <w:b/>
                <w:bCs/>
                <w:sz w:val="24"/>
                <w:highlight w:val="none"/>
              </w:rPr>
              <w:t>：</w:t>
            </w:r>
          </w:p>
        </w:tc>
        <w:tc>
          <w:tcPr>
            <w:tcW w:w="4461" w:type="dxa"/>
            <w:shd w:val="clear" w:color="auto" w:fill="auto"/>
            <w:vAlign w:val="bottom"/>
          </w:tcPr>
          <w:p w14:paraId="3DCB187E">
            <w:pPr>
              <w:ind w:left="-80"/>
              <w:jc w:val="right"/>
              <w:rPr>
                <w:rFonts w:ascii="Arial" w:hAnsi="Arial" w:cs="Arial"/>
                <w:b/>
                <w:bCs/>
                <w:sz w:val="24"/>
                <w:highlight w:val="none"/>
              </w:rPr>
            </w:pPr>
          </w:p>
        </w:tc>
      </w:tr>
      <w:tr w14:paraId="71C7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70E5B8A8">
            <w:pPr>
              <w:spacing w:before="100" w:beforeAutospacing="1" w:after="100" w:afterAutospacing="1"/>
              <w:rPr>
                <w:rFonts w:hint="eastAsia"/>
                <w:highlight w:val="none"/>
              </w:rPr>
            </w:pPr>
            <w:r>
              <w:rPr>
                <w:rFonts w:hint="eastAsia"/>
                <w:highlight w:val="none"/>
              </w:rPr>
              <w:t>实收基金</w:t>
            </w:r>
          </w:p>
        </w:tc>
        <w:tc>
          <w:tcPr>
            <w:tcW w:w="4461" w:type="dxa"/>
            <w:shd w:val="clear" w:color="auto" w:fill="auto"/>
            <w:vAlign w:val="bottom"/>
          </w:tcPr>
          <w:p w14:paraId="1698DAE1">
            <w:pPr>
              <w:ind w:left="-80"/>
              <w:jc w:val="right"/>
              <w:rPr>
                <w:rFonts w:hint="eastAsia"/>
                <w:lang w:val="en-US" w:eastAsia="zh-CN"/>
              </w:rPr>
            </w:pPr>
            <w:r>
              <w:rPr>
                <w:rFonts w:hint="eastAsia"/>
                <w:lang w:val="en-US" w:eastAsia="zh-CN"/>
              </w:rPr>
              <w:t>14,906,757.14</w:t>
            </w:r>
          </w:p>
        </w:tc>
      </w:tr>
      <w:tr w14:paraId="3DCA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1A136B39">
            <w:pPr>
              <w:spacing w:before="100" w:beforeAutospacing="1" w:after="100" w:afterAutospacing="1"/>
              <w:rPr>
                <w:rFonts w:hint="eastAsia"/>
                <w:highlight w:val="none"/>
              </w:rPr>
            </w:pPr>
            <w:r>
              <w:rPr>
                <w:rFonts w:hint="eastAsia"/>
                <w:highlight w:val="none"/>
              </w:rPr>
              <w:t>未分配利润</w:t>
            </w:r>
          </w:p>
        </w:tc>
        <w:tc>
          <w:tcPr>
            <w:tcW w:w="4461" w:type="dxa"/>
            <w:shd w:val="clear" w:color="auto" w:fill="auto"/>
            <w:vAlign w:val="bottom"/>
          </w:tcPr>
          <w:p w14:paraId="7B206DE7">
            <w:pPr>
              <w:ind w:left="-80"/>
              <w:jc w:val="right"/>
              <w:rPr>
                <w:rFonts w:hint="eastAsia"/>
                <w:lang w:val="en-US" w:eastAsia="zh-CN"/>
              </w:rPr>
            </w:pPr>
            <w:r>
              <w:rPr>
                <w:rFonts w:hint="eastAsia"/>
                <w:lang w:val="en-US" w:eastAsia="zh-CN"/>
              </w:rPr>
              <w:t>2,342,748.12</w:t>
            </w:r>
          </w:p>
        </w:tc>
      </w:tr>
      <w:tr w14:paraId="527A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07E2B140">
            <w:pPr>
              <w:spacing w:before="100" w:beforeAutospacing="1" w:after="100" w:afterAutospacing="1"/>
              <w:rPr>
                <w:rFonts w:ascii="Arial" w:hAnsi="Arial" w:cs="Arial"/>
                <w:b/>
                <w:bCs/>
                <w:sz w:val="24"/>
                <w:highlight w:val="none"/>
              </w:rPr>
            </w:pPr>
            <w:r>
              <w:rPr>
                <w:rFonts w:hint="eastAsia" w:ascii="Arial" w:hAnsi="Arial" w:cs="Arial"/>
                <w:b/>
                <w:bCs/>
                <w:sz w:val="24"/>
                <w:highlight w:val="none"/>
              </w:rPr>
              <w:t>净资产</w:t>
            </w:r>
            <w:r>
              <w:rPr>
                <w:rFonts w:ascii="Arial" w:hAnsi="Arial" w:cs="Arial"/>
                <w:b/>
                <w:bCs/>
                <w:sz w:val="24"/>
                <w:highlight w:val="none"/>
              </w:rPr>
              <w:t>合计</w:t>
            </w:r>
          </w:p>
        </w:tc>
        <w:tc>
          <w:tcPr>
            <w:tcW w:w="4461" w:type="dxa"/>
            <w:shd w:val="clear" w:color="auto" w:fill="auto"/>
            <w:vAlign w:val="bottom"/>
          </w:tcPr>
          <w:p w14:paraId="023AD505">
            <w:pPr>
              <w:ind w:left="-80"/>
              <w:jc w:val="right"/>
              <w:rPr>
                <w:rFonts w:ascii="Arial" w:hAnsi="Arial" w:cs="Arial"/>
                <w:b/>
                <w:bCs/>
                <w:color w:val="000000"/>
                <w:sz w:val="24"/>
                <w:highlight w:val="none"/>
              </w:rPr>
            </w:pPr>
            <w:r>
              <w:rPr>
                <w:rFonts w:hint="eastAsia" w:ascii="Arial" w:hAnsi="Arial" w:cs="Arial"/>
                <w:b/>
                <w:bCs/>
                <w:color w:val="000000"/>
                <w:sz w:val="24"/>
                <w:highlight w:val="none"/>
              </w:rPr>
              <w:t>17,249,505.26</w:t>
            </w:r>
          </w:p>
        </w:tc>
      </w:tr>
      <w:tr w14:paraId="28F6F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490" w:type="dxa"/>
            <w:shd w:val="clear" w:color="auto" w:fill="auto"/>
            <w:vAlign w:val="bottom"/>
          </w:tcPr>
          <w:p w14:paraId="6909F551">
            <w:pPr>
              <w:spacing w:before="100" w:beforeAutospacing="1" w:after="100" w:afterAutospacing="1"/>
              <w:rPr>
                <w:rFonts w:ascii="Arial" w:hAnsi="Arial" w:cs="Arial"/>
                <w:b/>
                <w:bCs/>
                <w:sz w:val="24"/>
                <w:highlight w:val="none"/>
              </w:rPr>
            </w:pPr>
            <w:r>
              <w:rPr>
                <w:rFonts w:ascii="Arial" w:hAnsi="Arial" w:cs="Arial"/>
                <w:b/>
                <w:bCs/>
                <w:sz w:val="24"/>
                <w:highlight w:val="none"/>
              </w:rPr>
              <w:t>负债和</w:t>
            </w:r>
            <w:r>
              <w:rPr>
                <w:rFonts w:hint="eastAsia" w:ascii="Arial" w:hAnsi="Arial" w:cs="Arial"/>
                <w:b/>
                <w:bCs/>
                <w:sz w:val="24"/>
                <w:highlight w:val="none"/>
              </w:rPr>
              <w:t>净资产</w:t>
            </w:r>
            <w:r>
              <w:rPr>
                <w:rFonts w:ascii="Arial" w:hAnsi="Arial" w:cs="Arial"/>
                <w:b/>
                <w:bCs/>
                <w:sz w:val="24"/>
                <w:highlight w:val="none"/>
              </w:rPr>
              <w:t>总计</w:t>
            </w:r>
          </w:p>
        </w:tc>
        <w:tc>
          <w:tcPr>
            <w:tcW w:w="4461" w:type="dxa"/>
            <w:shd w:val="clear" w:color="auto" w:fill="auto"/>
            <w:vAlign w:val="bottom"/>
          </w:tcPr>
          <w:p w14:paraId="1A8FC926">
            <w:pPr>
              <w:ind w:left="-80"/>
              <w:jc w:val="right"/>
              <w:rPr>
                <w:rFonts w:ascii="Arial" w:hAnsi="Arial" w:cs="Arial"/>
                <w:b/>
                <w:bCs/>
                <w:color w:val="000000"/>
                <w:sz w:val="24"/>
                <w:highlight w:val="none"/>
              </w:rPr>
            </w:pPr>
            <w:r>
              <w:rPr>
                <w:rFonts w:hint="eastAsia" w:ascii="Arial" w:hAnsi="Arial" w:cs="Arial"/>
                <w:b/>
                <w:bCs/>
                <w:color w:val="000000"/>
                <w:sz w:val="24"/>
                <w:highlight w:val="none"/>
              </w:rPr>
              <w:t>36,250,223.77</w:t>
            </w:r>
          </w:p>
        </w:tc>
      </w:tr>
    </w:tbl>
    <w:p w14:paraId="2F671523">
      <w:pPr>
        <w:spacing w:line="0" w:lineRule="atLeast"/>
        <w:rPr>
          <w:rFonts w:ascii="宋体" w:hAnsi="宋体" w:cs="Arial"/>
          <w:szCs w:val="21"/>
          <w:highlight w:val="none"/>
        </w:rPr>
      </w:pPr>
      <w:r>
        <w:rPr>
          <w:rFonts w:hint="eastAsia" w:ascii="宋体" w:hAnsi="宋体" w:cs="Arial"/>
          <w:szCs w:val="21"/>
          <w:highlight w:val="none"/>
        </w:rPr>
        <w:t>注：报告截止日202</w:t>
      </w:r>
      <w:r>
        <w:rPr>
          <w:rFonts w:hint="eastAsia" w:ascii="宋体" w:hAnsi="宋体" w:cs="Arial"/>
          <w:szCs w:val="21"/>
          <w:highlight w:val="none"/>
          <w:lang w:val="en-US" w:eastAsia="zh-CN"/>
        </w:rPr>
        <w:t>5</w:t>
      </w:r>
      <w:r>
        <w:rPr>
          <w:rFonts w:hint="eastAsia" w:ascii="宋体" w:hAnsi="宋体" w:cs="Arial"/>
          <w:szCs w:val="21"/>
          <w:highlight w:val="none"/>
        </w:rPr>
        <w:t>年</w:t>
      </w:r>
      <w:r>
        <w:rPr>
          <w:rFonts w:hint="eastAsia" w:ascii="宋体" w:hAnsi="宋体" w:cs="Arial"/>
          <w:szCs w:val="21"/>
          <w:highlight w:val="none"/>
          <w:lang w:val="en-US" w:eastAsia="zh-CN"/>
        </w:rPr>
        <w:t>1</w:t>
      </w:r>
      <w:r>
        <w:rPr>
          <w:rFonts w:hint="eastAsia" w:ascii="宋体" w:hAnsi="宋体" w:cs="Arial"/>
          <w:szCs w:val="21"/>
          <w:highlight w:val="none"/>
        </w:rPr>
        <w:t>月</w:t>
      </w:r>
      <w:r>
        <w:rPr>
          <w:rFonts w:hint="eastAsia" w:ascii="宋体" w:hAnsi="宋体" w:cs="Arial"/>
          <w:szCs w:val="21"/>
          <w:highlight w:val="none"/>
          <w:lang w:val="en-US" w:eastAsia="zh-CN"/>
        </w:rPr>
        <w:t>27</w:t>
      </w:r>
      <w:r>
        <w:rPr>
          <w:rFonts w:hint="eastAsia" w:ascii="宋体" w:hAnsi="宋体" w:cs="Arial"/>
          <w:szCs w:val="21"/>
          <w:highlight w:val="none"/>
        </w:rPr>
        <w:t>日(基金最后运作日)，基金份额总额</w:t>
      </w:r>
      <w:r>
        <w:rPr>
          <w:rFonts w:hint="eastAsia" w:ascii="Times New Roman" w:hAnsi="Times New Roman" w:eastAsiaTheme="minorEastAsia"/>
          <w:highlight w:val="none"/>
        </w:rPr>
        <w:t>14,906,757.14</w:t>
      </w:r>
      <w:r>
        <w:rPr>
          <w:rFonts w:hint="eastAsia" w:ascii="宋体" w:hAnsi="宋体" w:cs="Arial"/>
          <w:szCs w:val="21"/>
          <w:highlight w:val="none"/>
        </w:rPr>
        <w:t>份。其中A类基金份额净值1.1586元，基金份额总额13,925,075.27份；C类基金份额净值1.1362元，基金份额总额981,681.87份。</w:t>
      </w:r>
    </w:p>
    <w:p w14:paraId="3A86162C">
      <w:pPr>
        <w:pStyle w:val="3"/>
        <w:spacing w:before="0" w:after="0"/>
        <w:rPr>
          <w:rFonts w:ascii="宋体" w:hAnsi="宋体" w:eastAsia="宋体"/>
          <w:kern w:val="0"/>
          <w:sz w:val="21"/>
          <w:szCs w:val="21"/>
          <w:highlight w:val="none"/>
        </w:rPr>
      </w:pPr>
      <w:bookmarkStart w:id="40" w:name="_Toc484769807"/>
      <w:bookmarkStart w:id="41" w:name="_Toc491963085"/>
      <w:r>
        <w:rPr>
          <w:rFonts w:hint="eastAsia" w:ascii="宋体" w:hAnsi="宋体" w:eastAsia="宋体"/>
          <w:kern w:val="0"/>
          <w:sz w:val="21"/>
          <w:szCs w:val="21"/>
          <w:highlight w:val="none"/>
        </w:rPr>
        <w:t>4</w:t>
      </w:r>
      <w:r>
        <w:rPr>
          <w:rFonts w:ascii="宋体" w:hAnsi="宋体" w:eastAsia="宋体"/>
          <w:kern w:val="0"/>
          <w:sz w:val="21"/>
          <w:szCs w:val="21"/>
          <w:highlight w:val="none"/>
        </w:rPr>
        <w:t xml:space="preserve">.2 </w:t>
      </w:r>
      <w:r>
        <w:rPr>
          <w:rFonts w:hint="eastAsia" w:ascii="宋体" w:hAnsi="宋体" w:eastAsia="宋体"/>
          <w:kern w:val="0"/>
          <w:sz w:val="21"/>
          <w:szCs w:val="21"/>
          <w:highlight w:val="none"/>
        </w:rPr>
        <w:t>清算损益表</w:t>
      </w:r>
      <w:bookmarkEnd w:id="40"/>
      <w:bookmarkEnd w:id="41"/>
    </w:p>
    <w:tbl>
      <w:tblPr>
        <w:tblStyle w:val="13"/>
        <w:tblW w:w="7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95"/>
        <w:gridCol w:w="4408"/>
      </w:tblGrid>
      <w:tr w14:paraId="2DC2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14:paraId="200AA086">
            <w:pPr>
              <w:pStyle w:val="11"/>
              <w:jc w:val="center"/>
              <w:rPr>
                <w:rFonts w:hint="eastAsia" w:ascii="宋体" w:hAnsi="宋体" w:eastAsia="宋体"/>
                <w:b/>
                <w:color w:val="000000" w:themeColor="text1"/>
                <w:sz w:val="21"/>
                <w:szCs w:val="21"/>
                <w:highlight w:val="none"/>
                <w14:textFill>
                  <w14:solidFill>
                    <w14:schemeClr w14:val="tx1"/>
                  </w14:solidFill>
                </w14:textFill>
              </w:rPr>
            </w:pPr>
            <w:r>
              <w:rPr>
                <w:rFonts w:ascii="宋体" w:hAnsi="宋体" w:eastAsia="宋体"/>
                <w:b/>
                <w:color w:val="000000" w:themeColor="text1"/>
                <w:sz w:val="21"/>
                <w:szCs w:val="21"/>
                <w:highlight w:val="none"/>
                <w14:textFill>
                  <w14:solidFill>
                    <w14:schemeClr w14:val="tx1"/>
                  </w14:solidFill>
                </w14:textFill>
              </w:rPr>
              <w:t>项目</w:t>
            </w:r>
          </w:p>
        </w:tc>
        <w:tc>
          <w:tcPr>
            <w:tcW w:w="4408" w:type="dxa"/>
            <w:vAlign w:val="center"/>
          </w:tcPr>
          <w:p w14:paraId="3E24351D">
            <w:pPr>
              <w:pStyle w:val="11"/>
              <w:spacing w:before="0" w:beforeAutospacing="0" w:after="0" w:afterAutospacing="0"/>
              <w:jc w:val="center"/>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202</w:t>
            </w:r>
            <w:r>
              <w:rPr>
                <w:rFonts w:hint="eastAsia" w:ascii="宋体" w:hAnsi="宋体" w:eastAsia="宋体"/>
                <w:b/>
                <w:color w:val="000000" w:themeColor="text1"/>
                <w:sz w:val="21"/>
                <w:szCs w:val="21"/>
                <w:highlight w:val="none"/>
                <w:lang w:val="en-US" w:eastAsia="zh-CN"/>
                <w14:textFill>
                  <w14:solidFill>
                    <w14:schemeClr w14:val="tx1"/>
                  </w14:solidFill>
                </w14:textFill>
              </w:rPr>
              <w:t>5</w:t>
            </w:r>
            <w:r>
              <w:rPr>
                <w:rFonts w:hint="eastAsia" w:ascii="宋体" w:hAnsi="宋体" w:eastAsia="宋体"/>
                <w:b/>
                <w:color w:val="000000" w:themeColor="text1"/>
                <w:sz w:val="21"/>
                <w:szCs w:val="21"/>
                <w:highlight w:val="none"/>
                <w:lang w:eastAsia="zh-CN"/>
                <w14:textFill>
                  <w14:solidFill>
                    <w14:schemeClr w14:val="tx1"/>
                  </w14:solidFill>
                </w14:textFill>
              </w:rPr>
              <w:t>年</w:t>
            </w:r>
            <w:r>
              <w:rPr>
                <w:rFonts w:hint="eastAsia" w:ascii="宋体" w:hAnsi="宋体" w:eastAsia="宋体"/>
                <w:b/>
                <w:color w:val="000000" w:themeColor="text1"/>
                <w:sz w:val="21"/>
                <w:szCs w:val="21"/>
                <w:highlight w:val="none"/>
                <w:lang w:val="en-US" w:eastAsia="zh-CN"/>
                <w14:textFill>
                  <w14:solidFill>
                    <w14:schemeClr w14:val="tx1"/>
                  </w14:solidFill>
                </w14:textFill>
              </w:rPr>
              <w:t>1</w:t>
            </w:r>
            <w:r>
              <w:rPr>
                <w:rFonts w:hint="eastAsia" w:ascii="宋体" w:hAnsi="宋体" w:eastAsia="宋体"/>
                <w:b/>
                <w:color w:val="000000" w:themeColor="text1"/>
                <w:sz w:val="21"/>
                <w:szCs w:val="21"/>
                <w:highlight w:val="none"/>
                <w:lang w:eastAsia="zh-CN"/>
                <w14:textFill>
                  <w14:solidFill>
                    <w14:schemeClr w14:val="tx1"/>
                  </w14:solidFill>
                </w14:textFill>
              </w:rPr>
              <w:t>月2</w:t>
            </w:r>
            <w:r>
              <w:rPr>
                <w:rFonts w:hint="eastAsia" w:ascii="宋体" w:hAnsi="宋体" w:eastAsia="宋体"/>
                <w:b/>
                <w:color w:val="000000" w:themeColor="text1"/>
                <w:sz w:val="21"/>
                <w:szCs w:val="21"/>
                <w:highlight w:val="none"/>
                <w:lang w:val="en-US" w:eastAsia="zh-CN"/>
                <w14:textFill>
                  <w14:solidFill>
                    <w14:schemeClr w14:val="tx1"/>
                  </w14:solidFill>
                </w14:textFill>
              </w:rPr>
              <w:t>8</w:t>
            </w:r>
            <w:r>
              <w:rPr>
                <w:rFonts w:hint="eastAsia" w:ascii="宋体" w:hAnsi="宋体" w:eastAsia="宋体"/>
                <w:b/>
                <w:color w:val="000000" w:themeColor="text1"/>
                <w:sz w:val="21"/>
                <w:szCs w:val="21"/>
                <w:highlight w:val="none"/>
                <w:lang w:eastAsia="zh-CN"/>
                <w14:textFill>
                  <w14:solidFill>
                    <w14:schemeClr w14:val="tx1"/>
                  </w14:solidFill>
                </w14:textFill>
              </w:rPr>
              <w:t>日至202</w:t>
            </w:r>
            <w:r>
              <w:rPr>
                <w:rFonts w:hint="eastAsia" w:ascii="宋体" w:hAnsi="宋体" w:eastAsia="宋体"/>
                <w:b/>
                <w:color w:val="000000" w:themeColor="text1"/>
                <w:sz w:val="21"/>
                <w:szCs w:val="21"/>
                <w:highlight w:val="none"/>
                <w:lang w:val="en-US" w:eastAsia="zh-CN"/>
                <w14:textFill>
                  <w14:solidFill>
                    <w14:schemeClr w14:val="tx1"/>
                  </w14:solidFill>
                </w14:textFill>
              </w:rPr>
              <w:t>5</w:t>
            </w:r>
            <w:r>
              <w:rPr>
                <w:rFonts w:hint="eastAsia" w:ascii="宋体" w:hAnsi="宋体" w:eastAsia="宋体"/>
                <w:b/>
                <w:color w:val="000000" w:themeColor="text1"/>
                <w:sz w:val="21"/>
                <w:szCs w:val="21"/>
                <w:highlight w:val="none"/>
                <w:lang w:eastAsia="zh-CN"/>
                <w14:textFill>
                  <w14:solidFill>
                    <w14:schemeClr w14:val="tx1"/>
                  </w14:solidFill>
                </w14:textFill>
              </w:rPr>
              <w:t>年</w:t>
            </w:r>
            <w:r>
              <w:rPr>
                <w:rFonts w:hint="eastAsia" w:ascii="宋体" w:hAnsi="宋体" w:eastAsia="宋体"/>
                <w:b/>
                <w:color w:val="000000" w:themeColor="text1"/>
                <w:sz w:val="21"/>
                <w:szCs w:val="21"/>
                <w:highlight w:val="none"/>
                <w:lang w:val="en-US" w:eastAsia="zh-CN"/>
                <w14:textFill>
                  <w14:solidFill>
                    <w14:schemeClr w14:val="tx1"/>
                  </w14:solidFill>
                </w14:textFill>
              </w:rPr>
              <w:t>2</w:t>
            </w:r>
            <w:r>
              <w:rPr>
                <w:rFonts w:hint="eastAsia" w:ascii="宋体" w:hAnsi="宋体" w:eastAsia="宋体"/>
                <w:b/>
                <w:color w:val="000000" w:themeColor="text1"/>
                <w:sz w:val="21"/>
                <w:szCs w:val="21"/>
                <w:highlight w:val="none"/>
                <w:lang w:eastAsia="zh-CN"/>
                <w14:textFill>
                  <w14:solidFill>
                    <w14:schemeClr w14:val="tx1"/>
                  </w14:solidFill>
                </w14:textFill>
              </w:rPr>
              <w:t>月</w:t>
            </w:r>
            <w:r>
              <w:rPr>
                <w:rFonts w:hint="eastAsia" w:ascii="宋体" w:hAnsi="宋体" w:eastAsia="宋体"/>
                <w:b/>
                <w:color w:val="000000" w:themeColor="text1"/>
                <w:sz w:val="21"/>
                <w:szCs w:val="21"/>
                <w:highlight w:val="none"/>
                <w:lang w:val="en-US" w:eastAsia="zh-CN"/>
                <w14:textFill>
                  <w14:solidFill>
                    <w14:schemeClr w14:val="tx1"/>
                  </w14:solidFill>
                </w14:textFill>
              </w:rPr>
              <w:t>21</w:t>
            </w:r>
            <w:r>
              <w:rPr>
                <w:rFonts w:hint="eastAsia" w:ascii="宋体" w:hAnsi="宋体" w:eastAsia="宋体"/>
                <w:b/>
                <w:color w:val="000000" w:themeColor="text1"/>
                <w:sz w:val="21"/>
                <w:szCs w:val="21"/>
                <w:highlight w:val="none"/>
                <w:lang w:eastAsia="zh-CN"/>
                <w14:textFill>
                  <w14:solidFill>
                    <w14:schemeClr w14:val="tx1"/>
                  </w14:solidFill>
                </w14:textFill>
              </w:rPr>
              <w:t>日</w:t>
            </w:r>
          </w:p>
          <w:p w14:paraId="2F074EAD">
            <w:pPr>
              <w:pStyle w:val="11"/>
              <w:spacing w:before="0" w:beforeAutospacing="0" w:after="0" w:afterAutospacing="0"/>
              <w:jc w:val="center"/>
              <w:rPr>
                <w:rFonts w:hint="eastAsia"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（清算期间）</w:t>
            </w:r>
          </w:p>
        </w:tc>
      </w:tr>
      <w:tr w14:paraId="7E859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495" w:type="dxa"/>
            <w:vAlign w:val="center"/>
          </w:tcPr>
          <w:p w14:paraId="78BBE258">
            <w:pPr>
              <w:rPr>
                <w:rFonts w:hint="eastAsia" w:ascii="宋体" w:hAnsi="宋体"/>
                <w:b/>
                <w:color w:val="000000" w:themeColor="text1"/>
                <w:szCs w:val="21"/>
                <w:highlight w:val="none"/>
                <w14:textFill>
                  <w14:solidFill>
                    <w14:schemeClr w14:val="tx1"/>
                  </w14:solidFill>
                </w14:textFill>
              </w:rPr>
            </w:pPr>
            <w:r>
              <w:rPr>
                <w:rFonts w:hint="eastAsia"/>
                <w:b/>
                <w:bCs/>
                <w:color w:val="000000"/>
                <w:szCs w:val="21"/>
                <w:highlight w:val="none"/>
              </w:rPr>
              <w:t>一、清算收益</w:t>
            </w:r>
          </w:p>
        </w:tc>
        <w:tc>
          <w:tcPr>
            <w:tcW w:w="4408" w:type="dxa"/>
          </w:tcPr>
          <w:p w14:paraId="45FEE0F1">
            <w:pPr>
              <w:ind w:left="-80"/>
              <w:jc w:val="right"/>
              <w:rPr>
                <w:rFonts w:ascii="Arial" w:hAnsi="Arial" w:cs="Arial"/>
                <w:b/>
                <w:bCs/>
                <w:color w:val="000000"/>
                <w:sz w:val="24"/>
                <w:highlight w:val="none"/>
              </w:rPr>
            </w:pPr>
            <w:r>
              <w:rPr>
                <w:rFonts w:hint="eastAsia"/>
                <w:highlight w:val="none"/>
              </w:rPr>
              <w:t>19,295.28</w:t>
            </w:r>
          </w:p>
        </w:tc>
      </w:tr>
      <w:tr w14:paraId="0C29F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14:paraId="2F51B005">
            <w:pPr>
              <w:rPr>
                <w:rFonts w:hint="eastAsia" w:ascii="宋体" w:hAnsi="宋体"/>
                <w:color w:val="000000" w:themeColor="text1"/>
                <w:szCs w:val="21"/>
                <w:highlight w:val="none"/>
                <w14:textFill>
                  <w14:solidFill>
                    <w14:schemeClr w14:val="tx1"/>
                  </w14:solidFill>
                </w14:textFill>
              </w:rPr>
            </w:pPr>
            <w:r>
              <w:rPr>
                <w:color w:val="000000"/>
                <w:szCs w:val="21"/>
                <w:highlight w:val="none"/>
              </w:rPr>
              <w:t>1.</w:t>
            </w:r>
            <w:r>
              <w:rPr>
                <w:color w:val="000000"/>
                <w:sz w:val="14"/>
                <w:szCs w:val="14"/>
                <w:highlight w:val="none"/>
              </w:rPr>
              <w:t xml:space="preserve">  </w:t>
            </w:r>
            <w:r>
              <w:rPr>
                <w:rFonts w:hint="eastAsia"/>
                <w:color w:val="000000"/>
                <w:szCs w:val="21"/>
                <w:highlight w:val="none"/>
              </w:rPr>
              <w:t>利息收入</w:t>
            </w:r>
          </w:p>
        </w:tc>
        <w:tc>
          <w:tcPr>
            <w:tcW w:w="4408" w:type="dxa"/>
          </w:tcPr>
          <w:p w14:paraId="1C104B9A">
            <w:pPr>
              <w:ind w:left="-80"/>
              <w:jc w:val="right"/>
              <w:rPr>
                <w:rFonts w:ascii="Arial" w:hAnsi="Arial" w:cs="Arial"/>
                <w:color w:val="000000"/>
                <w:sz w:val="24"/>
                <w:highlight w:val="none"/>
              </w:rPr>
            </w:pPr>
            <w:r>
              <w:rPr>
                <w:rFonts w:hint="eastAsia"/>
                <w:highlight w:val="none"/>
              </w:rPr>
              <w:t>16,097.80</w:t>
            </w:r>
          </w:p>
        </w:tc>
      </w:tr>
      <w:tr w14:paraId="7731D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14:paraId="75BA61AF">
            <w:pPr>
              <w:rPr>
                <w:rFonts w:hint="eastAsia" w:ascii="宋体" w:hAnsi="宋体"/>
                <w:color w:val="000000" w:themeColor="text1"/>
                <w:szCs w:val="21"/>
                <w:highlight w:val="none"/>
                <w14:textFill>
                  <w14:solidFill>
                    <w14:schemeClr w14:val="tx1"/>
                  </w14:solidFill>
                </w14:textFill>
              </w:rPr>
            </w:pPr>
            <w:r>
              <w:rPr>
                <w:color w:val="000000"/>
                <w:szCs w:val="21"/>
                <w:highlight w:val="none"/>
              </w:rPr>
              <w:t>2.</w:t>
            </w:r>
            <w:r>
              <w:rPr>
                <w:color w:val="000000"/>
                <w:sz w:val="14"/>
                <w:szCs w:val="14"/>
                <w:highlight w:val="none"/>
              </w:rPr>
              <w:t xml:space="preserve">  </w:t>
            </w:r>
            <w:r>
              <w:rPr>
                <w:rFonts w:hint="eastAsia"/>
                <w:color w:val="000000"/>
                <w:szCs w:val="21"/>
                <w:highlight w:val="none"/>
              </w:rPr>
              <w:t>其他收入</w:t>
            </w:r>
          </w:p>
        </w:tc>
        <w:tc>
          <w:tcPr>
            <w:tcW w:w="4408" w:type="dxa"/>
          </w:tcPr>
          <w:p w14:paraId="15E80593">
            <w:pPr>
              <w:ind w:left="-80"/>
              <w:jc w:val="right"/>
              <w:rPr>
                <w:rFonts w:ascii="Arial" w:hAnsi="Arial" w:cs="Arial"/>
                <w:color w:val="000000"/>
                <w:sz w:val="24"/>
                <w:highlight w:val="none"/>
              </w:rPr>
            </w:pPr>
            <w:r>
              <w:rPr>
                <w:rFonts w:hint="eastAsia"/>
                <w:highlight w:val="none"/>
              </w:rPr>
              <w:t>22.33</w:t>
            </w:r>
          </w:p>
        </w:tc>
      </w:tr>
      <w:tr w14:paraId="749BF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14:paraId="3CE007B4">
            <w:pPr>
              <w:rPr>
                <w:color w:val="000000"/>
                <w:szCs w:val="21"/>
                <w:highlight w:val="none"/>
              </w:rPr>
            </w:pPr>
            <w:r>
              <w:rPr>
                <w:color w:val="000000"/>
                <w:szCs w:val="21"/>
                <w:highlight w:val="none"/>
              </w:rPr>
              <w:t xml:space="preserve">3. </w:t>
            </w:r>
            <w:r>
              <w:rPr>
                <w:rFonts w:hint="eastAsia"/>
                <w:color w:val="000000"/>
                <w:szCs w:val="21"/>
                <w:highlight w:val="none"/>
              </w:rPr>
              <w:t>公允价值变动损益</w:t>
            </w:r>
          </w:p>
        </w:tc>
        <w:tc>
          <w:tcPr>
            <w:tcW w:w="4408" w:type="dxa"/>
          </w:tcPr>
          <w:p w14:paraId="2EA0220A">
            <w:pPr>
              <w:ind w:left="-80"/>
              <w:jc w:val="right"/>
              <w:rPr>
                <w:rFonts w:hint="eastAsia" w:ascii="Arial" w:hAnsi="Arial" w:eastAsia="宋体" w:cs="Arial"/>
                <w:color w:val="000000"/>
                <w:sz w:val="24"/>
                <w:highlight w:val="none"/>
                <w:lang w:eastAsia="zh-CN"/>
              </w:rPr>
            </w:pPr>
            <w:r>
              <w:rPr>
                <w:rFonts w:hint="eastAsia"/>
                <w:highlight w:val="none"/>
              </w:rPr>
              <w:t>90.00</w:t>
            </w:r>
          </w:p>
        </w:tc>
      </w:tr>
      <w:tr w14:paraId="655CF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3495" w:type="dxa"/>
            <w:vAlign w:val="center"/>
          </w:tcPr>
          <w:p w14:paraId="7BD6CE33">
            <w:pPr>
              <w:rPr>
                <w:color w:val="000000"/>
                <w:szCs w:val="21"/>
                <w:highlight w:val="none"/>
              </w:rPr>
            </w:pPr>
            <w:r>
              <w:rPr>
                <w:color w:val="000000"/>
                <w:szCs w:val="21"/>
                <w:highlight w:val="none"/>
              </w:rPr>
              <w:t>4</w:t>
            </w:r>
            <w:r>
              <w:rPr>
                <w:rFonts w:hint="eastAsia"/>
                <w:color w:val="000000"/>
                <w:szCs w:val="21"/>
                <w:highlight w:val="none"/>
              </w:rPr>
              <w:t>．投资收益</w:t>
            </w:r>
          </w:p>
        </w:tc>
        <w:tc>
          <w:tcPr>
            <w:tcW w:w="4408" w:type="dxa"/>
          </w:tcPr>
          <w:p w14:paraId="67DF92BB">
            <w:pPr>
              <w:ind w:left="-80"/>
              <w:jc w:val="right"/>
              <w:rPr>
                <w:rFonts w:ascii="Arial" w:hAnsi="Arial" w:cs="Arial"/>
                <w:color w:val="000000"/>
                <w:sz w:val="24"/>
                <w:highlight w:val="none"/>
              </w:rPr>
            </w:pPr>
            <w:r>
              <w:rPr>
                <w:rFonts w:hint="eastAsia"/>
                <w:highlight w:val="none"/>
              </w:rPr>
              <w:t>3,085.15</w:t>
            </w:r>
          </w:p>
        </w:tc>
      </w:tr>
      <w:tr w14:paraId="1F7A0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14:paraId="39384812">
            <w:pPr>
              <w:rPr>
                <w:rFonts w:hint="eastAsia" w:ascii="宋体" w:hAnsi="宋体"/>
                <w:color w:val="000000" w:themeColor="text1"/>
                <w:szCs w:val="21"/>
                <w:highlight w:val="none"/>
                <w14:textFill>
                  <w14:solidFill>
                    <w14:schemeClr w14:val="tx1"/>
                  </w14:solidFill>
                </w14:textFill>
              </w:rPr>
            </w:pPr>
            <w:r>
              <w:rPr>
                <w:rFonts w:hint="eastAsia"/>
                <w:b/>
                <w:bCs/>
                <w:color w:val="000000"/>
                <w:szCs w:val="21"/>
                <w:highlight w:val="none"/>
              </w:rPr>
              <w:t>二、清算费用</w:t>
            </w:r>
          </w:p>
        </w:tc>
        <w:tc>
          <w:tcPr>
            <w:tcW w:w="4408" w:type="dxa"/>
          </w:tcPr>
          <w:p w14:paraId="123F6C93">
            <w:pPr>
              <w:ind w:left="-80"/>
              <w:jc w:val="right"/>
              <w:rPr>
                <w:rFonts w:hint="eastAsia" w:ascii="Arial" w:hAnsi="Arial" w:eastAsia="宋体" w:cs="Arial"/>
                <w:b/>
                <w:bCs/>
                <w:color w:val="000000"/>
                <w:sz w:val="24"/>
                <w:highlight w:val="none"/>
                <w:lang w:eastAsia="zh-CN"/>
              </w:rPr>
            </w:pPr>
            <w:r>
              <w:rPr>
                <w:rFonts w:hint="eastAsia" w:ascii="Arial" w:hAnsi="Arial" w:cs="Arial"/>
                <w:color w:val="000000"/>
                <w:sz w:val="24"/>
                <w:highlight w:val="none"/>
                <w:lang w:val="en-US" w:eastAsia="zh-CN"/>
              </w:rPr>
              <w:t>-</w:t>
            </w:r>
          </w:p>
        </w:tc>
      </w:tr>
      <w:tr w14:paraId="6633E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14:paraId="15AECAFA">
            <w:pPr>
              <w:rPr>
                <w:rFonts w:hint="eastAsia" w:ascii="宋体" w:hAnsi="宋体"/>
                <w:b/>
                <w:color w:val="000000" w:themeColor="text1"/>
                <w:szCs w:val="21"/>
                <w:highlight w:val="none"/>
                <w14:textFill>
                  <w14:solidFill>
                    <w14:schemeClr w14:val="tx1"/>
                  </w14:solidFill>
                </w14:textFill>
              </w:rPr>
            </w:pPr>
            <w:r>
              <w:rPr>
                <w:rFonts w:hint="eastAsia"/>
                <w:color w:val="000000"/>
                <w:szCs w:val="21"/>
                <w:highlight w:val="none"/>
              </w:rPr>
              <w:t>汇划费</w:t>
            </w:r>
          </w:p>
        </w:tc>
        <w:tc>
          <w:tcPr>
            <w:tcW w:w="4408" w:type="dxa"/>
          </w:tcPr>
          <w:p w14:paraId="671843AB">
            <w:pPr>
              <w:ind w:left="-80"/>
              <w:jc w:val="right"/>
              <w:rPr>
                <w:rFonts w:hint="eastAsia" w:ascii="Arial" w:hAnsi="Arial" w:eastAsia="宋体" w:cs="Arial"/>
                <w:color w:val="000000"/>
                <w:sz w:val="24"/>
                <w:highlight w:val="none"/>
                <w:lang w:eastAsia="zh-CN"/>
              </w:rPr>
            </w:pPr>
            <w:r>
              <w:rPr>
                <w:rFonts w:hint="eastAsia" w:ascii="Arial" w:hAnsi="Arial" w:cs="Arial"/>
                <w:color w:val="000000"/>
                <w:sz w:val="24"/>
                <w:highlight w:val="none"/>
                <w:lang w:val="en-US" w:eastAsia="zh-CN"/>
              </w:rPr>
              <w:t>-</w:t>
            </w:r>
          </w:p>
        </w:tc>
      </w:tr>
      <w:tr w14:paraId="6B22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14:paraId="2F4FCF0C">
            <w:pPr>
              <w:rPr>
                <w:color w:val="000000"/>
                <w:szCs w:val="21"/>
                <w:highlight w:val="none"/>
              </w:rPr>
            </w:pPr>
            <w:r>
              <w:rPr>
                <w:rFonts w:hint="eastAsia"/>
                <w:highlight w:val="none"/>
              </w:rPr>
              <w:t>税金及附加</w:t>
            </w:r>
          </w:p>
        </w:tc>
        <w:tc>
          <w:tcPr>
            <w:tcW w:w="4408" w:type="dxa"/>
          </w:tcPr>
          <w:p w14:paraId="600715FC">
            <w:pPr>
              <w:ind w:left="-80"/>
              <w:jc w:val="right"/>
              <w:rPr>
                <w:rFonts w:hint="eastAsia" w:ascii="Arial" w:hAnsi="Arial" w:eastAsia="宋体" w:cs="Arial"/>
                <w:color w:val="000000"/>
                <w:sz w:val="24"/>
                <w:highlight w:val="none"/>
                <w:lang w:eastAsia="zh-CN"/>
              </w:rPr>
            </w:pPr>
            <w:r>
              <w:rPr>
                <w:rFonts w:hint="eastAsia" w:ascii="Arial" w:hAnsi="Arial" w:cs="Arial"/>
                <w:color w:val="000000"/>
                <w:sz w:val="24"/>
                <w:highlight w:val="none"/>
                <w:lang w:val="en-US" w:eastAsia="zh-CN"/>
              </w:rPr>
              <w:t>-</w:t>
            </w:r>
          </w:p>
        </w:tc>
      </w:tr>
      <w:tr w14:paraId="4806B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vAlign w:val="center"/>
          </w:tcPr>
          <w:p w14:paraId="1A45EC5D">
            <w:pPr>
              <w:rPr>
                <w:color w:val="000000"/>
                <w:szCs w:val="21"/>
                <w:highlight w:val="none"/>
              </w:rPr>
            </w:pPr>
            <w:r>
              <w:rPr>
                <w:rFonts w:hint="eastAsia"/>
                <w:color w:val="000000"/>
                <w:szCs w:val="21"/>
                <w:highlight w:val="none"/>
              </w:rPr>
              <w:t>其他费用</w:t>
            </w:r>
          </w:p>
        </w:tc>
        <w:tc>
          <w:tcPr>
            <w:tcW w:w="4408" w:type="dxa"/>
          </w:tcPr>
          <w:p w14:paraId="348707EF">
            <w:pPr>
              <w:ind w:left="-80"/>
              <w:jc w:val="right"/>
              <w:rPr>
                <w:rFonts w:hint="eastAsia" w:ascii="Arial" w:hAnsi="Arial" w:eastAsia="宋体" w:cs="Arial"/>
                <w:color w:val="000000"/>
                <w:sz w:val="24"/>
                <w:highlight w:val="none"/>
                <w:lang w:val="en-US" w:eastAsia="zh-CN"/>
              </w:rPr>
            </w:pPr>
            <w:r>
              <w:rPr>
                <w:rFonts w:hint="eastAsia" w:ascii="Arial" w:hAnsi="Arial" w:cs="Arial"/>
                <w:color w:val="000000"/>
                <w:sz w:val="24"/>
                <w:highlight w:val="none"/>
                <w:lang w:val="en-US" w:eastAsia="zh-CN"/>
              </w:rPr>
              <w:t>-</w:t>
            </w:r>
          </w:p>
        </w:tc>
      </w:tr>
      <w:tr w14:paraId="015E4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3495" w:type="dxa"/>
            <w:vAlign w:val="center"/>
          </w:tcPr>
          <w:p w14:paraId="2CB09EDD">
            <w:pPr>
              <w:rPr>
                <w:rFonts w:hint="eastAsia" w:ascii="宋体" w:hAnsi="宋体"/>
                <w:color w:val="000000" w:themeColor="text1"/>
                <w:szCs w:val="21"/>
                <w:highlight w:val="none"/>
                <w14:textFill>
                  <w14:solidFill>
                    <w14:schemeClr w14:val="tx1"/>
                  </w14:solidFill>
                </w14:textFill>
              </w:rPr>
            </w:pPr>
            <w:r>
              <w:rPr>
                <w:rFonts w:hint="eastAsia"/>
                <w:b/>
                <w:bCs/>
                <w:color w:val="000000"/>
                <w:szCs w:val="21"/>
                <w:highlight w:val="none"/>
              </w:rPr>
              <w:t>三、清算收益（损失）总额</w:t>
            </w:r>
          </w:p>
        </w:tc>
        <w:tc>
          <w:tcPr>
            <w:tcW w:w="4408" w:type="dxa"/>
            <w:vAlign w:val="center"/>
          </w:tcPr>
          <w:p w14:paraId="2638B0AB">
            <w:pPr>
              <w:ind w:left="-80"/>
              <w:jc w:val="right"/>
              <w:rPr>
                <w:rFonts w:hint="eastAsia" w:ascii="Arial" w:hAnsi="Arial" w:cs="Arial"/>
                <w:b/>
                <w:bCs/>
                <w:color w:val="000000"/>
                <w:sz w:val="24"/>
                <w:highlight w:val="none"/>
              </w:rPr>
            </w:pPr>
            <w:r>
              <w:rPr>
                <w:rFonts w:hint="eastAsia"/>
                <w:highlight w:val="none"/>
              </w:rPr>
              <w:t>19,295.28</w:t>
            </w:r>
          </w:p>
        </w:tc>
      </w:tr>
      <w:tr w14:paraId="350F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shd w:val="clear" w:color="auto" w:fill="auto"/>
            <w:vAlign w:val="center"/>
          </w:tcPr>
          <w:p w14:paraId="136FF176">
            <w:pPr>
              <w:rPr>
                <w:rFonts w:hint="eastAsia" w:ascii="宋体" w:hAnsi="宋体"/>
                <w:color w:val="000000" w:themeColor="text1"/>
                <w:szCs w:val="21"/>
                <w:highlight w:val="none"/>
                <w14:textFill>
                  <w14:solidFill>
                    <w14:schemeClr w14:val="tx1"/>
                  </w14:solidFill>
                </w14:textFill>
              </w:rPr>
            </w:pPr>
            <w:r>
              <w:rPr>
                <w:rFonts w:hint="eastAsia"/>
                <w:color w:val="000000"/>
                <w:szCs w:val="21"/>
                <w:highlight w:val="none"/>
              </w:rPr>
              <w:t>减：所得税费用</w:t>
            </w:r>
          </w:p>
        </w:tc>
        <w:tc>
          <w:tcPr>
            <w:tcW w:w="4408" w:type="dxa"/>
            <w:shd w:val="clear" w:color="auto" w:fill="auto"/>
            <w:vAlign w:val="center"/>
          </w:tcPr>
          <w:p w14:paraId="007A1AB2">
            <w:pPr>
              <w:jc w:val="right"/>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w:t>
            </w:r>
          </w:p>
        </w:tc>
      </w:tr>
      <w:tr w14:paraId="15ACB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95" w:type="dxa"/>
            <w:shd w:val="clear" w:color="auto" w:fill="auto"/>
            <w:vAlign w:val="center"/>
          </w:tcPr>
          <w:p w14:paraId="01D56BF8">
            <w:pPr>
              <w:rPr>
                <w:rFonts w:hint="eastAsia" w:ascii="宋体" w:hAnsi="宋体"/>
                <w:b/>
                <w:color w:val="000000" w:themeColor="text1"/>
                <w:szCs w:val="21"/>
                <w:highlight w:val="none"/>
                <w14:textFill>
                  <w14:solidFill>
                    <w14:schemeClr w14:val="tx1"/>
                  </w14:solidFill>
                </w14:textFill>
              </w:rPr>
            </w:pPr>
            <w:r>
              <w:rPr>
                <w:rFonts w:hint="eastAsia"/>
                <w:b/>
                <w:bCs/>
                <w:color w:val="000000"/>
                <w:szCs w:val="21"/>
                <w:highlight w:val="none"/>
              </w:rPr>
              <w:t>四、清算净收益（损失）</w:t>
            </w:r>
          </w:p>
        </w:tc>
        <w:tc>
          <w:tcPr>
            <w:tcW w:w="4408" w:type="dxa"/>
            <w:shd w:val="clear" w:color="auto" w:fill="auto"/>
            <w:vAlign w:val="center"/>
          </w:tcPr>
          <w:p w14:paraId="246C6E58">
            <w:pPr>
              <w:ind w:left="-80"/>
              <w:jc w:val="right"/>
              <w:rPr>
                <w:rFonts w:ascii="Arial" w:hAnsi="Arial" w:cs="Arial"/>
                <w:b/>
                <w:bCs/>
                <w:color w:val="000000"/>
                <w:sz w:val="24"/>
                <w:highlight w:val="none"/>
              </w:rPr>
            </w:pPr>
            <w:r>
              <w:rPr>
                <w:rFonts w:hint="eastAsia"/>
                <w:highlight w:val="none"/>
              </w:rPr>
              <w:t>19,295.28</w:t>
            </w:r>
          </w:p>
        </w:tc>
      </w:tr>
    </w:tbl>
    <w:p w14:paraId="3C51F615">
      <w:pPr>
        <w:pStyle w:val="24"/>
        <w:rPr>
          <w:b/>
          <w:highlight w:val="none"/>
        </w:rPr>
      </w:pPr>
      <w:bookmarkStart w:id="42" w:name="_Toc484769808"/>
      <w:bookmarkStart w:id="43" w:name="_Toc483396840"/>
      <w:bookmarkStart w:id="44" w:name="_Toc484607313"/>
      <w:r>
        <w:rPr>
          <w:rFonts w:hint="eastAsia"/>
          <w:highlight w:val="none"/>
        </w:rPr>
        <w:t>注：1.利息收入系以当前适用的利率预估计提的自202</w:t>
      </w:r>
      <w:r>
        <w:rPr>
          <w:rFonts w:hint="eastAsia"/>
          <w:highlight w:val="none"/>
          <w:lang w:val="en-US" w:eastAsia="zh-CN"/>
        </w:rPr>
        <w:t>5</w:t>
      </w:r>
      <w:r>
        <w:rPr>
          <w:rFonts w:hint="eastAsia"/>
          <w:highlight w:val="none"/>
        </w:rPr>
        <w:t>年</w:t>
      </w:r>
      <w:r>
        <w:rPr>
          <w:rFonts w:hint="eastAsia"/>
          <w:highlight w:val="none"/>
          <w:lang w:val="en-US" w:eastAsia="zh-CN"/>
        </w:rPr>
        <w:t>1</w:t>
      </w:r>
      <w:r>
        <w:rPr>
          <w:rFonts w:hint="eastAsia"/>
          <w:highlight w:val="none"/>
        </w:rPr>
        <w:t>月</w:t>
      </w:r>
      <w:r>
        <w:rPr>
          <w:rFonts w:hint="eastAsia"/>
          <w:highlight w:val="none"/>
          <w:lang w:val="en-US" w:eastAsia="zh-CN"/>
        </w:rPr>
        <w:t>28</w:t>
      </w:r>
      <w:r>
        <w:rPr>
          <w:rFonts w:hint="eastAsia"/>
          <w:highlight w:val="none"/>
        </w:rPr>
        <w:t>日至202</w:t>
      </w:r>
      <w:r>
        <w:rPr>
          <w:rFonts w:hint="eastAsia"/>
          <w:highlight w:val="none"/>
          <w:lang w:val="en-US" w:eastAsia="zh-CN"/>
        </w:rPr>
        <w:t>5</w:t>
      </w:r>
      <w:r>
        <w:rPr>
          <w:rFonts w:hint="eastAsia"/>
          <w:highlight w:val="none"/>
        </w:rPr>
        <w:t>年</w:t>
      </w:r>
      <w:r>
        <w:rPr>
          <w:rFonts w:hint="eastAsia"/>
          <w:highlight w:val="none"/>
          <w:lang w:val="en-US" w:eastAsia="zh-CN"/>
        </w:rPr>
        <w:t>2月21日</w:t>
      </w:r>
      <w:r>
        <w:rPr>
          <w:rFonts w:hint="eastAsia"/>
          <w:highlight w:val="none"/>
        </w:rPr>
        <w:t>止清算期间的活期存款、清算备付金和结算保证金利息；</w:t>
      </w:r>
    </w:p>
    <w:p w14:paraId="74D773CA">
      <w:pPr>
        <w:pStyle w:val="3"/>
        <w:spacing w:before="0" w:after="0"/>
        <w:rPr>
          <w:rFonts w:ascii="宋体" w:hAnsi="宋体" w:eastAsia="宋体"/>
          <w:kern w:val="0"/>
          <w:sz w:val="21"/>
          <w:szCs w:val="21"/>
          <w:highlight w:val="none"/>
        </w:rPr>
      </w:pPr>
      <w:bookmarkStart w:id="45" w:name="_Toc491963086"/>
      <w:r>
        <w:rPr>
          <w:rFonts w:hint="eastAsia" w:ascii="宋体" w:hAnsi="宋体" w:eastAsia="宋体"/>
          <w:kern w:val="0"/>
          <w:sz w:val="21"/>
          <w:szCs w:val="21"/>
          <w:highlight w:val="none"/>
        </w:rPr>
        <w:t>4.3</w:t>
      </w:r>
      <w:r>
        <w:rPr>
          <w:rFonts w:ascii="宋体" w:hAnsi="宋体" w:eastAsia="宋体"/>
          <w:kern w:val="0"/>
          <w:sz w:val="21"/>
          <w:szCs w:val="21"/>
          <w:highlight w:val="none"/>
        </w:rPr>
        <w:t xml:space="preserve"> </w:t>
      </w:r>
      <w:r>
        <w:rPr>
          <w:rFonts w:hint="eastAsia" w:ascii="宋体" w:hAnsi="宋体" w:eastAsia="宋体"/>
          <w:kern w:val="0"/>
          <w:sz w:val="21"/>
          <w:szCs w:val="21"/>
          <w:highlight w:val="none"/>
        </w:rPr>
        <w:t>报表附注</w:t>
      </w:r>
      <w:bookmarkEnd w:id="42"/>
      <w:bookmarkEnd w:id="43"/>
      <w:bookmarkEnd w:id="44"/>
      <w:bookmarkEnd w:id="45"/>
    </w:p>
    <w:p w14:paraId="2DECB639">
      <w:pPr>
        <w:spacing w:line="360" w:lineRule="auto"/>
        <w:rPr>
          <w:rFonts w:ascii="宋体" w:hAnsi="宋体"/>
          <w:b/>
          <w:szCs w:val="21"/>
          <w:highlight w:val="none"/>
        </w:rPr>
      </w:pPr>
      <w:r>
        <w:rPr>
          <w:rFonts w:ascii="宋体" w:hAnsi="宋体"/>
          <w:b/>
          <w:szCs w:val="21"/>
          <w:highlight w:val="none"/>
        </w:rPr>
        <w:t>4.3.</w:t>
      </w:r>
      <w:r>
        <w:rPr>
          <w:rFonts w:hint="eastAsia" w:ascii="宋体" w:hAnsi="宋体"/>
          <w:b/>
          <w:szCs w:val="21"/>
          <w:highlight w:val="none"/>
        </w:rPr>
        <w:t>1基金基本情况</w:t>
      </w:r>
    </w:p>
    <w:p w14:paraId="2743038F">
      <w:pPr>
        <w:pStyle w:val="24"/>
        <w:spacing w:line="360" w:lineRule="auto"/>
        <w:ind w:left="0" w:leftChars="0" w:firstLine="420" w:firstLineChars="200"/>
        <w:rPr>
          <w:rFonts w:hint="eastAsia"/>
          <w:highlight w:val="none"/>
        </w:rPr>
      </w:pPr>
      <w:r>
        <w:rPr>
          <w:rFonts w:hint="eastAsia"/>
          <w:highlight w:val="none"/>
        </w:rPr>
        <w:t>本基金经中国证监会证监许可[2020]184号《关于准予博时荣升稳健添利18个月定期开放混合型证券投资基金注册的批复》核准，由博时基金管理有限公司依照《中华人民共和国证券投资基金法》和《基金合同》负责公开募集。本基金为契约型、定期开放式，存续期限不定，首次设立募集不包括认购资金利息共募集人民币922,952,432.47元，业经普华永道中天会计师事务所(特殊普通合伙)普华永道中天验字(2020)第0345号验资报告予以验证。经向中国证监会备案，《基金合同》于2020年4月29日正式生效，基金合同生效日的基金份额总额为923,579,757.26份基金份额，其中认购资金利息折合627,324.79份基金份额。本基金的基金管理人为博时基金管理有限公司，基金托管人为中国邮政储蓄银行股份有限公司。</w:t>
      </w:r>
    </w:p>
    <w:p w14:paraId="309A4340">
      <w:pPr>
        <w:pStyle w:val="24"/>
        <w:spacing w:line="360" w:lineRule="auto"/>
        <w:ind w:left="0" w:leftChars="0" w:firstLine="420" w:firstLineChars="200"/>
        <w:rPr>
          <w:rFonts w:hint="eastAsia"/>
          <w:highlight w:val="none"/>
        </w:rPr>
      </w:pPr>
      <w:r>
        <w:rPr>
          <w:rFonts w:hint="eastAsia"/>
          <w:highlight w:val="none"/>
        </w:rPr>
        <w:t>根据《基金合同》，本基金根据认购/申购费用、销售服务费收取方式的不同，将基金份额分为不同的类别。在投资者认购、申购时收取认购、申购费用，不从本类别基金资产中计提销售服务费的基金份额，称为A类基金份额；从本类别基金资产中计提销售服务费、不收取认购/申购费用的基金份额，称为C类基金份额。本基金A类和C类基金份额分别设置代码。由于基金费用的不同，本基金A类基金份额和C类基金份额将分别计算基金份额净值，计算公式为计算日各类别基金资产净值除以计算日发售在外的该类别基金份额总数。</w:t>
      </w:r>
    </w:p>
    <w:p w14:paraId="3ABA5F88">
      <w:pPr>
        <w:pStyle w:val="24"/>
        <w:spacing w:line="360" w:lineRule="auto"/>
        <w:ind w:left="0" w:leftChars="0" w:firstLine="420" w:firstLineChars="200"/>
        <w:rPr>
          <w:rFonts w:hint="eastAsia"/>
          <w:highlight w:val="none"/>
        </w:rPr>
      </w:pPr>
      <w:r>
        <w:rPr>
          <w:rFonts w:hint="eastAsia"/>
          <w:highlight w:val="none"/>
        </w:rPr>
        <w:t>本基金以定期开放的方式运作，即采用封闭运作和开放运作交替循环的方式。自基金合同生效之日起(包括基金合同生效日)或者每一个开放期结束之日次日起(包括该日)18个月的期间内，本基金采取封闭运作模式。本基金封闭期内不办理申购与赎回业务，也不上市交易。</w:t>
      </w:r>
      <w:r>
        <w:rPr>
          <w:rFonts w:hint="eastAsia"/>
        </w:rPr>
        <w:t>除基金合同另有约定外</w:t>
      </w:r>
      <w:r>
        <w:rPr>
          <w:rFonts w:hint="eastAsia"/>
          <w:lang w:eastAsia="zh-CN"/>
        </w:rPr>
        <w:t>，</w:t>
      </w:r>
      <w:r>
        <w:rPr>
          <w:rFonts w:hint="eastAsia"/>
          <w:highlight w:val="none"/>
        </w:rPr>
        <w:t>一个封闭期结束后，本基金即进入开放期，开放期的期限为自封闭期结束之日后第一个工作日起(含该日)一至二十个工作日，具体期间由基金管理人在封闭期结束前公告说明，但在开放期内，基金管理人有权延长开放期时间并公告，但开放期最长不可超过20个工作日。开放期内，本基金采取开放运作模式，投资人可办理基金份额申购、赎回或其他业务。开放期未赎回的份额将自动转入下一个封闭期。</w:t>
      </w:r>
    </w:p>
    <w:p w14:paraId="47D0946F">
      <w:pPr>
        <w:pStyle w:val="24"/>
        <w:spacing w:line="360" w:lineRule="auto"/>
        <w:ind w:left="0" w:leftChars="0" w:firstLine="420" w:firstLineChars="200"/>
        <w:rPr>
          <w:rFonts w:hint="eastAsia"/>
          <w:highlight w:val="none"/>
        </w:rPr>
      </w:pPr>
      <w:r>
        <w:rPr>
          <w:rFonts w:hint="eastAsia"/>
          <w:highlight w:val="none"/>
        </w:rPr>
        <w:t>根据《中华人民共和国证券投资基金法》和《基金合同》的有关规定，本基金的投资范围为具有良好流动性的金融工具，包括债券(国债、金融债、企业债、公司债、地方政府债、政府支持机构债券、可转换债券(含分离交易可转债)、可交换债、央行票据、中期票据、短期融资券、超短期融资券、公开发行的次级债、二级资本债等)、资产支持证券、债券回购、银行存款、同业存单、货币市场工具，以及依法发行上市的股票(包括中小板、创业板及其他经中国证监会核准或注册上市的股票或港股通机制下允许投资的香港联合交易所上市的股票(以下简称“港股通标的股票”)、存托凭证)、股指期货、国债期货、股票期权及法律法规或中国证监会允许基金投资的其他金融工具(但须符合中国证监会相关规定)。本基金可根据相关法律法规和基金合同的约定参与融资业务。本基金可参与一级市场的新股申购及增发，亦可在封闭期内通过战略配售的方式进行股票投资。基金的投资组合比例为：股票(含存托凭证)占基金资产的比例不高于30%，港股通标的股票的投资比例为股票资产的0%-50%。在开放期内，每个交易日日终在扣除股指期货合约、国债期货合约、股票期权合约需缴纳的交易保证金后，保持不低于基金资产净值5％的现金或者到期日在一年以内的政府债券；在封闭期内，每个交易日日终在扣除股指期货合约、国债期货合约、股票期权合约需缴纳的交易保证金后，应当保持不低于交易保证金一倍的现金；其中，现金不包括结算备付金、存出保证金、应收申购款等。本基金的业绩比较基准为：中债综合财富(总值)指数收益率×85%+沪深300指数收益率×10%+恒生综合指数收益率×5%。</w:t>
      </w:r>
    </w:p>
    <w:p w14:paraId="636922DE">
      <w:pPr>
        <w:pStyle w:val="24"/>
        <w:spacing w:line="360" w:lineRule="auto"/>
        <w:ind w:left="0" w:leftChars="0" w:firstLine="0" w:firstLineChars="0"/>
        <w:rPr>
          <w:b/>
          <w:highlight w:val="none"/>
        </w:rPr>
      </w:pPr>
      <w:r>
        <w:rPr>
          <w:b/>
          <w:highlight w:val="none"/>
        </w:rPr>
        <w:t>4.3.</w:t>
      </w:r>
      <w:r>
        <w:rPr>
          <w:rFonts w:hint="eastAsia"/>
          <w:b/>
          <w:highlight w:val="none"/>
        </w:rPr>
        <w:t>2清算原因</w:t>
      </w:r>
    </w:p>
    <w:p w14:paraId="64D6ED61">
      <w:pPr>
        <w:spacing w:line="360" w:lineRule="auto"/>
        <w:ind w:firstLine="420" w:firstLineChars="200"/>
        <w:rPr>
          <w:rFonts w:hint="eastAsia" w:ascii="宋体" w:hAnsi="宋体"/>
          <w:b/>
          <w:szCs w:val="21"/>
          <w:highlight w:val="none"/>
        </w:rPr>
      </w:pPr>
      <w:r>
        <w:rPr>
          <w:rFonts w:hint="eastAsia" w:eastAsiaTheme="minorEastAsia"/>
          <w:highlight w:val="none"/>
        </w:rPr>
        <w:t>根据《基金合同》、本基金基金份额持有人大会于2025年1月22日表决通过的《关于终止博时荣升稳健添利18个月定期开放混合型证券投资基金</w:t>
      </w:r>
      <w:r>
        <w:rPr>
          <w:rFonts w:hint="eastAsia" w:eastAsiaTheme="minorEastAsia"/>
        </w:rPr>
        <w:t>基金</w:t>
      </w:r>
      <w:r>
        <w:rPr>
          <w:rFonts w:hint="eastAsia" w:eastAsiaTheme="minorEastAsia"/>
          <w:highlight w:val="none"/>
        </w:rPr>
        <w:t>合同有关事项的议案》以及博时基金管理有限公司于2025年1月23日发布的《博时基金管理有限公司关于博时荣升稳健添利18个月定期开放混合型证券投资基金基金份额持有人大会表决结果暨决议生效的公告》，本基金的最后运作日定为2025年1月27日，并于2025年1月28日进入财产清算期。</w:t>
      </w:r>
      <w:r>
        <w:rPr>
          <w:rFonts w:ascii="宋体" w:hAnsi="宋体"/>
          <w:b/>
          <w:szCs w:val="21"/>
          <w:highlight w:val="none"/>
        </w:rPr>
        <w:t>4.3.</w:t>
      </w:r>
      <w:r>
        <w:rPr>
          <w:rFonts w:hint="eastAsia" w:ascii="宋体" w:hAnsi="宋体"/>
          <w:b/>
          <w:szCs w:val="21"/>
          <w:highlight w:val="none"/>
        </w:rPr>
        <w:t>3清算起始日</w:t>
      </w:r>
    </w:p>
    <w:p w14:paraId="534C1CF2">
      <w:pPr>
        <w:pStyle w:val="24"/>
        <w:rPr>
          <w:highlight w:val="none"/>
        </w:rPr>
      </w:pPr>
      <w:r>
        <w:rPr>
          <w:rFonts w:hint="eastAsia"/>
          <w:highlight w:val="none"/>
        </w:rPr>
        <w:t>本基金的清算起始日为</w:t>
      </w:r>
      <w:r>
        <w:rPr>
          <w:rFonts w:hint="eastAsia" w:asciiTheme="majorEastAsia" w:hAnsiTheme="majorEastAsia" w:eastAsiaTheme="majorEastAsia"/>
          <w:highlight w:val="none"/>
        </w:rPr>
        <w:t>202</w:t>
      </w:r>
      <w:r>
        <w:rPr>
          <w:rFonts w:hint="eastAsia" w:asciiTheme="majorEastAsia" w:hAnsiTheme="majorEastAsia" w:eastAsiaTheme="majorEastAsia"/>
          <w:highlight w:val="none"/>
          <w:lang w:val="en-US" w:eastAsia="zh-CN"/>
        </w:rPr>
        <w:t>5</w:t>
      </w:r>
      <w:r>
        <w:rPr>
          <w:rFonts w:hint="eastAsia" w:asciiTheme="majorEastAsia" w:hAnsiTheme="majorEastAsia" w:eastAsiaTheme="majorEastAsia"/>
          <w:highlight w:val="none"/>
        </w:rPr>
        <w:t>年</w:t>
      </w:r>
      <w:r>
        <w:rPr>
          <w:rFonts w:hint="eastAsia" w:asciiTheme="majorEastAsia" w:hAnsiTheme="majorEastAsia" w:eastAsiaTheme="majorEastAsia"/>
          <w:highlight w:val="none"/>
          <w:lang w:val="en-US" w:eastAsia="zh-CN"/>
        </w:rPr>
        <w:t>1</w:t>
      </w:r>
      <w:r>
        <w:rPr>
          <w:rFonts w:hint="eastAsia" w:asciiTheme="majorEastAsia" w:hAnsiTheme="majorEastAsia" w:eastAsiaTheme="majorEastAsia"/>
          <w:highlight w:val="none"/>
        </w:rPr>
        <w:t>月2</w:t>
      </w:r>
      <w:r>
        <w:rPr>
          <w:rFonts w:hint="eastAsia" w:asciiTheme="majorEastAsia" w:hAnsiTheme="majorEastAsia" w:eastAsiaTheme="majorEastAsia"/>
          <w:highlight w:val="none"/>
          <w:lang w:val="en-US" w:eastAsia="zh-CN"/>
        </w:rPr>
        <w:t>8</w:t>
      </w:r>
      <w:r>
        <w:rPr>
          <w:rFonts w:hint="eastAsia" w:asciiTheme="majorEastAsia" w:hAnsiTheme="majorEastAsia" w:eastAsiaTheme="majorEastAsia"/>
          <w:highlight w:val="none"/>
        </w:rPr>
        <w:t>日</w:t>
      </w:r>
      <w:r>
        <w:rPr>
          <w:rFonts w:hint="eastAsia"/>
          <w:highlight w:val="none"/>
        </w:rPr>
        <w:t>。</w:t>
      </w:r>
    </w:p>
    <w:p w14:paraId="67F38665">
      <w:pPr>
        <w:spacing w:line="360" w:lineRule="auto"/>
        <w:rPr>
          <w:rFonts w:ascii="宋体" w:hAnsi="宋体"/>
          <w:b/>
          <w:szCs w:val="21"/>
          <w:highlight w:val="none"/>
        </w:rPr>
      </w:pPr>
      <w:r>
        <w:rPr>
          <w:rFonts w:ascii="宋体" w:hAnsi="宋体"/>
          <w:b/>
          <w:szCs w:val="21"/>
          <w:highlight w:val="none"/>
        </w:rPr>
        <w:t>4.3.</w:t>
      </w:r>
      <w:r>
        <w:rPr>
          <w:rFonts w:hint="eastAsia" w:ascii="宋体" w:hAnsi="宋体"/>
          <w:b/>
          <w:szCs w:val="21"/>
          <w:highlight w:val="none"/>
        </w:rPr>
        <w:t>4清算财务报表的编制基础</w:t>
      </w:r>
    </w:p>
    <w:p w14:paraId="7BECD23B">
      <w:pPr>
        <w:spacing w:line="360" w:lineRule="auto"/>
        <w:ind w:firstLine="420" w:firstLineChars="200"/>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如财务报表附注</w:t>
      </w:r>
      <w:r>
        <w:rPr>
          <w:rFonts w:asciiTheme="minorEastAsia" w:hAnsiTheme="minorEastAsia" w:eastAsiaTheme="minorEastAsia"/>
          <w:color w:val="000000"/>
          <w:szCs w:val="21"/>
          <w:highlight w:val="none"/>
        </w:rPr>
        <w:t>4.3.3</w:t>
      </w:r>
      <w:r>
        <w:rPr>
          <w:rFonts w:hint="eastAsia" w:asciiTheme="minorEastAsia" w:hAnsiTheme="minorEastAsia" w:eastAsiaTheme="minorEastAsia"/>
          <w:color w:val="000000"/>
          <w:szCs w:val="21"/>
          <w:highlight w:val="none"/>
        </w:rPr>
        <w:t>所述，自</w:t>
      </w:r>
      <w:r>
        <w:rPr>
          <w:rFonts w:hint="eastAsia" w:asciiTheme="majorEastAsia" w:hAnsiTheme="majorEastAsia" w:eastAsiaTheme="majorEastAsia"/>
          <w:szCs w:val="21"/>
          <w:highlight w:val="none"/>
        </w:rPr>
        <w:t>202</w:t>
      </w:r>
      <w:r>
        <w:rPr>
          <w:rFonts w:hint="eastAsia" w:asciiTheme="majorEastAsia" w:hAnsiTheme="majorEastAsia" w:eastAsiaTheme="majorEastAsia"/>
          <w:szCs w:val="21"/>
          <w:highlight w:val="none"/>
          <w:lang w:val="en-US" w:eastAsia="zh-CN"/>
        </w:rPr>
        <w:t>5</w:t>
      </w:r>
      <w:r>
        <w:rPr>
          <w:rFonts w:hint="eastAsia" w:asciiTheme="majorEastAsia" w:hAnsiTheme="majorEastAsia" w:eastAsiaTheme="majorEastAsia"/>
          <w:szCs w:val="21"/>
          <w:highlight w:val="none"/>
        </w:rPr>
        <w:t>年</w:t>
      </w:r>
      <w:r>
        <w:rPr>
          <w:rFonts w:hint="eastAsia" w:asciiTheme="majorEastAsia" w:hAnsiTheme="majorEastAsia" w:eastAsiaTheme="majorEastAsia"/>
          <w:szCs w:val="21"/>
          <w:highlight w:val="none"/>
          <w:lang w:val="en-US" w:eastAsia="zh-CN"/>
        </w:rPr>
        <w:t>1</w:t>
      </w:r>
      <w:r>
        <w:rPr>
          <w:rFonts w:hint="eastAsia" w:asciiTheme="majorEastAsia" w:hAnsiTheme="majorEastAsia" w:eastAsiaTheme="majorEastAsia"/>
          <w:szCs w:val="21"/>
          <w:highlight w:val="none"/>
        </w:rPr>
        <w:t>月</w:t>
      </w:r>
      <w:r>
        <w:rPr>
          <w:rFonts w:hint="eastAsia" w:asciiTheme="majorEastAsia" w:hAnsiTheme="majorEastAsia" w:eastAsiaTheme="majorEastAsia"/>
          <w:szCs w:val="21"/>
          <w:highlight w:val="none"/>
          <w:lang w:val="en-US" w:eastAsia="zh-CN"/>
        </w:rPr>
        <w:t>28</w:t>
      </w:r>
      <w:r>
        <w:rPr>
          <w:rFonts w:hint="eastAsia" w:asciiTheme="majorEastAsia" w:hAnsiTheme="majorEastAsia" w:eastAsiaTheme="majorEastAsia"/>
          <w:szCs w:val="21"/>
          <w:highlight w:val="none"/>
        </w:rPr>
        <w:t>日</w:t>
      </w:r>
      <w:r>
        <w:rPr>
          <w:rFonts w:hint="eastAsia" w:asciiTheme="minorEastAsia" w:hAnsiTheme="minorEastAsia" w:eastAsiaTheme="minorEastAsia"/>
          <w:color w:val="000000"/>
          <w:szCs w:val="21"/>
          <w:highlight w:val="none"/>
        </w:rPr>
        <w:t>起，本基金进入清算程序，因此本财务报表以清算基础编制。</w:t>
      </w:r>
    </w:p>
    <w:p w14:paraId="2C13CF1D">
      <w:pPr>
        <w:spacing w:line="360" w:lineRule="auto"/>
        <w:ind w:firstLine="420" w:firstLineChars="200"/>
        <w:rPr>
          <w:rFonts w:asciiTheme="minorEastAsia" w:hAnsiTheme="minorEastAsia" w:eastAsiaTheme="minorEastAsia"/>
          <w:color w:val="000000"/>
          <w:szCs w:val="21"/>
          <w:highlight w:val="none"/>
        </w:rPr>
      </w:pPr>
      <w:r>
        <w:rPr>
          <w:rFonts w:asciiTheme="minorEastAsia" w:hAnsiTheme="minorEastAsia" w:eastAsiaTheme="minorEastAsia"/>
          <w:color w:val="000000"/>
          <w:szCs w:val="21"/>
          <w:highlight w:val="none"/>
        </w:rPr>
        <w:t>本基金财务报表按附注</w:t>
      </w:r>
      <w:r>
        <w:rPr>
          <w:rFonts w:hint="eastAsia" w:asciiTheme="minorEastAsia" w:hAnsiTheme="minorEastAsia" w:eastAsiaTheme="minorEastAsia"/>
          <w:color w:val="000000"/>
          <w:szCs w:val="21"/>
          <w:highlight w:val="none"/>
        </w:rPr>
        <w:t>4.3.5</w:t>
      </w:r>
      <w:r>
        <w:rPr>
          <w:rFonts w:asciiTheme="minorEastAsia" w:hAnsiTheme="minorEastAsia" w:eastAsiaTheme="minorEastAsia"/>
          <w:color w:val="000000"/>
          <w:szCs w:val="21"/>
          <w:highlight w:val="none"/>
        </w:rPr>
        <w:t>中所述的</w:t>
      </w:r>
      <w:r>
        <w:rPr>
          <w:rFonts w:hint="eastAsia" w:asciiTheme="minorEastAsia" w:hAnsiTheme="minorEastAsia" w:eastAsiaTheme="minorEastAsia"/>
          <w:color w:val="000000"/>
          <w:szCs w:val="21"/>
          <w:highlight w:val="none"/>
        </w:rPr>
        <w:t>重要</w:t>
      </w:r>
      <w:r>
        <w:rPr>
          <w:rFonts w:asciiTheme="minorEastAsia" w:hAnsiTheme="minorEastAsia" w:eastAsiaTheme="minorEastAsia"/>
          <w:color w:val="000000"/>
          <w:szCs w:val="21"/>
          <w:highlight w:val="none"/>
        </w:rPr>
        <w:t>会计政策和会计估计以清算基础编制。于</w:t>
      </w:r>
      <w:r>
        <w:rPr>
          <w:rFonts w:hint="eastAsia" w:asciiTheme="minorEastAsia" w:hAnsiTheme="minorEastAsia" w:eastAsiaTheme="minorEastAsia"/>
          <w:szCs w:val="21"/>
          <w:highlight w:val="none"/>
        </w:rPr>
        <w:t>20</w:t>
      </w: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lang w:val="en-US" w:eastAsia="zh-CN"/>
        </w:rPr>
        <w:t>5</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27</w:t>
      </w:r>
      <w:r>
        <w:rPr>
          <w:rFonts w:hint="eastAsia" w:asciiTheme="minorEastAsia" w:hAnsiTheme="minorEastAsia" w:eastAsiaTheme="minorEastAsia"/>
          <w:szCs w:val="21"/>
          <w:highlight w:val="none"/>
        </w:rPr>
        <w:t>日</w:t>
      </w:r>
      <w:r>
        <w:rPr>
          <w:rFonts w:asciiTheme="minorEastAsia" w:hAnsiTheme="minorEastAsia" w:eastAsiaTheme="minorEastAsia"/>
          <w:color w:val="000000"/>
          <w:szCs w:val="21"/>
          <w:highlight w:val="none"/>
        </w:rPr>
        <w:t>(</w:t>
      </w:r>
      <w:r>
        <w:rPr>
          <w:rFonts w:hint="eastAsia" w:asciiTheme="minorEastAsia" w:hAnsiTheme="minorEastAsia" w:eastAsiaTheme="minorEastAsia"/>
          <w:color w:val="000000"/>
          <w:szCs w:val="21"/>
          <w:highlight w:val="none"/>
        </w:rPr>
        <w:t>基金最后运作日</w:t>
      </w:r>
      <w:r>
        <w:rPr>
          <w:rFonts w:asciiTheme="minorEastAsia" w:hAnsiTheme="minorEastAsia" w:eastAsiaTheme="minorEastAsia"/>
          <w:color w:val="000000"/>
          <w:szCs w:val="21"/>
          <w:highlight w:val="none"/>
        </w:rPr>
        <w:t>)，所有资产以可收回金额与原账面价值孰低计量，负债以预计需要清偿的金额计量。</w:t>
      </w:r>
    </w:p>
    <w:p w14:paraId="0EF9D929">
      <w:pPr>
        <w:spacing w:line="360" w:lineRule="auto"/>
        <w:ind w:firstLine="420" w:firstLineChars="200"/>
        <w:rPr>
          <w:rFonts w:asciiTheme="minorEastAsia" w:hAnsiTheme="minorEastAsia" w:eastAsiaTheme="minorEastAsia"/>
          <w:color w:val="000000"/>
          <w:szCs w:val="21"/>
          <w:highlight w:val="none"/>
        </w:rPr>
      </w:pPr>
      <w:r>
        <w:rPr>
          <w:rFonts w:hint="eastAsia" w:asciiTheme="minorEastAsia" w:hAnsiTheme="minorEastAsia" w:eastAsiaTheme="minorEastAsia"/>
          <w:color w:val="000000"/>
          <w:szCs w:val="21"/>
          <w:highlight w:val="none"/>
        </w:rPr>
        <w:t>此外，本基金财务报表按照中国证券投资基金业协会(以下简称“中国基金业协会”)颁布的《证券投资基金会计核算业务指引》、《基金合同》约定的资产估值和会计核算方法及在财务报表附注</w:t>
      </w:r>
      <w:r>
        <w:rPr>
          <w:rFonts w:hint="eastAsia" w:asciiTheme="minorEastAsia" w:hAnsiTheme="minorEastAsia" w:eastAsiaTheme="minorEastAsia"/>
          <w:color w:val="000000"/>
          <w:szCs w:val="21"/>
          <w:highlight w:val="none"/>
          <w:lang w:val="en-US" w:eastAsia="zh-CN"/>
        </w:rPr>
        <w:t>4.</w:t>
      </w:r>
      <w:r>
        <w:rPr>
          <w:rFonts w:hint="eastAsia" w:asciiTheme="minorEastAsia" w:hAnsiTheme="minorEastAsia" w:eastAsiaTheme="minorEastAsia"/>
          <w:color w:val="000000"/>
          <w:szCs w:val="21"/>
          <w:highlight w:val="none"/>
        </w:rPr>
        <w:t>3所列示的中国证监会、中国基金业协会发布的有关规定及允许的基金行业实务操作编制。</w:t>
      </w:r>
    </w:p>
    <w:p w14:paraId="4441087D">
      <w:pPr>
        <w:spacing w:line="360" w:lineRule="auto"/>
        <w:rPr>
          <w:rFonts w:ascii="宋体" w:hAnsi="宋体"/>
          <w:b/>
          <w:szCs w:val="21"/>
          <w:highlight w:val="none"/>
        </w:rPr>
      </w:pPr>
      <w:r>
        <w:rPr>
          <w:rFonts w:ascii="宋体" w:hAnsi="宋体"/>
          <w:b/>
          <w:szCs w:val="21"/>
          <w:highlight w:val="none"/>
        </w:rPr>
        <w:t>4.3.</w:t>
      </w:r>
      <w:r>
        <w:rPr>
          <w:rFonts w:hint="eastAsia" w:ascii="宋体" w:hAnsi="宋体"/>
          <w:b/>
          <w:szCs w:val="21"/>
          <w:highlight w:val="none"/>
        </w:rPr>
        <w:t>5 重要会计政策和会计估计</w:t>
      </w:r>
    </w:p>
    <w:p w14:paraId="707B3F82">
      <w:pPr>
        <w:spacing w:line="360" w:lineRule="auto"/>
        <w:rPr>
          <w:rFonts w:ascii="宋体" w:hAnsi="宋体"/>
          <w:b/>
          <w:szCs w:val="21"/>
          <w:highlight w:val="none"/>
        </w:rPr>
      </w:pPr>
      <w:r>
        <w:rPr>
          <w:rFonts w:ascii="宋体" w:hAnsi="宋体"/>
          <w:b/>
          <w:szCs w:val="21"/>
          <w:highlight w:val="none"/>
        </w:rPr>
        <w:t>4.3.</w:t>
      </w:r>
      <w:r>
        <w:rPr>
          <w:rFonts w:hint="eastAsia" w:ascii="宋体" w:hAnsi="宋体"/>
          <w:b/>
          <w:szCs w:val="21"/>
          <w:highlight w:val="none"/>
        </w:rPr>
        <w:t>5</w:t>
      </w:r>
      <w:r>
        <w:rPr>
          <w:rFonts w:ascii="宋体" w:hAnsi="宋体"/>
          <w:b/>
          <w:szCs w:val="21"/>
          <w:highlight w:val="none"/>
        </w:rPr>
        <w:t>.</w:t>
      </w:r>
      <w:r>
        <w:rPr>
          <w:rFonts w:hint="eastAsia" w:ascii="宋体" w:hAnsi="宋体"/>
          <w:b/>
          <w:szCs w:val="21"/>
          <w:highlight w:val="none"/>
        </w:rPr>
        <w:t>1清算期间</w:t>
      </w:r>
    </w:p>
    <w:p w14:paraId="0AEF0A45">
      <w:pPr>
        <w:spacing w:line="360" w:lineRule="auto"/>
        <w:ind w:firstLine="420" w:firstLineChars="200"/>
        <w:rPr>
          <w:rFonts w:hint="eastAsia" w:ascii="宋体" w:hAnsi="宋体" w:eastAsia="宋体"/>
          <w:color w:val="000000"/>
          <w:szCs w:val="21"/>
          <w:highlight w:val="none"/>
          <w:lang w:val="en-US" w:eastAsia="zh-CN"/>
        </w:rPr>
      </w:pPr>
      <w:r>
        <w:rPr>
          <w:rFonts w:hint="eastAsia" w:ascii="宋体" w:hAnsi="宋体"/>
          <w:color w:val="000000"/>
          <w:szCs w:val="21"/>
          <w:highlight w:val="none"/>
        </w:rPr>
        <w:t>本清算期间为202</w:t>
      </w:r>
      <w:r>
        <w:rPr>
          <w:rFonts w:hint="eastAsia" w:ascii="宋体" w:hAnsi="宋体"/>
          <w:color w:val="000000"/>
          <w:szCs w:val="21"/>
          <w:highlight w:val="none"/>
          <w:lang w:val="en-US" w:eastAsia="zh-CN"/>
        </w:rPr>
        <w:t>5</w:t>
      </w:r>
      <w:r>
        <w:rPr>
          <w:rFonts w:hint="eastAsia" w:ascii="宋体" w:hAnsi="宋体"/>
          <w:color w:val="000000"/>
          <w:szCs w:val="21"/>
          <w:highlight w:val="none"/>
        </w:rPr>
        <w:t>年</w:t>
      </w:r>
      <w:r>
        <w:rPr>
          <w:rFonts w:hint="eastAsia" w:ascii="宋体" w:hAnsi="宋体"/>
          <w:color w:val="000000"/>
          <w:szCs w:val="21"/>
          <w:highlight w:val="none"/>
          <w:lang w:val="en-US" w:eastAsia="zh-CN"/>
        </w:rPr>
        <w:t>1</w:t>
      </w:r>
      <w:r>
        <w:rPr>
          <w:rFonts w:hint="eastAsia" w:ascii="宋体" w:hAnsi="宋体"/>
          <w:color w:val="000000"/>
          <w:szCs w:val="21"/>
          <w:highlight w:val="none"/>
        </w:rPr>
        <w:t>月2</w:t>
      </w:r>
      <w:r>
        <w:rPr>
          <w:rFonts w:hint="eastAsia" w:ascii="宋体" w:hAnsi="宋体"/>
          <w:color w:val="000000"/>
          <w:szCs w:val="21"/>
          <w:highlight w:val="none"/>
          <w:lang w:val="en-US" w:eastAsia="zh-CN"/>
        </w:rPr>
        <w:t>8</w:t>
      </w:r>
      <w:r>
        <w:rPr>
          <w:rFonts w:hint="eastAsia" w:ascii="宋体" w:hAnsi="宋体"/>
          <w:color w:val="000000"/>
          <w:szCs w:val="21"/>
          <w:highlight w:val="none"/>
        </w:rPr>
        <w:t>日至202</w:t>
      </w:r>
      <w:r>
        <w:rPr>
          <w:rFonts w:hint="eastAsia" w:ascii="宋体" w:hAnsi="宋体"/>
          <w:color w:val="000000"/>
          <w:szCs w:val="21"/>
          <w:highlight w:val="none"/>
          <w:lang w:val="en-US" w:eastAsia="zh-CN"/>
        </w:rPr>
        <w:t>5</w:t>
      </w:r>
      <w:r>
        <w:rPr>
          <w:rFonts w:hint="eastAsia" w:ascii="宋体" w:hAnsi="宋体"/>
          <w:color w:val="000000"/>
          <w:szCs w:val="21"/>
          <w:highlight w:val="none"/>
        </w:rPr>
        <w:t>年</w:t>
      </w:r>
      <w:r>
        <w:rPr>
          <w:rFonts w:hint="eastAsia" w:ascii="宋体" w:hAnsi="宋体"/>
          <w:color w:val="000000"/>
          <w:szCs w:val="21"/>
          <w:highlight w:val="none"/>
          <w:lang w:val="en-US" w:eastAsia="zh-CN"/>
        </w:rPr>
        <w:t>2</w:t>
      </w:r>
      <w:r>
        <w:rPr>
          <w:rFonts w:hint="eastAsia" w:ascii="宋体" w:hAnsi="宋体"/>
          <w:color w:val="000000"/>
          <w:szCs w:val="21"/>
          <w:highlight w:val="none"/>
          <w:lang w:eastAsia="zh-CN"/>
        </w:rPr>
        <w:t>月</w:t>
      </w:r>
      <w:r>
        <w:rPr>
          <w:rFonts w:hint="eastAsia" w:ascii="宋体" w:hAnsi="宋体"/>
          <w:color w:val="000000"/>
          <w:szCs w:val="21"/>
          <w:highlight w:val="none"/>
          <w:lang w:val="en-US" w:eastAsia="zh-CN"/>
        </w:rPr>
        <w:t>21</w:t>
      </w:r>
      <w:r>
        <w:rPr>
          <w:rFonts w:hint="eastAsia" w:ascii="宋体" w:hAnsi="宋体"/>
          <w:color w:val="000000"/>
          <w:szCs w:val="21"/>
          <w:highlight w:val="none"/>
          <w:lang w:eastAsia="zh-CN"/>
        </w:rPr>
        <w:t>日。</w:t>
      </w:r>
    </w:p>
    <w:p w14:paraId="53372F11">
      <w:pPr>
        <w:spacing w:line="360" w:lineRule="auto"/>
        <w:rPr>
          <w:rFonts w:ascii="宋体" w:hAnsi="宋体"/>
          <w:b/>
          <w:szCs w:val="21"/>
          <w:highlight w:val="none"/>
        </w:rPr>
      </w:pPr>
      <w:r>
        <w:rPr>
          <w:rFonts w:ascii="宋体" w:hAnsi="宋体"/>
          <w:b/>
          <w:szCs w:val="21"/>
          <w:highlight w:val="none"/>
        </w:rPr>
        <w:t>4.3.</w:t>
      </w:r>
      <w:r>
        <w:rPr>
          <w:rFonts w:hint="eastAsia" w:ascii="宋体" w:hAnsi="宋体"/>
          <w:b/>
          <w:szCs w:val="21"/>
          <w:highlight w:val="none"/>
        </w:rPr>
        <w:t>5</w:t>
      </w:r>
      <w:r>
        <w:rPr>
          <w:rFonts w:ascii="宋体" w:hAnsi="宋体"/>
          <w:b/>
          <w:szCs w:val="21"/>
          <w:highlight w:val="none"/>
        </w:rPr>
        <w:t>.2 记账本位币</w:t>
      </w:r>
    </w:p>
    <w:p w14:paraId="68420CD3">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本清算财务报表以人民币为</w:t>
      </w:r>
      <w:r>
        <w:rPr>
          <w:rFonts w:hint="eastAsia"/>
          <w:highlight w:val="none"/>
        </w:rPr>
        <w:t>记账本位币</w:t>
      </w:r>
      <w:r>
        <w:rPr>
          <w:rFonts w:hint="eastAsia" w:ascii="宋体" w:hAnsi="宋体"/>
          <w:color w:val="000000"/>
          <w:szCs w:val="21"/>
          <w:highlight w:val="none"/>
        </w:rPr>
        <w:t>。</w:t>
      </w:r>
    </w:p>
    <w:p w14:paraId="4547FD62">
      <w:pPr>
        <w:spacing w:line="360" w:lineRule="auto"/>
        <w:rPr>
          <w:rFonts w:ascii="宋体" w:hAnsi="宋体"/>
          <w:b/>
          <w:szCs w:val="21"/>
          <w:highlight w:val="none"/>
        </w:rPr>
      </w:pPr>
      <w:r>
        <w:rPr>
          <w:rFonts w:ascii="宋体" w:hAnsi="宋体"/>
          <w:b/>
          <w:szCs w:val="21"/>
          <w:highlight w:val="none"/>
        </w:rPr>
        <w:t>4.3.</w:t>
      </w:r>
      <w:r>
        <w:rPr>
          <w:rFonts w:hint="eastAsia" w:ascii="宋体" w:hAnsi="宋体"/>
          <w:b/>
          <w:szCs w:val="21"/>
          <w:highlight w:val="none"/>
        </w:rPr>
        <w:t>5</w:t>
      </w:r>
      <w:r>
        <w:rPr>
          <w:rFonts w:ascii="宋体" w:hAnsi="宋体"/>
          <w:b/>
          <w:szCs w:val="21"/>
          <w:highlight w:val="none"/>
        </w:rPr>
        <w:t>.</w:t>
      </w:r>
      <w:r>
        <w:rPr>
          <w:rFonts w:hint="eastAsia" w:ascii="宋体" w:hAnsi="宋体"/>
          <w:b/>
          <w:szCs w:val="21"/>
          <w:highlight w:val="none"/>
        </w:rPr>
        <w:t>3</w:t>
      </w:r>
      <w:r>
        <w:rPr>
          <w:rFonts w:ascii="宋体" w:hAnsi="宋体"/>
          <w:b/>
          <w:szCs w:val="21"/>
          <w:highlight w:val="none"/>
        </w:rPr>
        <w:t xml:space="preserve"> </w:t>
      </w:r>
      <w:r>
        <w:rPr>
          <w:rFonts w:hint="eastAsia" w:ascii="宋体" w:hAnsi="宋体"/>
          <w:b/>
          <w:szCs w:val="21"/>
          <w:highlight w:val="none"/>
        </w:rPr>
        <w:t xml:space="preserve">应收利息的确认和计量 </w:t>
      </w:r>
    </w:p>
    <w:p w14:paraId="12BF5B2E">
      <w:pPr>
        <w:spacing w:line="360" w:lineRule="auto"/>
        <w:ind w:firstLine="420" w:firstLineChars="200"/>
        <w:rPr>
          <w:rFonts w:ascii="宋体" w:hAnsi="宋体"/>
          <w:color w:val="000000"/>
          <w:szCs w:val="21"/>
          <w:highlight w:val="none"/>
        </w:rPr>
      </w:pPr>
      <w:r>
        <w:rPr>
          <w:rFonts w:ascii="宋体" w:hAnsi="宋体"/>
          <w:color w:val="000000"/>
          <w:szCs w:val="21"/>
          <w:highlight w:val="none"/>
        </w:rPr>
        <w:t>应收款项按照未来应收取的款项金额计量。</w:t>
      </w:r>
    </w:p>
    <w:p w14:paraId="5A2E3EE0">
      <w:pPr>
        <w:spacing w:line="360" w:lineRule="auto"/>
        <w:rPr>
          <w:rFonts w:ascii="宋体" w:hAnsi="宋体"/>
          <w:b/>
          <w:szCs w:val="21"/>
          <w:highlight w:val="none"/>
        </w:rPr>
      </w:pPr>
      <w:r>
        <w:rPr>
          <w:rFonts w:ascii="宋体" w:hAnsi="宋体"/>
          <w:b/>
          <w:szCs w:val="21"/>
          <w:highlight w:val="none"/>
        </w:rPr>
        <w:t>4.3.</w:t>
      </w:r>
      <w:r>
        <w:rPr>
          <w:rFonts w:hint="eastAsia" w:ascii="宋体" w:hAnsi="宋体"/>
          <w:b/>
          <w:szCs w:val="21"/>
          <w:highlight w:val="none"/>
        </w:rPr>
        <w:t>5</w:t>
      </w:r>
      <w:r>
        <w:rPr>
          <w:rFonts w:ascii="宋体" w:hAnsi="宋体"/>
          <w:b/>
          <w:szCs w:val="21"/>
          <w:highlight w:val="none"/>
        </w:rPr>
        <w:t>.</w:t>
      </w:r>
      <w:r>
        <w:rPr>
          <w:rFonts w:hint="eastAsia" w:ascii="宋体" w:hAnsi="宋体"/>
          <w:b/>
          <w:szCs w:val="21"/>
          <w:highlight w:val="none"/>
        </w:rPr>
        <w:t>4</w:t>
      </w:r>
      <w:r>
        <w:rPr>
          <w:rFonts w:ascii="宋体" w:hAnsi="宋体"/>
          <w:b/>
          <w:szCs w:val="21"/>
          <w:highlight w:val="none"/>
        </w:rPr>
        <w:t xml:space="preserve"> </w:t>
      </w:r>
      <w:r>
        <w:rPr>
          <w:rFonts w:hint="eastAsia" w:ascii="宋体" w:hAnsi="宋体"/>
          <w:b/>
          <w:szCs w:val="21"/>
          <w:highlight w:val="none"/>
        </w:rPr>
        <w:t xml:space="preserve">应付款项的确认和计量 </w:t>
      </w:r>
    </w:p>
    <w:p w14:paraId="4656F46B">
      <w:pPr>
        <w:spacing w:line="360" w:lineRule="auto"/>
        <w:ind w:firstLine="420" w:firstLineChars="200"/>
        <w:rPr>
          <w:rFonts w:ascii="宋体" w:hAnsi="宋体"/>
          <w:color w:val="000000"/>
          <w:szCs w:val="21"/>
          <w:highlight w:val="none"/>
        </w:rPr>
      </w:pPr>
      <w:r>
        <w:rPr>
          <w:rFonts w:ascii="宋体" w:hAnsi="宋体"/>
          <w:color w:val="000000"/>
          <w:szCs w:val="21"/>
          <w:highlight w:val="none"/>
        </w:rPr>
        <w:t>应付款项按照未来应支付的款项金额计量。</w:t>
      </w:r>
    </w:p>
    <w:p w14:paraId="57FDB22F">
      <w:pPr>
        <w:spacing w:line="360" w:lineRule="auto"/>
        <w:rPr>
          <w:rFonts w:ascii="宋体" w:hAnsi="宋体"/>
          <w:b/>
          <w:szCs w:val="21"/>
          <w:highlight w:val="none"/>
        </w:rPr>
      </w:pPr>
      <w:r>
        <w:rPr>
          <w:rFonts w:ascii="宋体" w:hAnsi="宋体"/>
          <w:b/>
          <w:szCs w:val="21"/>
          <w:highlight w:val="none"/>
        </w:rPr>
        <w:t>4.3.</w:t>
      </w:r>
      <w:r>
        <w:rPr>
          <w:rFonts w:hint="eastAsia" w:ascii="宋体" w:hAnsi="宋体"/>
          <w:b/>
          <w:szCs w:val="21"/>
          <w:highlight w:val="none"/>
        </w:rPr>
        <w:t>5</w:t>
      </w:r>
      <w:r>
        <w:rPr>
          <w:rFonts w:ascii="宋体" w:hAnsi="宋体"/>
          <w:b/>
          <w:szCs w:val="21"/>
          <w:highlight w:val="none"/>
        </w:rPr>
        <w:t>.</w:t>
      </w:r>
      <w:r>
        <w:rPr>
          <w:rFonts w:hint="eastAsia" w:ascii="宋体" w:hAnsi="宋体"/>
          <w:b/>
          <w:szCs w:val="21"/>
          <w:highlight w:val="none"/>
        </w:rPr>
        <w:t>5</w:t>
      </w:r>
      <w:r>
        <w:rPr>
          <w:rFonts w:ascii="宋体" w:hAnsi="宋体"/>
          <w:b/>
          <w:szCs w:val="21"/>
          <w:highlight w:val="none"/>
        </w:rPr>
        <w:t xml:space="preserve"> </w:t>
      </w:r>
      <w:r>
        <w:rPr>
          <w:rFonts w:hint="eastAsia" w:ascii="宋体" w:hAnsi="宋体"/>
          <w:b/>
          <w:szCs w:val="21"/>
          <w:highlight w:val="none"/>
        </w:rPr>
        <w:t xml:space="preserve">清算收益的确认和计量 </w:t>
      </w:r>
    </w:p>
    <w:p w14:paraId="2DDB199E">
      <w:pPr>
        <w:spacing w:line="360" w:lineRule="auto"/>
        <w:ind w:firstLine="420" w:firstLineChars="200"/>
        <w:rPr>
          <w:rFonts w:ascii="宋体" w:hAnsi="宋体"/>
          <w:color w:val="000000"/>
          <w:szCs w:val="21"/>
          <w:highlight w:val="none"/>
        </w:rPr>
      </w:pPr>
      <w:r>
        <w:rPr>
          <w:rFonts w:ascii="宋体" w:hAnsi="宋体"/>
          <w:color w:val="000000"/>
          <w:szCs w:val="21"/>
          <w:highlight w:val="none"/>
        </w:rPr>
        <w:t>清算收益按照实际发生的收益金额或未来应收取的款项金额计量。</w:t>
      </w:r>
    </w:p>
    <w:p w14:paraId="110E86FA">
      <w:pPr>
        <w:spacing w:line="360" w:lineRule="auto"/>
        <w:rPr>
          <w:rFonts w:ascii="宋体" w:hAnsi="宋体"/>
          <w:b/>
          <w:szCs w:val="21"/>
          <w:highlight w:val="none"/>
        </w:rPr>
      </w:pPr>
      <w:r>
        <w:rPr>
          <w:rFonts w:ascii="宋体" w:hAnsi="宋体"/>
          <w:b/>
          <w:szCs w:val="21"/>
          <w:highlight w:val="none"/>
        </w:rPr>
        <w:t>4.3.</w:t>
      </w:r>
      <w:r>
        <w:rPr>
          <w:rFonts w:hint="eastAsia" w:ascii="宋体" w:hAnsi="宋体"/>
          <w:b/>
          <w:szCs w:val="21"/>
          <w:highlight w:val="none"/>
        </w:rPr>
        <w:t>5</w:t>
      </w:r>
      <w:r>
        <w:rPr>
          <w:rFonts w:ascii="宋体" w:hAnsi="宋体"/>
          <w:b/>
          <w:szCs w:val="21"/>
          <w:highlight w:val="none"/>
        </w:rPr>
        <w:t>.6</w:t>
      </w:r>
      <w:r>
        <w:rPr>
          <w:rFonts w:hint="eastAsia" w:ascii="宋体" w:hAnsi="宋体"/>
          <w:b/>
          <w:szCs w:val="21"/>
          <w:highlight w:val="none"/>
        </w:rPr>
        <w:t xml:space="preserve">清算费用的确认和计量 </w:t>
      </w:r>
    </w:p>
    <w:p w14:paraId="51ADE347">
      <w:pPr>
        <w:spacing w:line="360" w:lineRule="auto"/>
        <w:ind w:firstLine="420" w:firstLineChars="200"/>
        <w:rPr>
          <w:rFonts w:ascii="宋体" w:hAnsi="宋体"/>
          <w:color w:val="000000"/>
          <w:szCs w:val="21"/>
          <w:highlight w:val="none"/>
        </w:rPr>
      </w:pPr>
      <w:r>
        <w:rPr>
          <w:rFonts w:ascii="宋体" w:hAnsi="宋体"/>
          <w:color w:val="000000"/>
          <w:szCs w:val="21"/>
          <w:highlight w:val="none"/>
        </w:rPr>
        <w:t>清算费用按照实际发生的费用金额或未来应支付的款项金额计量。</w:t>
      </w:r>
    </w:p>
    <w:p w14:paraId="5EE25C50">
      <w:pPr>
        <w:pStyle w:val="24"/>
        <w:numPr>
          <w:ilvl w:val="-1"/>
          <w:numId w:val="0"/>
        </w:numPr>
        <w:rPr>
          <w:rFonts w:hint="eastAsia" w:ascii="宋体" w:hAnsi="宋体"/>
          <w:b/>
          <w:szCs w:val="21"/>
          <w:highlight w:val="none"/>
        </w:rPr>
      </w:pPr>
      <w:r>
        <w:rPr>
          <w:rFonts w:ascii="宋体" w:hAnsi="宋体"/>
          <w:b/>
          <w:szCs w:val="21"/>
          <w:highlight w:val="none"/>
        </w:rPr>
        <w:t>4.3.</w:t>
      </w:r>
      <w:r>
        <w:rPr>
          <w:rFonts w:hint="eastAsia" w:ascii="宋体" w:hAnsi="宋体"/>
          <w:b/>
          <w:szCs w:val="21"/>
          <w:highlight w:val="none"/>
        </w:rPr>
        <w:t>6 税项</w:t>
      </w:r>
      <w:bookmarkStart w:id="46" w:name="_Toc491963087"/>
      <w:bookmarkStart w:id="47" w:name="_Toc484769809"/>
    </w:p>
    <w:p w14:paraId="6E23E6EC">
      <w:pPr>
        <w:pStyle w:val="24"/>
        <w:spacing w:line="360" w:lineRule="auto"/>
        <w:ind w:firstLine="420" w:firstLineChars="200"/>
        <w:rPr>
          <w:rFonts w:hint="eastAsia"/>
          <w:highlight w:val="none"/>
          <w:lang w:val="en-US" w:eastAsia="zh-CN"/>
        </w:rPr>
      </w:pPr>
      <w:r>
        <w:rPr>
          <w:rFonts w:hint="eastAsia"/>
          <w:highlight w:val="none"/>
          <w:lang w:val="en-US" w:eastAsia="zh-CN"/>
        </w:rPr>
        <w:t>根据财政部、国家税务总局财税[2002]128号《关于开放式证券投资基金有关税收问题的通知》、财税[2008]1号《关于企业所得税若干优惠政策的通知》、财税[2012]85号《关于实施上市公司股息红利差别化个人所得税政策有关问题的通知》、</w:t>
      </w:r>
      <w:r>
        <w:rPr>
          <w:rFonts w:hint="eastAsia"/>
        </w:rPr>
        <w:t>财税[2014]81号《财政部国家税务总局证监会关于沪港股票市场交易互联互通机制试点有关税收政策的通知》</w:t>
      </w:r>
      <w:r>
        <w:rPr>
          <w:rFonts w:hint="eastAsia"/>
          <w:lang w:eastAsia="zh-CN"/>
        </w:rPr>
        <w:t>、</w:t>
      </w:r>
      <w:r>
        <w:rPr>
          <w:rFonts w:hint="eastAsia"/>
          <w:highlight w:val="none"/>
          <w:lang w:val="en-US" w:eastAsia="zh-CN"/>
        </w:rPr>
        <w:t>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w:t>
      </w:r>
      <w:r>
        <w:rPr>
          <w:rFonts w:hint="eastAsia"/>
        </w:rPr>
        <w:t>财税[2016]127号《财政部国家税务总局证监会关于深港股票市场交易互联互通机制试点有关税收政策的通知》、</w:t>
      </w:r>
      <w:r>
        <w:rPr>
          <w:rFonts w:hint="eastAsia"/>
          <w:highlight w:val="none"/>
          <w:lang w:val="en-US" w:eastAsia="zh-CN"/>
        </w:rPr>
        <w:t>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及其他相关财税法规和实务操作，主要税项列示如下：</w:t>
      </w:r>
    </w:p>
    <w:p w14:paraId="023C0D40">
      <w:pPr>
        <w:pStyle w:val="24"/>
        <w:spacing w:line="360" w:lineRule="auto"/>
        <w:ind w:firstLine="420" w:firstLineChars="200"/>
        <w:rPr>
          <w:rFonts w:hint="eastAsia"/>
          <w:highlight w:val="none"/>
          <w:lang w:val="en-US" w:eastAsia="zh-CN"/>
        </w:rPr>
      </w:pPr>
      <w:r>
        <w:rPr>
          <w:rFonts w:hint="eastAsia"/>
          <w:highlight w:val="none"/>
          <w:lang w:val="en-US" w:eastAsia="zh-CN"/>
        </w:rPr>
        <w:t>1）资管产品运营过程中发生的增值税应税行为，以资管产品管理人为增值税纳税人。资管产品管理人运营资管产品过程中发生的增值税应税行为，暂适用简易计税方法，按照3%的征收率缴纳增值税。</w:t>
      </w:r>
    </w:p>
    <w:p w14:paraId="79E54999">
      <w:pPr>
        <w:pStyle w:val="24"/>
        <w:spacing w:line="360" w:lineRule="auto"/>
        <w:ind w:firstLine="420" w:firstLineChars="200"/>
        <w:rPr>
          <w:rFonts w:hint="eastAsia" w:eastAsia="宋体"/>
          <w:highlight w:val="none"/>
          <w:lang w:val="en-US" w:eastAsia="zh-CN"/>
        </w:rPr>
      </w:pPr>
      <w:r>
        <w:rPr>
          <w:rFonts w:hint="eastAsia"/>
          <w:highlight w:val="none"/>
          <w:lang w:val="en-US" w:eastAsia="zh-CN"/>
        </w:rPr>
        <w:t>对证券投资基金管理人运用基金买卖股票、债券的转让收入免征增值税，对国债、地方政府债以及金融同业往来利息收入亦免征增值税。</w:t>
      </w:r>
      <w:r>
        <w:rPr>
          <w:rFonts w:hint="eastAsia"/>
        </w:rPr>
        <w:t>资管产品管理人运营资管产品提供的贷款服务，以产生的利息及利息性质的收入为销售额</w:t>
      </w:r>
      <w:r>
        <w:rPr>
          <w:rFonts w:hint="eastAsia"/>
          <w:lang w:eastAsia="zh-CN"/>
        </w:rPr>
        <w:t>。</w:t>
      </w:r>
    </w:p>
    <w:p w14:paraId="58CC4239">
      <w:pPr>
        <w:pStyle w:val="24"/>
        <w:spacing w:line="360" w:lineRule="auto"/>
        <w:ind w:firstLine="420" w:firstLineChars="200"/>
        <w:rPr>
          <w:rFonts w:hint="eastAsia"/>
          <w:highlight w:val="none"/>
          <w:lang w:val="en-US" w:eastAsia="zh-CN"/>
        </w:rPr>
      </w:pPr>
      <w:r>
        <w:rPr>
          <w:rFonts w:hint="eastAsia"/>
          <w:highlight w:val="none"/>
          <w:lang w:val="en-US" w:eastAsia="zh-CN"/>
        </w:rPr>
        <w:t>2）对基金从证券市场中取得的收入，包括买卖股票、债券的差价收入，股票的股息、红利收入，债券的利息收入及其他收入，暂不征收企业所得税。</w:t>
      </w:r>
    </w:p>
    <w:p w14:paraId="79C376AE">
      <w:pPr>
        <w:pStyle w:val="24"/>
        <w:spacing w:line="360" w:lineRule="auto"/>
        <w:ind w:firstLine="420" w:firstLineChars="200"/>
        <w:rPr>
          <w:rFonts w:hint="eastAsia"/>
          <w:highlight w:val="none"/>
          <w:lang w:val="en-US" w:eastAsia="zh-CN"/>
        </w:rPr>
      </w:pPr>
      <w:r>
        <w:rPr>
          <w:rFonts w:hint="eastAsia"/>
          <w:highlight w:val="none"/>
          <w:lang w:val="en-US" w:eastAsia="zh-CN"/>
        </w:rPr>
        <w:t>3）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14:paraId="531678DC">
      <w:pPr>
        <w:pStyle w:val="24"/>
        <w:rPr>
          <w:rFonts w:hint="eastAsia"/>
          <w:highlight w:val="none"/>
          <w:lang w:val="en-US" w:eastAsia="zh-CN"/>
        </w:rPr>
      </w:pPr>
      <w:r>
        <w:rPr>
          <w:rFonts w:hint="eastAsia"/>
        </w:rPr>
        <w:t>对基金通过沪港通/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深港通投资香港联交所上市的非H股取得的股息红利，由中国结算按照20%的税率代扣个人所得税。</w:t>
      </w:r>
    </w:p>
    <w:p w14:paraId="35D34C02">
      <w:pPr>
        <w:pStyle w:val="24"/>
        <w:numPr>
          <w:ilvl w:val="0"/>
          <w:numId w:val="1"/>
        </w:numPr>
        <w:spacing w:line="360" w:lineRule="auto"/>
        <w:ind w:firstLine="420" w:firstLineChars="200"/>
        <w:rPr>
          <w:rFonts w:hint="eastAsia"/>
          <w:highlight w:val="none"/>
          <w:lang w:val="en-US" w:eastAsia="zh-CN"/>
        </w:rPr>
      </w:pPr>
      <w:r>
        <w:rPr>
          <w:rFonts w:hint="eastAsia"/>
          <w:highlight w:val="none"/>
          <w:lang w:val="en-US" w:eastAsia="zh-CN"/>
        </w:rPr>
        <w:t>基金卖出股票按0.1%的税率缴纳股票交易印花税，买入股票不征收股票交易印花税。根据财政部、国家税务总局公告2023年第39号《关于减半征收证券交易印花税的公告》，自2023年8月28日起，证券交易印花税实施减半征收。</w:t>
      </w:r>
    </w:p>
    <w:p w14:paraId="2213A2F1">
      <w:pPr>
        <w:pStyle w:val="24"/>
        <w:rPr>
          <w:rFonts w:hint="eastAsia"/>
          <w:highlight w:val="none"/>
          <w:lang w:val="en-US" w:eastAsia="zh-CN"/>
        </w:rPr>
      </w:pPr>
      <w:r>
        <w:rPr>
          <w:rFonts w:hint="eastAsia"/>
        </w:rPr>
        <w:t>基金通过沪港通/深港通买卖、继承、赠与联交所上市股票，按照香港特别行政区现行税法规定缴纳印花税。</w:t>
      </w:r>
    </w:p>
    <w:p w14:paraId="5314BA0C">
      <w:pPr>
        <w:pStyle w:val="24"/>
        <w:spacing w:line="360" w:lineRule="auto"/>
        <w:ind w:firstLine="420" w:firstLineChars="200"/>
        <w:rPr>
          <w:rFonts w:hint="eastAsia"/>
          <w:highlight w:val="none"/>
          <w:lang w:val="en-US" w:eastAsia="zh-CN"/>
        </w:rPr>
      </w:pPr>
      <w:r>
        <w:rPr>
          <w:rFonts w:hint="eastAsia"/>
          <w:highlight w:val="none"/>
          <w:lang w:val="en-US" w:eastAsia="zh-CN"/>
        </w:rPr>
        <w:t>5）本基金的城市维护建设税、教育费附加和地方教育附加等税费按照实际缴纳增值税额的适用比例计算缴纳。</w:t>
      </w:r>
    </w:p>
    <w:p w14:paraId="36BBCDC8">
      <w:pPr>
        <w:pStyle w:val="2"/>
        <w:keepNext/>
        <w:keepLines/>
        <w:widowControl w:val="0"/>
        <w:spacing w:before="312" w:beforeLines="100" w:after="312" w:afterLines="100" w:line="360" w:lineRule="auto"/>
        <w:jc w:val="left"/>
        <w:rPr>
          <w:rStyle w:val="20"/>
          <w:rFonts w:ascii="宋体" w:hAnsi="宋体"/>
          <w:highlight w:val="none"/>
        </w:rPr>
      </w:pPr>
      <w:r>
        <w:rPr>
          <w:rStyle w:val="20"/>
          <w:rFonts w:hint="eastAsia" w:ascii="宋体" w:hAnsi="宋体"/>
          <w:highlight w:val="none"/>
        </w:rPr>
        <w:t>5、清算情况</w:t>
      </w:r>
      <w:bookmarkEnd w:id="46"/>
    </w:p>
    <w:p w14:paraId="5CE48B31">
      <w:pPr>
        <w:pStyle w:val="3"/>
        <w:spacing w:before="0" w:after="0"/>
        <w:rPr>
          <w:rFonts w:ascii="宋体" w:hAnsi="宋体" w:eastAsia="宋体"/>
          <w:kern w:val="0"/>
          <w:sz w:val="21"/>
          <w:szCs w:val="21"/>
          <w:highlight w:val="none"/>
        </w:rPr>
      </w:pPr>
      <w:bookmarkStart w:id="48" w:name="_Toc491963088"/>
      <w:r>
        <w:rPr>
          <w:rFonts w:hint="eastAsia" w:ascii="宋体" w:hAnsi="宋体" w:eastAsia="宋体"/>
          <w:kern w:val="0"/>
          <w:sz w:val="21"/>
          <w:szCs w:val="21"/>
          <w:highlight w:val="none"/>
        </w:rPr>
        <w:t>5.1 资产负债清算情况</w:t>
      </w:r>
      <w:bookmarkEnd w:id="48"/>
    </w:p>
    <w:p w14:paraId="4B3B5CA7">
      <w:pPr>
        <w:pStyle w:val="24"/>
        <w:rPr>
          <w:highlight w:val="none"/>
        </w:rPr>
      </w:pPr>
      <w:r>
        <w:rPr>
          <w:rFonts w:hint="eastAsia"/>
          <w:highlight w:val="none"/>
        </w:rPr>
        <w:t>自</w:t>
      </w:r>
      <w:r>
        <w:rPr>
          <w:rFonts w:hint="eastAsia" w:ascii="宋体" w:hAnsi="宋体"/>
          <w:color w:val="000000"/>
          <w:szCs w:val="21"/>
          <w:highlight w:val="none"/>
        </w:rPr>
        <w:t>202</w:t>
      </w:r>
      <w:r>
        <w:rPr>
          <w:rFonts w:hint="eastAsia"/>
          <w:color w:val="000000"/>
          <w:szCs w:val="21"/>
          <w:highlight w:val="none"/>
          <w:lang w:val="en-US" w:eastAsia="zh-CN"/>
        </w:rPr>
        <w:t>5</w:t>
      </w:r>
      <w:r>
        <w:rPr>
          <w:rFonts w:hint="eastAsia" w:ascii="宋体" w:hAnsi="宋体"/>
          <w:color w:val="000000"/>
          <w:szCs w:val="21"/>
          <w:highlight w:val="none"/>
        </w:rPr>
        <w:t>年</w:t>
      </w:r>
      <w:r>
        <w:rPr>
          <w:rFonts w:hint="eastAsia"/>
          <w:color w:val="000000"/>
          <w:szCs w:val="21"/>
          <w:highlight w:val="none"/>
          <w:lang w:val="en-US" w:eastAsia="zh-CN"/>
        </w:rPr>
        <w:t>1</w:t>
      </w:r>
      <w:r>
        <w:rPr>
          <w:rFonts w:hint="eastAsia" w:ascii="宋体" w:hAnsi="宋体"/>
          <w:color w:val="000000"/>
          <w:szCs w:val="21"/>
          <w:highlight w:val="none"/>
        </w:rPr>
        <w:t>月2</w:t>
      </w:r>
      <w:r>
        <w:rPr>
          <w:rFonts w:hint="eastAsia"/>
          <w:color w:val="000000"/>
          <w:szCs w:val="21"/>
          <w:highlight w:val="none"/>
          <w:lang w:val="en-US" w:eastAsia="zh-CN"/>
        </w:rPr>
        <w:t>8</w:t>
      </w:r>
      <w:r>
        <w:rPr>
          <w:rFonts w:hint="eastAsia" w:ascii="宋体" w:hAnsi="宋体"/>
          <w:color w:val="000000"/>
          <w:szCs w:val="21"/>
          <w:highlight w:val="none"/>
        </w:rPr>
        <w:t>日至202</w:t>
      </w:r>
      <w:r>
        <w:rPr>
          <w:rFonts w:hint="eastAsia"/>
          <w:color w:val="000000"/>
          <w:szCs w:val="21"/>
          <w:highlight w:val="none"/>
          <w:lang w:val="en-US" w:eastAsia="zh-CN"/>
        </w:rPr>
        <w:t>5</w:t>
      </w:r>
      <w:r>
        <w:rPr>
          <w:rFonts w:hint="eastAsia" w:ascii="宋体" w:hAnsi="宋体"/>
          <w:color w:val="000000"/>
          <w:szCs w:val="21"/>
          <w:highlight w:val="none"/>
        </w:rPr>
        <w:t>年</w:t>
      </w:r>
      <w:r>
        <w:rPr>
          <w:rFonts w:hint="eastAsia"/>
          <w:color w:val="000000"/>
          <w:szCs w:val="21"/>
          <w:highlight w:val="none"/>
          <w:lang w:val="en-US" w:eastAsia="zh-CN"/>
        </w:rPr>
        <w:t>2</w:t>
      </w:r>
      <w:r>
        <w:rPr>
          <w:rFonts w:hint="eastAsia"/>
          <w:color w:val="000000"/>
          <w:szCs w:val="21"/>
          <w:highlight w:val="none"/>
          <w:lang w:eastAsia="zh-CN"/>
        </w:rPr>
        <w:t>月</w:t>
      </w:r>
      <w:r>
        <w:rPr>
          <w:rFonts w:hint="eastAsia"/>
          <w:color w:val="000000"/>
          <w:szCs w:val="21"/>
          <w:highlight w:val="none"/>
          <w:lang w:val="en-US" w:eastAsia="zh-CN"/>
        </w:rPr>
        <w:t>21</w:t>
      </w:r>
      <w:r>
        <w:rPr>
          <w:rFonts w:hint="eastAsia"/>
          <w:color w:val="000000"/>
          <w:szCs w:val="21"/>
          <w:highlight w:val="none"/>
          <w:lang w:eastAsia="zh-CN"/>
        </w:rPr>
        <w:t>日</w:t>
      </w:r>
      <w:r>
        <w:rPr>
          <w:rFonts w:hint="eastAsia"/>
          <w:highlight w:val="none"/>
        </w:rPr>
        <w:t>止为本次清算期间，基金财产清算小组对本基金的基金财产进行清算，全部清算工作按清算原则和清算手续进行。具体清算情况如下：</w:t>
      </w:r>
    </w:p>
    <w:p w14:paraId="54DF8085">
      <w:pPr>
        <w:pStyle w:val="24"/>
        <w:rPr>
          <w:highlight w:val="none"/>
        </w:rPr>
      </w:pPr>
      <w:r>
        <w:rPr>
          <w:rFonts w:hint="eastAsia"/>
          <w:highlight w:val="none"/>
        </w:rPr>
        <w:t>截至本次清算期结束日（</w:t>
      </w:r>
      <w:r>
        <w:rPr>
          <w:rFonts w:hint="eastAsia" w:ascii="宋体" w:hAnsi="宋体"/>
          <w:color w:val="000000"/>
          <w:szCs w:val="21"/>
          <w:highlight w:val="none"/>
        </w:rPr>
        <w:t>202</w:t>
      </w:r>
      <w:r>
        <w:rPr>
          <w:rFonts w:hint="eastAsia"/>
          <w:color w:val="000000"/>
          <w:szCs w:val="21"/>
          <w:highlight w:val="none"/>
          <w:lang w:val="en-US" w:eastAsia="zh-CN"/>
        </w:rPr>
        <w:t>5</w:t>
      </w:r>
      <w:r>
        <w:rPr>
          <w:rFonts w:hint="eastAsia" w:ascii="宋体" w:hAnsi="宋体"/>
          <w:color w:val="000000"/>
          <w:szCs w:val="21"/>
          <w:highlight w:val="none"/>
        </w:rPr>
        <w:t>年</w:t>
      </w:r>
      <w:r>
        <w:rPr>
          <w:rFonts w:hint="eastAsia"/>
          <w:color w:val="000000"/>
          <w:szCs w:val="21"/>
          <w:highlight w:val="none"/>
          <w:lang w:val="en-US" w:eastAsia="zh-CN"/>
        </w:rPr>
        <w:t>2</w:t>
      </w:r>
      <w:r>
        <w:rPr>
          <w:rFonts w:hint="eastAsia"/>
          <w:color w:val="000000"/>
          <w:szCs w:val="21"/>
          <w:highlight w:val="none"/>
          <w:lang w:eastAsia="zh-CN"/>
        </w:rPr>
        <w:t>月</w:t>
      </w:r>
      <w:r>
        <w:rPr>
          <w:rFonts w:hint="eastAsia"/>
          <w:color w:val="000000"/>
          <w:szCs w:val="21"/>
          <w:highlight w:val="none"/>
          <w:lang w:val="en-US" w:eastAsia="zh-CN"/>
        </w:rPr>
        <w:t>21</w:t>
      </w:r>
      <w:r>
        <w:rPr>
          <w:rFonts w:hint="eastAsia"/>
          <w:color w:val="000000"/>
          <w:szCs w:val="21"/>
          <w:highlight w:val="none"/>
          <w:lang w:eastAsia="zh-CN"/>
        </w:rPr>
        <w:t>日</w:t>
      </w:r>
      <w:r>
        <w:rPr>
          <w:rFonts w:hint="eastAsia"/>
          <w:highlight w:val="none"/>
        </w:rPr>
        <w:t>），各项资产负债清算情况如下：</w:t>
      </w:r>
    </w:p>
    <w:p w14:paraId="0F2EF284">
      <w:pPr>
        <w:pStyle w:val="24"/>
        <w:rPr>
          <w:highlight w:val="none"/>
        </w:rPr>
      </w:pPr>
      <w:r>
        <w:rPr>
          <w:rFonts w:hint="eastAsia"/>
          <w:highlight w:val="none"/>
        </w:rPr>
        <w:t>1、本基金最后运作日上交所最低结算备付金为237</w:t>
      </w:r>
      <w:r>
        <w:rPr>
          <w:rFonts w:hint="eastAsia"/>
          <w:highlight w:val="none"/>
          <w:lang w:val="en-US" w:eastAsia="zh-CN"/>
        </w:rPr>
        <w:t>,</w:t>
      </w:r>
      <w:r>
        <w:rPr>
          <w:rFonts w:hint="eastAsia"/>
          <w:highlight w:val="none"/>
        </w:rPr>
        <w:t>083.67元，应计利息为203.02元，尚未</w:t>
      </w:r>
      <w:r>
        <w:rPr>
          <w:rFonts w:hint="eastAsia"/>
          <w:highlight w:val="none"/>
          <w:lang w:val="en-US" w:eastAsia="zh-CN"/>
        </w:rPr>
        <w:t>全部</w:t>
      </w:r>
      <w:r>
        <w:rPr>
          <w:rFonts w:hint="eastAsia"/>
          <w:highlight w:val="none"/>
        </w:rPr>
        <w:t>收回。</w:t>
      </w:r>
    </w:p>
    <w:p w14:paraId="628852D9">
      <w:pPr>
        <w:pStyle w:val="24"/>
        <w:rPr>
          <w:rFonts w:hint="eastAsia"/>
          <w:highlight w:val="none"/>
        </w:rPr>
      </w:pPr>
      <w:r>
        <w:rPr>
          <w:rFonts w:hint="eastAsia"/>
          <w:highlight w:val="none"/>
          <w:lang w:val="en-US" w:eastAsia="zh-CN"/>
        </w:rPr>
        <w:t>2</w:t>
      </w:r>
      <w:r>
        <w:rPr>
          <w:rFonts w:hint="eastAsia"/>
          <w:highlight w:val="none"/>
        </w:rPr>
        <w:t>、本基金最后运作日上交所结算保证金为19</w:t>
      </w:r>
      <w:r>
        <w:rPr>
          <w:rFonts w:hint="eastAsia"/>
          <w:highlight w:val="none"/>
          <w:lang w:val="en-US" w:eastAsia="zh-CN"/>
        </w:rPr>
        <w:t>,</w:t>
      </w:r>
      <w:r>
        <w:rPr>
          <w:rFonts w:hint="eastAsia"/>
          <w:highlight w:val="none"/>
        </w:rPr>
        <w:t>746.64元，</w:t>
      </w:r>
      <w:r>
        <w:rPr>
          <w:rFonts w:hint="eastAsia"/>
          <w:highlight w:val="none"/>
          <w:lang w:val="en-US" w:eastAsia="zh-CN"/>
        </w:rPr>
        <w:t>已于清算期内收回</w:t>
      </w:r>
      <w:r>
        <w:rPr>
          <w:rFonts w:hint="eastAsia"/>
          <w:highlight w:val="none"/>
        </w:rPr>
        <w:t>。应计利息为13.67元，尚未</w:t>
      </w:r>
      <w:r>
        <w:rPr>
          <w:rFonts w:hint="eastAsia"/>
          <w:highlight w:val="none"/>
          <w:lang w:val="en-US" w:eastAsia="zh-CN"/>
        </w:rPr>
        <w:t>全部</w:t>
      </w:r>
      <w:r>
        <w:rPr>
          <w:rFonts w:hint="eastAsia"/>
          <w:highlight w:val="none"/>
        </w:rPr>
        <w:t>收回。</w:t>
      </w:r>
    </w:p>
    <w:p w14:paraId="3F8D16C9">
      <w:pPr>
        <w:pStyle w:val="24"/>
        <w:rPr>
          <w:highlight w:val="none"/>
        </w:rPr>
      </w:pPr>
      <w:r>
        <w:rPr>
          <w:rFonts w:hint="eastAsia"/>
          <w:highlight w:val="none"/>
          <w:lang w:val="en-US" w:eastAsia="zh-CN"/>
        </w:rPr>
        <w:t>3、</w:t>
      </w:r>
      <w:r>
        <w:rPr>
          <w:rFonts w:hint="eastAsia"/>
          <w:highlight w:val="none"/>
        </w:rPr>
        <w:t>本基金最后运作日</w:t>
      </w:r>
      <w:r>
        <w:rPr>
          <w:rFonts w:hint="eastAsia"/>
          <w:highlight w:val="none"/>
          <w:lang w:val="en-US" w:eastAsia="zh-CN"/>
        </w:rPr>
        <w:t>深</w:t>
      </w:r>
      <w:r>
        <w:rPr>
          <w:rFonts w:hint="eastAsia"/>
          <w:highlight w:val="none"/>
        </w:rPr>
        <w:t>交所最低结算备付金应计利息为17.28元，尚未</w:t>
      </w:r>
      <w:r>
        <w:rPr>
          <w:rFonts w:hint="eastAsia"/>
          <w:highlight w:val="none"/>
          <w:lang w:val="en-US" w:eastAsia="zh-CN"/>
        </w:rPr>
        <w:t>全部</w:t>
      </w:r>
      <w:r>
        <w:rPr>
          <w:rFonts w:hint="eastAsia"/>
          <w:highlight w:val="none"/>
        </w:rPr>
        <w:t>收回。</w:t>
      </w:r>
    </w:p>
    <w:p w14:paraId="3435ED23">
      <w:pPr>
        <w:pStyle w:val="24"/>
        <w:rPr>
          <w:rFonts w:hint="default" w:eastAsia="宋体"/>
          <w:highlight w:val="none"/>
          <w:lang w:val="en-US" w:eastAsia="zh-CN"/>
        </w:rPr>
      </w:pPr>
      <w:r>
        <w:rPr>
          <w:rFonts w:hint="eastAsia"/>
          <w:highlight w:val="none"/>
          <w:lang w:val="en-US" w:eastAsia="zh-CN"/>
        </w:rPr>
        <w:t>4、</w:t>
      </w:r>
      <w:r>
        <w:rPr>
          <w:rFonts w:hint="eastAsia"/>
          <w:highlight w:val="none"/>
        </w:rPr>
        <w:t>本基金最后运作日</w:t>
      </w:r>
      <w:r>
        <w:rPr>
          <w:rFonts w:hint="eastAsia"/>
          <w:highlight w:val="none"/>
          <w:lang w:val="en-US" w:eastAsia="zh-CN"/>
        </w:rPr>
        <w:t>深</w:t>
      </w:r>
      <w:r>
        <w:rPr>
          <w:rFonts w:hint="eastAsia"/>
          <w:highlight w:val="none"/>
        </w:rPr>
        <w:t>交所结算保证金为14</w:t>
      </w:r>
      <w:r>
        <w:rPr>
          <w:rFonts w:hint="eastAsia"/>
          <w:highlight w:val="none"/>
          <w:lang w:val="en-US" w:eastAsia="zh-CN"/>
        </w:rPr>
        <w:t>,</w:t>
      </w:r>
      <w:r>
        <w:rPr>
          <w:rFonts w:hint="eastAsia"/>
          <w:highlight w:val="none"/>
        </w:rPr>
        <w:t>082.15元，</w:t>
      </w:r>
      <w:r>
        <w:rPr>
          <w:rFonts w:hint="eastAsia"/>
          <w:highlight w:val="none"/>
          <w:lang w:val="en-US" w:eastAsia="zh-CN"/>
        </w:rPr>
        <w:t>已于清算期内收回</w:t>
      </w:r>
      <w:r>
        <w:rPr>
          <w:rFonts w:hint="eastAsia"/>
          <w:highlight w:val="none"/>
        </w:rPr>
        <w:t>。应计利息为11.04元，尚未</w:t>
      </w:r>
      <w:r>
        <w:rPr>
          <w:rFonts w:hint="eastAsia"/>
          <w:highlight w:val="none"/>
          <w:lang w:val="en-US" w:eastAsia="zh-CN"/>
        </w:rPr>
        <w:t>全部</w:t>
      </w:r>
      <w:r>
        <w:rPr>
          <w:rFonts w:hint="eastAsia"/>
          <w:highlight w:val="none"/>
        </w:rPr>
        <w:t>收回。</w:t>
      </w:r>
    </w:p>
    <w:p w14:paraId="0C70CCE6">
      <w:pPr>
        <w:pStyle w:val="24"/>
        <w:rPr>
          <w:rFonts w:hint="eastAsia" w:eastAsia="宋体"/>
          <w:highlight w:val="none"/>
          <w:lang w:val="en-US" w:eastAsia="zh-CN"/>
        </w:rPr>
      </w:pPr>
      <w:r>
        <w:rPr>
          <w:rFonts w:hint="eastAsia"/>
          <w:highlight w:val="none"/>
          <w:lang w:val="en-US" w:eastAsia="zh-CN"/>
        </w:rPr>
        <w:t>5</w:t>
      </w:r>
      <w:r>
        <w:rPr>
          <w:rFonts w:hint="eastAsia"/>
          <w:highlight w:val="none"/>
        </w:rPr>
        <w:t>、本基金最后运作日银行存款余额为25</w:t>
      </w:r>
      <w:r>
        <w:rPr>
          <w:rFonts w:hint="eastAsia"/>
          <w:highlight w:val="none"/>
          <w:lang w:val="en-US" w:eastAsia="zh-CN"/>
        </w:rPr>
        <w:t>,</w:t>
      </w:r>
      <w:r>
        <w:rPr>
          <w:rFonts w:hint="eastAsia"/>
          <w:highlight w:val="none"/>
        </w:rPr>
        <w:t>071</w:t>
      </w:r>
      <w:r>
        <w:rPr>
          <w:rFonts w:hint="eastAsia"/>
          <w:highlight w:val="none"/>
          <w:lang w:val="en-US" w:eastAsia="zh-CN"/>
        </w:rPr>
        <w:t>,</w:t>
      </w:r>
      <w:r>
        <w:rPr>
          <w:rFonts w:hint="eastAsia"/>
          <w:highlight w:val="none"/>
        </w:rPr>
        <w:t>067.14元；存款利息为2</w:t>
      </w:r>
      <w:r>
        <w:rPr>
          <w:rFonts w:hint="eastAsia"/>
          <w:highlight w:val="none"/>
          <w:lang w:val="en-US" w:eastAsia="zh-CN"/>
        </w:rPr>
        <w:t>,</w:t>
      </w:r>
      <w:r>
        <w:rPr>
          <w:rFonts w:hint="eastAsia"/>
          <w:highlight w:val="none"/>
        </w:rPr>
        <w:t>598.03元，尚未</w:t>
      </w:r>
      <w:r>
        <w:rPr>
          <w:rFonts w:hint="eastAsia"/>
          <w:highlight w:val="none"/>
          <w:lang w:val="en-US" w:eastAsia="zh-CN"/>
        </w:rPr>
        <w:t>全部</w:t>
      </w:r>
      <w:r>
        <w:rPr>
          <w:rFonts w:hint="eastAsia"/>
          <w:highlight w:val="none"/>
        </w:rPr>
        <w:t>收回</w:t>
      </w:r>
      <w:r>
        <w:rPr>
          <w:rFonts w:hint="eastAsia"/>
          <w:highlight w:val="none"/>
          <w:lang w:eastAsia="zh-CN"/>
        </w:rPr>
        <w:t>。</w:t>
      </w:r>
    </w:p>
    <w:p w14:paraId="5B340926">
      <w:pPr>
        <w:pStyle w:val="24"/>
        <w:rPr>
          <w:rFonts w:hint="eastAsia"/>
          <w:highlight w:val="none"/>
        </w:rPr>
      </w:pPr>
      <w:r>
        <w:rPr>
          <w:rFonts w:hint="eastAsia"/>
          <w:highlight w:val="none"/>
          <w:lang w:val="en-US" w:eastAsia="zh-CN"/>
        </w:rPr>
        <w:t>6、</w:t>
      </w:r>
      <w:r>
        <w:rPr>
          <w:rFonts w:hint="eastAsia"/>
          <w:highlight w:val="none"/>
        </w:rPr>
        <w:t>本基金最后运作日交易性</w:t>
      </w:r>
      <w:r>
        <w:rPr>
          <w:rFonts w:hint="eastAsia"/>
          <w:highlight w:val="none"/>
          <w:lang w:val="en-US" w:eastAsia="zh-CN"/>
        </w:rPr>
        <w:t>金融资产</w:t>
      </w:r>
      <w:r>
        <w:rPr>
          <w:rFonts w:hint="eastAsia"/>
          <w:highlight w:val="none"/>
        </w:rPr>
        <w:t>投资为903</w:t>
      </w:r>
      <w:r>
        <w:rPr>
          <w:rFonts w:hint="eastAsia"/>
          <w:highlight w:val="none"/>
          <w:lang w:val="en-US" w:eastAsia="zh-CN"/>
        </w:rPr>
        <w:t>,</w:t>
      </w:r>
      <w:r>
        <w:rPr>
          <w:rFonts w:hint="eastAsia"/>
          <w:highlight w:val="none"/>
        </w:rPr>
        <w:t>745.48</w:t>
      </w:r>
      <w:r>
        <w:rPr>
          <w:rFonts w:hint="eastAsia"/>
          <w:highlight w:val="none"/>
          <w:lang w:val="en-US" w:eastAsia="zh-CN"/>
        </w:rPr>
        <w:t>元，已于清算期内卖出变现</w:t>
      </w:r>
      <w:r>
        <w:rPr>
          <w:rFonts w:hint="eastAsia"/>
          <w:highlight w:val="none"/>
        </w:rPr>
        <w:t>。</w:t>
      </w:r>
    </w:p>
    <w:p w14:paraId="38F01614">
      <w:pPr>
        <w:pStyle w:val="24"/>
        <w:rPr>
          <w:rFonts w:hint="eastAsia"/>
          <w:highlight w:val="none"/>
        </w:rPr>
      </w:pPr>
      <w:r>
        <w:rPr>
          <w:rFonts w:hint="eastAsia"/>
          <w:highlight w:val="none"/>
          <w:lang w:val="en-US" w:eastAsia="zh-CN"/>
        </w:rPr>
        <w:t>7、</w:t>
      </w:r>
      <w:r>
        <w:rPr>
          <w:rFonts w:hint="eastAsia"/>
          <w:highlight w:val="none"/>
        </w:rPr>
        <w:t>本基金最后运作日买入返售金融资产为-6</w:t>
      </w:r>
      <w:r>
        <w:rPr>
          <w:rFonts w:hint="eastAsia"/>
          <w:highlight w:val="none"/>
          <w:lang w:val="en-US" w:eastAsia="zh-CN"/>
        </w:rPr>
        <w:t>,</w:t>
      </w:r>
      <w:r>
        <w:rPr>
          <w:rFonts w:hint="eastAsia"/>
          <w:highlight w:val="none"/>
        </w:rPr>
        <w:t>421.92</w:t>
      </w:r>
      <w:r>
        <w:rPr>
          <w:rFonts w:hint="eastAsia"/>
          <w:highlight w:val="none"/>
          <w:lang w:val="en-US" w:eastAsia="zh-CN"/>
        </w:rPr>
        <w:t>元</w:t>
      </w:r>
      <w:r>
        <w:rPr>
          <w:rFonts w:hint="eastAsia"/>
          <w:highlight w:val="none"/>
        </w:rPr>
        <w:t>，</w:t>
      </w:r>
      <w:r>
        <w:rPr>
          <w:rFonts w:hint="eastAsia"/>
          <w:highlight w:val="none"/>
          <w:lang w:val="en-US" w:eastAsia="zh-CN"/>
        </w:rPr>
        <w:t>已于清算期内处理</w:t>
      </w:r>
      <w:r>
        <w:rPr>
          <w:rFonts w:hint="eastAsia"/>
          <w:highlight w:val="none"/>
        </w:rPr>
        <w:t>。</w:t>
      </w:r>
    </w:p>
    <w:p w14:paraId="3B8946D2">
      <w:pPr>
        <w:pStyle w:val="24"/>
        <w:rPr>
          <w:rFonts w:hint="eastAsia" w:eastAsia="宋体"/>
          <w:highlight w:val="none"/>
          <w:lang w:val="en-US" w:eastAsia="zh-CN"/>
        </w:rPr>
      </w:pPr>
      <w:r>
        <w:rPr>
          <w:rFonts w:hint="eastAsia"/>
          <w:highlight w:val="none"/>
          <w:lang w:val="en-US" w:eastAsia="zh-CN"/>
        </w:rPr>
        <w:t>8、</w:t>
      </w:r>
      <w:r>
        <w:rPr>
          <w:rFonts w:hint="eastAsia"/>
          <w:highlight w:val="none"/>
        </w:rPr>
        <w:t>本基金最后运作日期货结算备付金应计利息</w:t>
      </w:r>
      <w:r>
        <w:rPr>
          <w:rFonts w:hint="eastAsia"/>
          <w:highlight w:val="none"/>
          <w:lang w:val="en-US" w:eastAsia="zh-CN"/>
        </w:rPr>
        <w:t>为44.22元，已于清算期内处理</w:t>
      </w:r>
      <w:r>
        <w:rPr>
          <w:rFonts w:hint="eastAsia"/>
          <w:highlight w:val="none"/>
        </w:rPr>
        <w:t>。</w:t>
      </w:r>
    </w:p>
    <w:p w14:paraId="01B21DF9">
      <w:pPr>
        <w:pStyle w:val="24"/>
        <w:rPr>
          <w:rFonts w:hint="eastAsia"/>
          <w:highlight w:val="none"/>
        </w:rPr>
      </w:pPr>
      <w:r>
        <w:rPr>
          <w:rFonts w:hint="eastAsia"/>
          <w:highlight w:val="none"/>
          <w:lang w:val="en-US" w:eastAsia="zh-CN"/>
        </w:rPr>
        <w:t>9</w:t>
      </w:r>
      <w:r>
        <w:rPr>
          <w:rFonts w:hint="eastAsia"/>
          <w:highlight w:val="none"/>
        </w:rPr>
        <w:t>、本基金最后运作日的应付赎回款为18</w:t>
      </w:r>
      <w:r>
        <w:rPr>
          <w:rFonts w:hint="eastAsia"/>
          <w:highlight w:val="none"/>
          <w:lang w:val="en-US" w:eastAsia="zh-CN"/>
        </w:rPr>
        <w:t>,</w:t>
      </w:r>
      <w:r>
        <w:rPr>
          <w:rFonts w:hint="eastAsia"/>
          <w:highlight w:val="none"/>
        </w:rPr>
        <w:t>890</w:t>
      </w:r>
      <w:r>
        <w:rPr>
          <w:rFonts w:hint="eastAsia"/>
          <w:highlight w:val="none"/>
          <w:lang w:val="en-US" w:eastAsia="zh-CN"/>
        </w:rPr>
        <w:t>,</w:t>
      </w:r>
      <w:r>
        <w:rPr>
          <w:rFonts w:hint="eastAsia"/>
          <w:highlight w:val="none"/>
        </w:rPr>
        <w:t>799.88元，该款项已于</w:t>
      </w:r>
      <w:r>
        <w:rPr>
          <w:rFonts w:hint="eastAsia"/>
          <w:highlight w:val="none"/>
          <w:lang w:val="en-US" w:eastAsia="zh-CN"/>
        </w:rPr>
        <w:t>清算</w:t>
      </w:r>
      <w:r>
        <w:rPr>
          <w:rFonts w:hint="eastAsia"/>
          <w:highlight w:val="none"/>
        </w:rPr>
        <w:t>期间划出。</w:t>
      </w:r>
    </w:p>
    <w:p w14:paraId="7A29B378">
      <w:pPr>
        <w:pStyle w:val="24"/>
        <w:rPr>
          <w:highlight w:val="none"/>
        </w:rPr>
      </w:pPr>
      <w:r>
        <w:rPr>
          <w:rFonts w:hint="eastAsia"/>
          <w:highlight w:val="none"/>
          <w:lang w:val="en-US" w:eastAsia="zh-CN"/>
        </w:rPr>
        <w:t>10</w:t>
      </w:r>
      <w:r>
        <w:rPr>
          <w:rFonts w:hint="eastAsia"/>
          <w:highlight w:val="none"/>
        </w:rPr>
        <w:t>、本基金最后运作日应付管理人报酬为15</w:t>
      </w:r>
      <w:r>
        <w:rPr>
          <w:rFonts w:hint="eastAsia"/>
          <w:highlight w:val="none"/>
          <w:lang w:val="en-US" w:eastAsia="zh-CN"/>
        </w:rPr>
        <w:t>,</w:t>
      </w:r>
      <w:r>
        <w:rPr>
          <w:rFonts w:hint="eastAsia"/>
          <w:highlight w:val="none"/>
        </w:rPr>
        <w:t>430.83元，该款项</w:t>
      </w:r>
      <w:r>
        <w:rPr>
          <w:rFonts w:hint="eastAsia"/>
          <w:highlight w:val="none"/>
          <w:lang w:val="en-US" w:eastAsia="zh-CN"/>
        </w:rPr>
        <w:t>已于清算期间</w:t>
      </w:r>
      <w:r>
        <w:rPr>
          <w:rFonts w:hint="eastAsia"/>
          <w:highlight w:val="none"/>
        </w:rPr>
        <w:t>支付。</w:t>
      </w:r>
    </w:p>
    <w:p w14:paraId="11C2C628">
      <w:pPr>
        <w:pStyle w:val="24"/>
        <w:rPr>
          <w:rFonts w:hint="eastAsia"/>
          <w:highlight w:val="none"/>
        </w:rPr>
      </w:pPr>
      <w:r>
        <w:rPr>
          <w:rFonts w:hint="eastAsia"/>
          <w:highlight w:val="none"/>
          <w:lang w:val="en-US" w:eastAsia="zh-CN"/>
        </w:rPr>
        <w:t>11</w:t>
      </w:r>
      <w:r>
        <w:rPr>
          <w:rFonts w:hint="eastAsia"/>
          <w:highlight w:val="none"/>
        </w:rPr>
        <w:t>、本基金最后运作日应付托管费为5</w:t>
      </w:r>
      <w:r>
        <w:rPr>
          <w:rFonts w:hint="eastAsia"/>
          <w:highlight w:val="none"/>
          <w:lang w:val="en-US" w:eastAsia="zh-CN"/>
        </w:rPr>
        <w:t>,</w:t>
      </w:r>
      <w:r>
        <w:rPr>
          <w:rFonts w:hint="eastAsia"/>
          <w:highlight w:val="none"/>
        </w:rPr>
        <w:t>143.61元，该款项已于</w:t>
      </w:r>
      <w:r>
        <w:rPr>
          <w:rFonts w:hint="eastAsia"/>
          <w:highlight w:val="none"/>
          <w:lang w:val="en-US" w:eastAsia="zh-CN"/>
        </w:rPr>
        <w:t>清算期间</w:t>
      </w:r>
      <w:r>
        <w:rPr>
          <w:rFonts w:hint="eastAsia"/>
          <w:highlight w:val="none"/>
        </w:rPr>
        <w:t>支付。</w:t>
      </w:r>
    </w:p>
    <w:p w14:paraId="26413F4E">
      <w:pPr>
        <w:pStyle w:val="24"/>
        <w:rPr>
          <w:rFonts w:hint="eastAsia" w:eastAsia="宋体"/>
          <w:highlight w:val="none"/>
          <w:lang w:val="en-US" w:eastAsia="zh-CN"/>
        </w:rPr>
      </w:pPr>
      <w:r>
        <w:rPr>
          <w:rFonts w:hint="eastAsia"/>
          <w:highlight w:val="none"/>
          <w:lang w:val="en-US" w:eastAsia="zh-CN"/>
        </w:rPr>
        <w:t>12、</w:t>
      </w:r>
      <w:r>
        <w:rPr>
          <w:rFonts w:hint="eastAsia"/>
          <w:highlight w:val="none"/>
        </w:rPr>
        <w:t>本基金最后运作日应付销售服务费</w:t>
      </w:r>
      <w:r>
        <w:rPr>
          <w:rFonts w:hint="eastAsia"/>
          <w:highlight w:val="none"/>
          <w:lang w:val="en-US" w:eastAsia="zh-CN"/>
        </w:rPr>
        <w:t>5,146.39</w:t>
      </w:r>
      <w:r>
        <w:rPr>
          <w:rFonts w:hint="eastAsia"/>
          <w:highlight w:val="none"/>
        </w:rPr>
        <w:t>元</w:t>
      </w:r>
      <w:r>
        <w:rPr>
          <w:rFonts w:hint="eastAsia"/>
          <w:highlight w:val="none"/>
          <w:lang w:val="en-US" w:eastAsia="zh-CN"/>
        </w:rPr>
        <w:t>,</w:t>
      </w:r>
      <w:r>
        <w:rPr>
          <w:rFonts w:hint="eastAsia"/>
          <w:highlight w:val="none"/>
        </w:rPr>
        <w:t>该款项已于</w:t>
      </w:r>
      <w:r>
        <w:rPr>
          <w:rFonts w:hint="eastAsia"/>
          <w:highlight w:val="none"/>
          <w:lang w:val="en-US" w:eastAsia="zh-CN"/>
        </w:rPr>
        <w:t>清算期间</w:t>
      </w:r>
      <w:r>
        <w:rPr>
          <w:rFonts w:hint="eastAsia"/>
          <w:highlight w:val="none"/>
        </w:rPr>
        <w:t>支付</w:t>
      </w:r>
      <w:r>
        <w:rPr>
          <w:rFonts w:hint="eastAsia"/>
          <w:highlight w:val="none"/>
          <w:lang w:eastAsia="zh-CN"/>
        </w:rPr>
        <w:t>。</w:t>
      </w:r>
    </w:p>
    <w:p w14:paraId="27CFB3CA">
      <w:pPr>
        <w:pStyle w:val="24"/>
        <w:rPr>
          <w:rFonts w:hint="default"/>
          <w:highlight w:val="none"/>
          <w:lang w:val="en-US"/>
        </w:rPr>
      </w:pPr>
      <w:r>
        <w:rPr>
          <w:rFonts w:hint="eastAsia"/>
          <w:highlight w:val="none"/>
        </w:rPr>
        <w:t>1</w:t>
      </w:r>
      <w:r>
        <w:rPr>
          <w:rFonts w:hint="eastAsia"/>
          <w:highlight w:val="none"/>
          <w:lang w:val="en-US" w:eastAsia="zh-CN"/>
        </w:rPr>
        <w:t>3</w:t>
      </w:r>
      <w:r>
        <w:rPr>
          <w:rFonts w:hint="eastAsia"/>
          <w:highlight w:val="none"/>
        </w:rPr>
        <w:t>、本基金最后运作日其他负债</w:t>
      </w:r>
      <w:r>
        <w:rPr>
          <w:rFonts w:hint="eastAsia"/>
          <w:highlight w:val="none"/>
          <w:lang w:val="en-US" w:eastAsia="zh-CN"/>
        </w:rPr>
        <w:t>包括预提审计费、律师费、信息披露费、公证费、应付赎回费、中债登账户服务费、上清所账户服务费</w:t>
      </w:r>
      <w:r>
        <w:rPr>
          <w:rFonts w:hint="eastAsia"/>
          <w:highlight w:val="none"/>
          <w:lang w:eastAsia="zh-CN"/>
        </w:rPr>
        <w:t>；</w:t>
      </w:r>
      <w:r>
        <w:rPr>
          <w:rFonts w:hint="eastAsia"/>
          <w:highlight w:val="none"/>
          <w:lang w:val="en-US" w:eastAsia="zh-CN"/>
        </w:rPr>
        <w:t>其中</w:t>
      </w:r>
      <w:r>
        <w:rPr>
          <w:rFonts w:hint="eastAsia"/>
          <w:highlight w:val="none"/>
        </w:rPr>
        <w:t>预提审计费为11</w:t>
      </w:r>
      <w:r>
        <w:rPr>
          <w:rFonts w:hint="eastAsia"/>
          <w:highlight w:val="none"/>
          <w:lang w:val="en-US" w:eastAsia="zh-CN"/>
        </w:rPr>
        <w:t>,</w:t>
      </w:r>
      <w:r>
        <w:rPr>
          <w:rFonts w:hint="eastAsia"/>
          <w:highlight w:val="none"/>
        </w:rPr>
        <w:t>428.96元，</w:t>
      </w:r>
      <w:r>
        <w:rPr>
          <w:rFonts w:hint="eastAsia"/>
          <w:highlight w:val="none"/>
          <w:lang w:val="en-US" w:eastAsia="zh-CN"/>
        </w:rPr>
        <w:t>预提律师费</w:t>
      </w:r>
      <w:r>
        <w:rPr>
          <w:rFonts w:hint="eastAsia"/>
          <w:highlight w:val="none"/>
        </w:rPr>
        <w:t>为</w:t>
      </w:r>
      <w:r>
        <w:rPr>
          <w:rFonts w:hint="eastAsia"/>
          <w:highlight w:val="none"/>
          <w:lang w:val="en-US" w:eastAsia="zh-CN"/>
        </w:rPr>
        <w:t>25,000</w:t>
      </w:r>
      <w:r>
        <w:rPr>
          <w:rFonts w:hint="eastAsia"/>
          <w:highlight w:val="none"/>
        </w:rPr>
        <w:t>.</w:t>
      </w:r>
      <w:r>
        <w:rPr>
          <w:rFonts w:hint="eastAsia"/>
          <w:highlight w:val="none"/>
          <w:lang w:val="en-US" w:eastAsia="zh-CN"/>
        </w:rPr>
        <w:t>00</w:t>
      </w:r>
      <w:r>
        <w:rPr>
          <w:rFonts w:hint="eastAsia"/>
          <w:highlight w:val="none"/>
        </w:rPr>
        <w:t>元</w:t>
      </w:r>
      <w:r>
        <w:rPr>
          <w:rFonts w:hint="eastAsia"/>
          <w:highlight w:val="none"/>
          <w:lang w:val="en-US" w:eastAsia="zh-CN"/>
        </w:rPr>
        <w:t>,预提信息披露费</w:t>
      </w:r>
      <w:r>
        <w:rPr>
          <w:rFonts w:hint="eastAsia"/>
          <w:highlight w:val="none"/>
        </w:rPr>
        <w:t>为</w:t>
      </w:r>
      <w:r>
        <w:rPr>
          <w:rFonts w:hint="eastAsia"/>
          <w:highlight w:val="none"/>
          <w:lang w:val="en-US" w:eastAsia="zh-CN"/>
        </w:rPr>
        <w:t>31,567.58</w:t>
      </w:r>
      <w:r>
        <w:rPr>
          <w:rFonts w:hint="eastAsia"/>
          <w:highlight w:val="none"/>
        </w:rPr>
        <w:t>元</w:t>
      </w:r>
      <w:r>
        <w:rPr>
          <w:rFonts w:hint="eastAsia"/>
          <w:highlight w:val="none"/>
          <w:lang w:val="en-US" w:eastAsia="zh-CN"/>
        </w:rPr>
        <w:t>，预提公证费</w:t>
      </w:r>
      <w:r>
        <w:rPr>
          <w:rFonts w:hint="eastAsia"/>
          <w:highlight w:val="none"/>
        </w:rPr>
        <w:t>为</w:t>
      </w:r>
      <w:r>
        <w:rPr>
          <w:rFonts w:hint="eastAsia"/>
          <w:highlight w:val="none"/>
          <w:lang w:val="en-US" w:eastAsia="zh-CN"/>
        </w:rPr>
        <w:t>10,000</w:t>
      </w:r>
      <w:r>
        <w:rPr>
          <w:rFonts w:hint="eastAsia"/>
          <w:highlight w:val="none"/>
        </w:rPr>
        <w:t>.</w:t>
      </w:r>
      <w:r>
        <w:rPr>
          <w:rFonts w:hint="eastAsia"/>
          <w:highlight w:val="none"/>
          <w:lang w:val="en-US" w:eastAsia="zh-CN"/>
        </w:rPr>
        <w:t>00</w:t>
      </w:r>
      <w:r>
        <w:rPr>
          <w:rFonts w:hint="eastAsia"/>
          <w:highlight w:val="none"/>
        </w:rPr>
        <w:t>元</w:t>
      </w:r>
      <w:r>
        <w:rPr>
          <w:rFonts w:hint="eastAsia"/>
          <w:highlight w:val="none"/>
          <w:lang w:eastAsia="zh-CN"/>
        </w:rPr>
        <w:t>，</w:t>
      </w:r>
      <w:r>
        <w:rPr>
          <w:rFonts w:hint="eastAsia"/>
          <w:highlight w:val="none"/>
          <w:lang w:val="en-US" w:eastAsia="zh-CN"/>
        </w:rPr>
        <w:t>以上</w:t>
      </w:r>
      <w:r>
        <w:rPr>
          <w:rFonts w:hint="eastAsia"/>
          <w:highlight w:val="none"/>
        </w:rPr>
        <w:t>款项</w:t>
      </w:r>
      <w:r>
        <w:rPr>
          <w:rFonts w:hint="eastAsia"/>
          <w:highlight w:val="none"/>
          <w:lang w:val="en-US" w:eastAsia="zh-CN"/>
        </w:rPr>
        <w:t>尚未</w:t>
      </w:r>
      <w:r>
        <w:rPr>
          <w:rFonts w:hint="eastAsia"/>
          <w:highlight w:val="none"/>
        </w:rPr>
        <w:t>支付。</w:t>
      </w:r>
      <w:r>
        <w:rPr>
          <w:rFonts w:hint="eastAsia"/>
          <w:highlight w:val="none"/>
          <w:lang w:val="en-US" w:eastAsia="zh-CN"/>
        </w:rPr>
        <w:t>应付赎回费1.26元，中债登账户服务费3,000.00元，上清所账户服务费3,200.00元，已于清算期间支付。</w:t>
      </w:r>
    </w:p>
    <w:p w14:paraId="779878FA">
      <w:pPr>
        <w:pStyle w:val="24"/>
        <w:rPr>
          <w:rFonts w:hint="eastAsia"/>
          <w:highlight w:val="none"/>
        </w:rPr>
      </w:pPr>
      <w:r>
        <w:rPr>
          <w:rFonts w:hint="eastAsia"/>
          <w:highlight w:val="none"/>
          <w:lang w:val="en-US" w:eastAsia="zh-CN"/>
        </w:rPr>
        <w:t>14、</w:t>
      </w:r>
      <w:r>
        <w:rPr>
          <w:rFonts w:hint="eastAsia"/>
          <w:highlight w:val="none"/>
        </w:rPr>
        <w:t>本基金最后运作日</w:t>
      </w:r>
      <w:r>
        <w:rPr>
          <w:rFonts w:hint="eastAsia"/>
          <w:highlight w:val="none"/>
          <w:lang w:val="en-US" w:eastAsia="zh-CN"/>
        </w:rPr>
        <w:t>应收清算款</w:t>
      </w:r>
      <w:r>
        <w:rPr>
          <w:rFonts w:hint="eastAsia"/>
          <w:highlight w:val="none"/>
        </w:rPr>
        <w:t>为10</w:t>
      </w:r>
      <w:r>
        <w:rPr>
          <w:rFonts w:hint="eastAsia"/>
          <w:highlight w:val="none"/>
          <w:lang w:val="en-US" w:eastAsia="zh-CN"/>
        </w:rPr>
        <w:t>,</w:t>
      </w:r>
      <w:r>
        <w:rPr>
          <w:rFonts w:hint="eastAsia"/>
          <w:highlight w:val="none"/>
        </w:rPr>
        <w:t>007</w:t>
      </w:r>
      <w:r>
        <w:rPr>
          <w:rFonts w:hint="eastAsia"/>
          <w:highlight w:val="none"/>
          <w:lang w:val="en-US" w:eastAsia="zh-CN"/>
        </w:rPr>
        <w:t>,</w:t>
      </w:r>
      <w:r>
        <w:rPr>
          <w:rFonts w:hint="eastAsia"/>
          <w:highlight w:val="none"/>
        </w:rPr>
        <w:t>224.66元，</w:t>
      </w:r>
      <w:r>
        <w:rPr>
          <w:rFonts w:hint="eastAsia"/>
          <w:highlight w:val="none"/>
          <w:lang w:val="en-US" w:eastAsia="zh-CN"/>
        </w:rPr>
        <w:t>已于清算期内收回</w:t>
      </w:r>
      <w:r>
        <w:rPr>
          <w:rFonts w:hint="eastAsia"/>
          <w:highlight w:val="none"/>
        </w:rPr>
        <w:t>。</w:t>
      </w:r>
    </w:p>
    <w:p w14:paraId="572E7A84">
      <w:pPr>
        <w:pStyle w:val="24"/>
        <w:rPr>
          <w:rFonts w:hint="default" w:eastAsia="宋体"/>
          <w:highlight w:val="none"/>
          <w:lang w:val="en-US" w:eastAsia="zh-CN"/>
        </w:rPr>
      </w:pPr>
      <w:r>
        <w:rPr>
          <w:rFonts w:hint="eastAsia"/>
          <w:highlight w:val="none"/>
          <w:lang w:val="en-US" w:eastAsia="zh-CN"/>
        </w:rPr>
        <w:t>15、本基金最后运作日其他应收款为808.69元，清算期内尚未收回。</w:t>
      </w:r>
    </w:p>
    <w:bookmarkEnd w:id="47"/>
    <w:p w14:paraId="56906071">
      <w:pPr>
        <w:pStyle w:val="3"/>
        <w:spacing w:before="0" w:after="0"/>
        <w:rPr>
          <w:rFonts w:ascii="宋体" w:hAnsi="宋体" w:eastAsia="宋体"/>
          <w:kern w:val="0"/>
          <w:sz w:val="21"/>
          <w:szCs w:val="21"/>
          <w:highlight w:val="none"/>
        </w:rPr>
      </w:pPr>
      <w:bookmarkStart w:id="49" w:name="_Toc491963089"/>
      <w:r>
        <w:rPr>
          <w:rFonts w:hint="eastAsia" w:ascii="宋体" w:hAnsi="宋体" w:eastAsia="宋体"/>
          <w:kern w:val="0"/>
          <w:sz w:val="21"/>
          <w:szCs w:val="21"/>
          <w:highlight w:val="none"/>
        </w:rPr>
        <w:t>5.2 截至本次清算期结束日的剩余财产情况及剩余财产分配安排</w:t>
      </w:r>
      <w:bookmarkEnd w:id="49"/>
    </w:p>
    <w:tbl>
      <w:tblPr>
        <w:tblStyle w:val="13"/>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97"/>
        <w:gridCol w:w="5675"/>
      </w:tblGrid>
      <w:tr w14:paraId="2D4BF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Align w:val="center"/>
          </w:tcPr>
          <w:p w14:paraId="31C95786">
            <w:pPr>
              <w:pStyle w:val="11"/>
              <w:jc w:val="center"/>
              <w:rPr>
                <w:rFonts w:ascii="宋体" w:hAnsi="宋体" w:eastAsia="宋体"/>
                <w:b/>
                <w:color w:val="000000" w:themeColor="text1"/>
                <w:sz w:val="21"/>
                <w:szCs w:val="21"/>
                <w:highlight w:val="none"/>
                <w14:textFill>
                  <w14:solidFill>
                    <w14:schemeClr w14:val="tx1"/>
                  </w14:solidFill>
                </w14:textFill>
              </w:rPr>
            </w:pPr>
            <w:r>
              <w:rPr>
                <w:rFonts w:ascii="宋体" w:hAnsi="宋体" w:eastAsia="宋体"/>
                <w:b/>
                <w:color w:val="000000" w:themeColor="text1"/>
                <w:sz w:val="21"/>
                <w:szCs w:val="21"/>
                <w:highlight w:val="none"/>
                <w14:textFill>
                  <w14:solidFill>
                    <w14:schemeClr w14:val="tx1"/>
                  </w14:solidFill>
                </w14:textFill>
              </w:rPr>
              <w:t>项目</w:t>
            </w:r>
          </w:p>
        </w:tc>
        <w:tc>
          <w:tcPr>
            <w:tcW w:w="5675" w:type="dxa"/>
            <w:vAlign w:val="center"/>
          </w:tcPr>
          <w:p w14:paraId="7603CE5A">
            <w:pPr>
              <w:pStyle w:val="11"/>
              <w:spacing w:before="0" w:beforeAutospacing="0" w:after="0" w:afterAutospacing="0"/>
              <w:jc w:val="center"/>
              <w:rPr>
                <w:rFonts w:ascii="宋体" w:hAnsi="宋体" w:eastAsia="宋体"/>
                <w:b/>
                <w:color w:val="000000" w:themeColor="text1"/>
                <w:sz w:val="21"/>
                <w:szCs w:val="21"/>
                <w:highlight w:val="none"/>
                <w:lang w:eastAsia="zh-CN"/>
                <w14:textFill>
                  <w14:solidFill>
                    <w14:schemeClr w14:val="tx1"/>
                  </w14:solidFill>
                </w14:textFill>
              </w:rPr>
            </w:pPr>
            <w:r>
              <w:rPr>
                <w:rFonts w:hint="eastAsia" w:ascii="宋体" w:hAnsi="宋体" w:eastAsia="宋体"/>
                <w:b/>
                <w:color w:val="000000" w:themeColor="text1"/>
                <w:sz w:val="21"/>
                <w:szCs w:val="21"/>
                <w:highlight w:val="none"/>
                <w:lang w:eastAsia="zh-CN"/>
                <w14:textFill>
                  <w14:solidFill>
                    <w14:schemeClr w14:val="tx1"/>
                  </w14:solidFill>
                </w14:textFill>
              </w:rPr>
              <w:t>金额</w:t>
            </w:r>
          </w:p>
        </w:tc>
      </w:tr>
      <w:tr w14:paraId="2DEAE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Align w:val="center"/>
          </w:tcPr>
          <w:p w14:paraId="7D4533B2">
            <w:pP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一、</w:t>
            </w:r>
            <w:r>
              <w:rPr>
                <w:rFonts w:hint="eastAsia" w:ascii="宋体" w:hAnsi="宋体"/>
                <w:b/>
                <w:color w:val="000000" w:themeColor="text1"/>
                <w:szCs w:val="21"/>
                <w:highlight w:val="none"/>
                <w14:textFill>
                  <w14:solidFill>
                    <w14:schemeClr w14:val="tx1"/>
                  </w14:solidFill>
                </w14:textFill>
              </w:rPr>
              <w:t>最后运作日202</w:t>
            </w: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年</w:t>
            </w:r>
            <w:r>
              <w:rPr>
                <w:rFonts w:hint="eastAsia" w:ascii="宋体" w:hAnsi="宋体"/>
                <w:b/>
                <w:color w:val="000000" w:themeColor="text1"/>
                <w:szCs w:val="21"/>
                <w:highlight w:val="none"/>
                <w:lang w:val="en-US" w:eastAsia="zh-CN"/>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月</w:t>
            </w:r>
            <w:r>
              <w:rPr>
                <w:rFonts w:hint="eastAsia" w:ascii="宋体" w:hAnsi="宋体"/>
                <w:b/>
                <w:color w:val="000000" w:themeColor="text1"/>
                <w:szCs w:val="21"/>
                <w:highlight w:val="none"/>
                <w:lang w:val="en-US" w:eastAsia="zh-CN"/>
                <w14:textFill>
                  <w14:solidFill>
                    <w14:schemeClr w14:val="tx1"/>
                  </w14:solidFill>
                </w14:textFill>
              </w:rPr>
              <w:t>27</w:t>
            </w:r>
            <w:r>
              <w:rPr>
                <w:rFonts w:hint="eastAsia" w:ascii="宋体" w:hAnsi="宋体"/>
                <w:b/>
                <w:color w:val="000000" w:themeColor="text1"/>
                <w:szCs w:val="21"/>
                <w:highlight w:val="none"/>
                <w14:textFill>
                  <w14:solidFill>
                    <w14:schemeClr w14:val="tx1"/>
                  </w14:solidFill>
                </w14:textFill>
              </w:rPr>
              <w:t>日基金净资产</w:t>
            </w:r>
          </w:p>
        </w:tc>
        <w:tc>
          <w:tcPr>
            <w:tcW w:w="5675" w:type="dxa"/>
            <w:vAlign w:val="center"/>
          </w:tcPr>
          <w:p w14:paraId="1E6C95DE">
            <w:pPr>
              <w:ind w:left="-80"/>
              <w:jc w:val="right"/>
              <w:rPr>
                <w:rFonts w:hint="eastAsia" w:ascii="Arial" w:hAnsi="Arial" w:cs="Arial"/>
                <w:b/>
                <w:color w:val="000000"/>
                <w:sz w:val="24"/>
                <w:highlight w:val="none"/>
              </w:rPr>
            </w:pPr>
            <w:r>
              <w:rPr>
                <w:rFonts w:hint="eastAsia" w:ascii="Arial" w:hAnsi="Arial" w:cs="Arial"/>
                <w:b/>
                <w:color w:val="000000"/>
                <w:sz w:val="24"/>
                <w:highlight w:val="none"/>
              </w:rPr>
              <w:t>17,249,505.26</w:t>
            </w:r>
          </w:p>
        </w:tc>
      </w:tr>
      <w:tr w14:paraId="0F6D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Align w:val="center"/>
          </w:tcPr>
          <w:p w14:paraId="7999DF54">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减：20</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lang w:val="en-US" w:eastAsia="zh-CN"/>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日确认</w:t>
            </w:r>
            <w:r>
              <w:rPr>
                <w:rFonts w:hint="eastAsia" w:ascii="宋体" w:hAnsi="宋体"/>
                <w:color w:val="000000" w:themeColor="text1"/>
                <w:szCs w:val="21"/>
                <w:highlight w:val="none"/>
                <w:lang w:val="en-US" w:eastAsia="zh-CN"/>
                <w14:textFill>
                  <w14:solidFill>
                    <w14:schemeClr w14:val="tx1"/>
                  </w14:solidFill>
                </w14:textFill>
              </w:rPr>
              <w:t>净</w:t>
            </w:r>
            <w:r>
              <w:rPr>
                <w:rFonts w:hint="eastAsia" w:ascii="宋体" w:hAnsi="宋体"/>
                <w:color w:val="000000" w:themeColor="text1"/>
                <w:szCs w:val="21"/>
                <w:highlight w:val="none"/>
                <w14:textFill>
                  <w14:solidFill>
                    <w14:schemeClr w14:val="tx1"/>
                  </w14:solidFill>
                </w14:textFill>
              </w:rPr>
              <w:t>赎回对价</w:t>
            </w:r>
          </w:p>
        </w:tc>
        <w:tc>
          <w:tcPr>
            <w:tcW w:w="5675" w:type="dxa"/>
            <w:vAlign w:val="center"/>
          </w:tcPr>
          <w:p w14:paraId="24593F7C">
            <w:pPr>
              <w:ind w:left="-80"/>
              <w:jc w:val="right"/>
              <w:rPr>
                <w:rFonts w:hint="default" w:ascii="Arial" w:hAnsi="Arial" w:eastAsia="宋体" w:cs="Arial"/>
                <w:color w:val="000000"/>
                <w:sz w:val="24"/>
                <w:highlight w:val="none"/>
                <w:lang w:val="en-US" w:eastAsia="zh-CN"/>
              </w:rPr>
            </w:pPr>
            <w:r>
              <w:rPr>
                <w:rFonts w:hint="eastAsia" w:ascii="Arial" w:hAnsi="Arial" w:cs="Arial"/>
                <w:color w:val="000000"/>
                <w:sz w:val="24"/>
                <w:highlight w:val="none"/>
                <w:lang w:val="en-US" w:eastAsia="zh-CN"/>
              </w:rPr>
              <w:t>191,582.59</w:t>
            </w:r>
          </w:p>
        </w:tc>
      </w:tr>
      <w:tr w14:paraId="2074C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Align w:val="center"/>
          </w:tcPr>
          <w:p w14:paraId="0737D3E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加：清算期间净收益</w:t>
            </w:r>
          </w:p>
        </w:tc>
        <w:tc>
          <w:tcPr>
            <w:tcW w:w="5675" w:type="dxa"/>
            <w:vAlign w:val="center"/>
          </w:tcPr>
          <w:p w14:paraId="01F5FBA0">
            <w:pPr>
              <w:ind w:left="-80"/>
              <w:jc w:val="right"/>
              <w:rPr>
                <w:rFonts w:ascii="Arial" w:hAnsi="Arial" w:cs="Arial"/>
                <w:color w:val="000000"/>
                <w:sz w:val="24"/>
                <w:highlight w:val="none"/>
              </w:rPr>
            </w:pPr>
            <w:r>
              <w:rPr>
                <w:rFonts w:hint="eastAsia" w:ascii="Arial" w:hAnsi="Arial" w:cs="Arial"/>
                <w:b w:val="0"/>
                <w:bCs w:val="0"/>
                <w:color w:val="000000"/>
                <w:sz w:val="24"/>
                <w:highlight w:val="none"/>
              </w:rPr>
              <w:t>19,295.28</w:t>
            </w:r>
          </w:p>
        </w:tc>
      </w:tr>
      <w:tr w14:paraId="20ADA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397" w:type="dxa"/>
            <w:vAlign w:val="center"/>
          </w:tcPr>
          <w:p w14:paraId="1961E4E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w:t>
            </w:r>
            <w:r>
              <w:rPr>
                <w:rFonts w:ascii="宋体" w:hAnsi="宋体"/>
                <w:b/>
                <w:color w:val="000000" w:themeColor="text1"/>
                <w:szCs w:val="21"/>
                <w:highlight w:val="none"/>
                <w14:textFill>
                  <w14:solidFill>
                    <w14:schemeClr w14:val="tx1"/>
                  </w14:solidFill>
                </w14:textFill>
              </w:rPr>
              <w:t>202</w:t>
            </w:r>
            <w:r>
              <w:rPr>
                <w:rFonts w:hint="eastAsia" w:ascii="宋体" w:hAnsi="宋体"/>
                <w:b/>
                <w:color w:val="000000" w:themeColor="text1"/>
                <w:szCs w:val="21"/>
                <w:highlight w:val="none"/>
                <w:lang w:val="en-US" w:eastAsia="zh-CN"/>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年</w:t>
            </w:r>
            <w:r>
              <w:rPr>
                <w:rFonts w:hint="eastAsia" w:ascii="宋体" w:hAnsi="宋体"/>
                <w:b/>
                <w:color w:val="000000" w:themeColor="text1"/>
                <w:szCs w:val="21"/>
                <w:highlight w:val="none"/>
                <w:lang w:val="en-US" w:eastAsia="zh-CN"/>
                <w14:textFill>
                  <w14:solidFill>
                    <w14:schemeClr w14:val="tx1"/>
                  </w14:solidFill>
                </w14:textFill>
              </w:rPr>
              <w:t>2月21日</w:t>
            </w:r>
            <w:r>
              <w:rPr>
                <w:rFonts w:hint="eastAsia" w:ascii="宋体" w:hAnsi="宋体"/>
                <w:b/>
                <w:color w:val="000000" w:themeColor="text1"/>
                <w:szCs w:val="21"/>
                <w:highlight w:val="none"/>
                <w14:textFill>
                  <w14:solidFill>
                    <w14:schemeClr w14:val="tx1"/>
                  </w14:solidFill>
                </w14:textFill>
              </w:rPr>
              <w:t>基金净资产</w:t>
            </w:r>
          </w:p>
        </w:tc>
        <w:tc>
          <w:tcPr>
            <w:tcW w:w="5675" w:type="dxa"/>
            <w:vAlign w:val="center"/>
          </w:tcPr>
          <w:p w14:paraId="1B51000B">
            <w:pPr>
              <w:ind w:left="-80"/>
              <w:jc w:val="right"/>
              <w:rPr>
                <w:rFonts w:ascii="Arial" w:hAnsi="Arial" w:cs="Arial"/>
                <w:b/>
                <w:color w:val="000000"/>
                <w:sz w:val="24"/>
                <w:highlight w:val="none"/>
              </w:rPr>
            </w:pPr>
            <w:r>
              <w:rPr>
                <w:rFonts w:hint="eastAsia" w:ascii="Arial" w:hAnsi="Arial" w:cs="Arial"/>
                <w:b/>
                <w:color w:val="000000"/>
                <w:sz w:val="24"/>
                <w:highlight w:val="none"/>
              </w:rPr>
              <w:t>17,077,217.95</w:t>
            </w:r>
          </w:p>
        </w:tc>
      </w:tr>
    </w:tbl>
    <w:p w14:paraId="38438EF5">
      <w:pPr>
        <w:pStyle w:val="24"/>
        <w:rPr>
          <w:highlight w:val="none"/>
        </w:rPr>
      </w:pPr>
      <w:r>
        <w:rPr>
          <w:rFonts w:hint="eastAsia"/>
          <w:highlight w:val="none"/>
        </w:rPr>
        <w:t>截至本次清算期结束日202</w:t>
      </w:r>
      <w:r>
        <w:rPr>
          <w:rFonts w:hint="eastAsia"/>
          <w:highlight w:val="none"/>
          <w:lang w:val="en-US" w:eastAsia="zh-CN"/>
        </w:rPr>
        <w:t>5</w:t>
      </w:r>
      <w:r>
        <w:rPr>
          <w:rFonts w:hint="eastAsia"/>
          <w:highlight w:val="none"/>
        </w:rPr>
        <w:t>年</w:t>
      </w:r>
      <w:r>
        <w:rPr>
          <w:rFonts w:hint="eastAsia"/>
          <w:highlight w:val="none"/>
          <w:lang w:val="en-US" w:eastAsia="zh-CN"/>
        </w:rPr>
        <w:t>2</w:t>
      </w:r>
      <w:r>
        <w:rPr>
          <w:rFonts w:hint="eastAsia"/>
          <w:highlight w:val="none"/>
          <w:lang w:eastAsia="zh-CN"/>
        </w:rPr>
        <w:t>月</w:t>
      </w:r>
      <w:r>
        <w:rPr>
          <w:rFonts w:hint="eastAsia"/>
          <w:highlight w:val="none"/>
          <w:lang w:val="en-US" w:eastAsia="zh-CN"/>
        </w:rPr>
        <w:t>21</w:t>
      </w:r>
      <w:r>
        <w:rPr>
          <w:rFonts w:hint="eastAsia"/>
          <w:highlight w:val="none"/>
          <w:lang w:eastAsia="zh-CN"/>
        </w:rPr>
        <w:t>日</w:t>
      </w:r>
      <w:r>
        <w:rPr>
          <w:rFonts w:hint="eastAsia"/>
          <w:highlight w:val="none"/>
        </w:rPr>
        <w:t>，本基金剩余财产为人民币17,077,217.95</w:t>
      </w:r>
      <w:r>
        <w:rPr>
          <w:rFonts w:hint="eastAsia"/>
          <w:highlight w:val="none"/>
          <w:lang w:eastAsia="zh-CN"/>
        </w:rPr>
        <w:t>元，基金净资产为</w:t>
      </w:r>
      <w:r>
        <w:rPr>
          <w:rFonts w:hint="eastAsia"/>
          <w:highlight w:val="none"/>
        </w:rPr>
        <w:t>17,077,217.95元。自本次清算期结束日次日202</w:t>
      </w:r>
      <w:r>
        <w:rPr>
          <w:rFonts w:hint="eastAsia"/>
          <w:highlight w:val="none"/>
          <w:lang w:val="en-US" w:eastAsia="zh-CN"/>
        </w:rPr>
        <w:t>5</w:t>
      </w:r>
      <w:r>
        <w:rPr>
          <w:rFonts w:hint="eastAsia"/>
          <w:highlight w:val="none"/>
        </w:rPr>
        <w:t>年</w:t>
      </w:r>
      <w:r>
        <w:rPr>
          <w:rFonts w:hint="eastAsia"/>
          <w:highlight w:val="none"/>
          <w:lang w:val="en-US" w:eastAsia="zh-CN"/>
        </w:rPr>
        <w:t>2</w:t>
      </w:r>
      <w:r>
        <w:rPr>
          <w:rFonts w:hint="eastAsia"/>
          <w:highlight w:val="none"/>
        </w:rPr>
        <w:t>月</w:t>
      </w:r>
      <w:r>
        <w:rPr>
          <w:rFonts w:hint="eastAsia"/>
          <w:highlight w:val="none"/>
          <w:lang w:val="en-US" w:eastAsia="zh-CN"/>
        </w:rPr>
        <w:t>22</w:t>
      </w:r>
      <w:r>
        <w:rPr>
          <w:rFonts w:hint="eastAsia"/>
          <w:highlight w:val="none"/>
        </w:rPr>
        <w:t>日至清算款划出前一日的收益和费用由基金份额持有人享有和承担。</w:t>
      </w:r>
    </w:p>
    <w:p w14:paraId="21202F28">
      <w:pPr>
        <w:spacing w:line="360" w:lineRule="auto"/>
        <w:ind w:firstLine="420" w:firstLineChars="200"/>
        <w:rPr>
          <w:rFonts w:ascii="宋体" w:hAnsi="宋体"/>
          <w:szCs w:val="21"/>
          <w:highlight w:val="none"/>
        </w:rPr>
      </w:pPr>
      <w:r>
        <w:rPr>
          <w:rFonts w:hint="eastAsia" w:ascii="宋体" w:hAnsi="宋体"/>
          <w:szCs w:val="21"/>
          <w:highlight w:val="none"/>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w:t>
      </w:r>
    </w:p>
    <w:p w14:paraId="7F4B23C6">
      <w:pPr>
        <w:pStyle w:val="2"/>
        <w:keepNext/>
        <w:keepLines/>
        <w:widowControl w:val="0"/>
        <w:spacing w:before="312" w:beforeLines="100" w:after="312" w:afterLines="100" w:line="360" w:lineRule="auto"/>
        <w:jc w:val="center"/>
        <w:rPr>
          <w:rStyle w:val="20"/>
          <w:rFonts w:ascii="宋体" w:hAnsi="宋体"/>
          <w:highlight w:val="none"/>
        </w:rPr>
      </w:pPr>
      <w:bookmarkStart w:id="50" w:name="_Toc361324903"/>
      <w:bookmarkStart w:id="51" w:name="_Toc409100471"/>
      <w:bookmarkStart w:id="52" w:name="_Toc225500055"/>
      <w:bookmarkStart w:id="53" w:name="_Toc484769810"/>
      <w:bookmarkStart w:id="54" w:name="_Toc476577307"/>
      <w:bookmarkStart w:id="55" w:name="_Toc409100108"/>
      <w:bookmarkStart w:id="56" w:name="_Toc491963090"/>
      <w:r>
        <w:rPr>
          <w:rStyle w:val="20"/>
          <w:rFonts w:hint="eastAsia" w:ascii="宋体" w:hAnsi="宋体"/>
          <w:highlight w:val="none"/>
        </w:rPr>
        <w:t>6、</w:t>
      </w:r>
      <w:r>
        <w:rPr>
          <w:rStyle w:val="20"/>
          <w:rFonts w:ascii="宋体" w:hAnsi="宋体"/>
          <w:highlight w:val="none"/>
        </w:rPr>
        <w:t>备查文件目录</w:t>
      </w:r>
      <w:bookmarkEnd w:id="50"/>
      <w:bookmarkEnd w:id="51"/>
      <w:bookmarkEnd w:id="52"/>
      <w:bookmarkEnd w:id="53"/>
      <w:bookmarkEnd w:id="54"/>
      <w:bookmarkEnd w:id="55"/>
      <w:bookmarkEnd w:id="56"/>
    </w:p>
    <w:p w14:paraId="4B3104A0">
      <w:pPr>
        <w:pStyle w:val="3"/>
        <w:spacing w:before="0" w:after="0"/>
        <w:rPr>
          <w:rFonts w:ascii="宋体" w:hAnsi="宋体" w:eastAsia="宋体"/>
          <w:kern w:val="0"/>
          <w:sz w:val="21"/>
          <w:szCs w:val="21"/>
          <w:highlight w:val="none"/>
        </w:rPr>
      </w:pPr>
      <w:bookmarkStart w:id="57" w:name="_Toc483396843"/>
      <w:bookmarkStart w:id="58" w:name="_Toc361324904"/>
      <w:bookmarkStart w:id="59" w:name="_Toc491963091"/>
      <w:bookmarkStart w:id="60" w:name="_Toc409100472"/>
      <w:bookmarkStart w:id="61" w:name="_Toc409100109"/>
      <w:bookmarkStart w:id="62" w:name="_Toc484769811"/>
      <w:bookmarkStart w:id="63" w:name="_Toc476577308"/>
      <w:bookmarkStart w:id="64" w:name="_Toc484607315"/>
      <w:r>
        <w:rPr>
          <w:rFonts w:hint="eastAsia" w:ascii="宋体" w:hAnsi="宋体" w:eastAsia="宋体"/>
          <w:kern w:val="0"/>
          <w:sz w:val="21"/>
          <w:szCs w:val="21"/>
          <w:highlight w:val="none"/>
        </w:rPr>
        <w:t>6</w:t>
      </w:r>
      <w:r>
        <w:rPr>
          <w:rFonts w:ascii="宋体" w:hAnsi="宋体" w:eastAsia="宋体"/>
          <w:kern w:val="0"/>
          <w:sz w:val="21"/>
          <w:szCs w:val="21"/>
          <w:highlight w:val="none"/>
        </w:rPr>
        <w:t>.1 备查文件目录</w:t>
      </w:r>
      <w:bookmarkEnd w:id="57"/>
      <w:bookmarkEnd w:id="58"/>
      <w:bookmarkEnd w:id="59"/>
      <w:bookmarkEnd w:id="60"/>
      <w:bookmarkEnd w:id="61"/>
      <w:bookmarkEnd w:id="62"/>
      <w:bookmarkEnd w:id="63"/>
      <w:bookmarkEnd w:id="64"/>
    </w:p>
    <w:p w14:paraId="6E67F7AE">
      <w:pPr>
        <w:spacing w:line="360" w:lineRule="auto"/>
        <w:ind w:firstLine="420" w:firstLineChars="200"/>
        <w:rPr>
          <w:rFonts w:ascii="宋体" w:hAnsi="宋体"/>
          <w:szCs w:val="21"/>
          <w:highlight w:val="none"/>
        </w:rPr>
      </w:pPr>
      <w:r>
        <w:rPr>
          <w:rFonts w:hint="eastAsia" w:ascii="宋体" w:hAnsi="宋体"/>
          <w:color w:val="000000"/>
          <w:szCs w:val="21"/>
          <w:highlight w:val="none"/>
        </w:rPr>
        <w:t>6.</w:t>
      </w:r>
      <w:r>
        <w:rPr>
          <w:rFonts w:ascii="宋体" w:hAnsi="宋体"/>
          <w:color w:val="000000"/>
          <w:szCs w:val="21"/>
          <w:highlight w:val="none"/>
        </w:rPr>
        <w:t>1.1</w:t>
      </w:r>
      <w:r>
        <w:rPr>
          <w:rFonts w:hint="eastAsia"/>
          <w:highlight w:val="none"/>
        </w:rPr>
        <w:t>博时荣升稳健添利18个月定期开放混合型证券投资基金清算审计报告</w:t>
      </w:r>
    </w:p>
    <w:p w14:paraId="07624FE8">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6</w:t>
      </w:r>
      <w:r>
        <w:rPr>
          <w:rFonts w:ascii="宋体" w:hAnsi="宋体"/>
          <w:color w:val="000000"/>
          <w:szCs w:val="21"/>
          <w:highlight w:val="none"/>
        </w:rPr>
        <w:t>.1.2</w:t>
      </w:r>
      <w:r>
        <w:rPr>
          <w:rFonts w:hint="eastAsia" w:ascii="宋体" w:hAnsi="宋体"/>
          <w:color w:val="000000"/>
          <w:szCs w:val="21"/>
          <w:highlight w:val="none"/>
        </w:rPr>
        <w:t>上海源泰律师事务所关于</w:t>
      </w:r>
      <w:r>
        <w:rPr>
          <w:rFonts w:hint="eastAsia"/>
          <w:highlight w:val="none"/>
        </w:rPr>
        <w:t>博时荣升稳健添利18个月定期开放混合型证券投资基金</w:t>
      </w:r>
      <w:r>
        <w:rPr>
          <w:rFonts w:hint="eastAsia" w:ascii="宋体" w:hAnsi="宋体"/>
          <w:color w:val="000000"/>
          <w:szCs w:val="21"/>
          <w:highlight w:val="none"/>
        </w:rPr>
        <w:t>清算事宜</w:t>
      </w:r>
      <w:r>
        <w:rPr>
          <w:rFonts w:ascii="宋体" w:hAnsi="宋体"/>
          <w:color w:val="000000"/>
          <w:szCs w:val="21"/>
          <w:highlight w:val="none"/>
        </w:rPr>
        <w:t>之法律意见</w:t>
      </w:r>
    </w:p>
    <w:p w14:paraId="6AA3B670">
      <w:pPr>
        <w:pStyle w:val="3"/>
        <w:spacing w:before="0" w:after="0"/>
        <w:rPr>
          <w:rFonts w:ascii="宋体" w:hAnsi="宋体" w:eastAsia="宋体"/>
          <w:kern w:val="0"/>
          <w:sz w:val="21"/>
          <w:szCs w:val="21"/>
          <w:highlight w:val="none"/>
        </w:rPr>
      </w:pPr>
      <w:bookmarkStart w:id="65" w:name="_Toc409100110"/>
      <w:bookmarkStart w:id="66" w:name="_Toc483396844"/>
      <w:bookmarkStart w:id="67" w:name="_Toc361324905"/>
      <w:bookmarkStart w:id="68" w:name="_Toc409100473"/>
      <w:bookmarkStart w:id="69" w:name="_Toc491963092"/>
      <w:bookmarkStart w:id="70" w:name="_Toc484769812"/>
      <w:bookmarkStart w:id="71" w:name="_Toc476577309"/>
      <w:bookmarkStart w:id="72" w:name="_Toc484607316"/>
      <w:r>
        <w:rPr>
          <w:rFonts w:hint="eastAsia" w:ascii="宋体" w:hAnsi="宋体" w:eastAsia="宋体"/>
          <w:kern w:val="0"/>
          <w:sz w:val="21"/>
          <w:szCs w:val="21"/>
          <w:highlight w:val="none"/>
        </w:rPr>
        <w:t>6</w:t>
      </w:r>
      <w:r>
        <w:rPr>
          <w:rFonts w:ascii="宋体" w:hAnsi="宋体" w:eastAsia="宋体"/>
          <w:kern w:val="0"/>
          <w:sz w:val="21"/>
          <w:szCs w:val="21"/>
          <w:highlight w:val="none"/>
        </w:rPr>
        <w:t>.2 存放地点</w:t>
      </w:r>
      <w:bookmarkEnd w:id="65"/>
      <w:bookmarkEnd w:id="66"/>
      <w:bookmarkEnd w:id="67"/>
      <w:bookmarkEnd w:id="68"/>
      <w:bookmarkEnd w:id="69"/>
      <w:bookmarkEnd w:id="70"/>
      <w:bookmarkEnd w:id="71"/>
      <w:bookmarkEnd w:id="72"/>
    </w:p>
    <w:p w14:paraId="1FDF4634">
      <w:pPr>
        <w:spacing w:line="360" w:lineRule="auto"/>
        <w:ind w:firstLine="420" w:firstLineChars="200"/>
        <w:rPr>
          <w:rFonts w:ascii="宋体" w:hAnsi="宋体"/>
          <w:color w:val="000000"/>
          <w:szCs w:val="21"/>
          <w:highlight w:val="none"/>
        </w:rPr>
      </w:pPr>
      <w:r>
        <w:rPr>
          <w:rFonts w:ascii="宋体" w:hAnsi="宋体"/>
          <w:color w:val="000000"/>
          <w:szCs w:val="21"/>
          <w:highlight w:val="none"/>
        </w:rPr>
        <w:t>基金管理人、基金托管人处</w:t>
      </w:r>
    </w:p>
    <w:p w14:paraId="521876ED">
      <w:pPr>
        <w:pStyle w:val="3"/>
        <w:spacing w:before="0" w:after="0"/>
        <w:rPr>
          <w:rFonts w:ascii="宋体" w:hAnsi="宋体" w:eastAsia="宋体"/>
          <w:kern w:val="0"/>
          <w:sz w:val="21"/>
          <w:szCs w:val="21"/>
          <w:highlight w:val="none"/>
        </w:rPr>
      </w:pPr>
      <w:bookmarkStart w:id="73" w:name="_Toc484769813"/>
      <w:bookmarkStart w:id="74" w:name="_Toc409100474"/>
      <w:bookmarkStart w:id="75" w:name="_Toc484607317"/>
      <w:bookmarkStart w:id="76" w:name="_Toc361324906"/>
      <w:bookmarkStart w:id="77" w:name="_Toc409100111"/>
      <w:bookmarkStart w:id="78" w:name="_Toc476577310"/>
      <w:bookmarkStart w:id="79" w:name="_Toc483396845"/>
      <w:bookmarkStart w:id="80" w:name="_Toc491963093"/>
      <w:r>
        <w:rPr>
          <w:rFonts w:hint="eastAsia" w:ascii="宋体" w:hAnsi="宋体" w:eastAsia="宋体"/>
          <w:kern w:val="0"/>
          <w:sz w:val="21"/>
          <w:szCs w:val="21"/>
          <w:highlight w:val="none"/>
        </w:rPr>
        <w:t>6</w:t>
      </w:r>
      <w:r>
        <w:rPr>
          <w:rFonts w:ascii="宋体" w:hAnsi="宋体" w:eastAsia="宋体"/>
          <w:kern w:val="0"/>
          <w:sz w:val="21"/>
          <w:szCs w:val="21"/>
          <w:highlight w:val="none"/>
        </w:rPr>
        <w:t>.3 查阅方式</w:t>
      </w:r>
      <w:bookmarkEnd w:id="73"/>
      <w:bookmarkEnd w:id="74"/>
      <w:bookmarkEnd w:id="75"/>
      <w:bookmarkEnd w:id="76"/>
      <w:bookmarkEnd w:id="77"/>
      <w:bookmarkEnd w:id="78"/>
      <w:bookmarkEnd w:id="79"/>
      <w:bookmarkEnd w:id="80"/>
    </w:p>
    <w:p w14:paraId="0EC2925C">
      <w:pPr>
        <w:spacing w:line="360" w:lineRule="auto"/>
        <w:ind w:firstLine="420" w:firstLineChars="200"/>
        <w:rPr>
          <w:rFonts w:ascii="宋体" w:hAnsi="宋体"/>
          <w:color w:val="000000"/>
          <w:szCs w:val="21"/>
          <w:highlight w:val="none"/>
        </w:rPr>
      </w:pPr>
      <w:r>
        <w:rPr>
          <w:rFonts w:ascii="宋体" w:hAnsi="宋体"/>
          <w:color w:val="000000"/>
          <w:szCs w:val="21"/>
          <w:highlight w:val="none"/>
        </w:rPr>
        <w:t>投资者可在营业时间免费查阅，也可按工本费购买复印件</w:t>
      </w:r>
    </w:p>
    <w:p w14:paraId="55A46D1D">
      <w:pPr>
        <w:spacing w:line="360" w:lineRule="auto"/>
        <w:ind w:firstLine="420" w:firstLineChars="200"/>
        <w:rPr>
          <w:rFonts w:ascii="宋体" w:hAnsi="宋体"/>
          <w:color w:val="000000"/>
          <w:szCs w:val="21"/>
          <w:highlight w:val="none"/>
        </w:rPr>
      </w:pPr>
      <w:r>
        <w:rPr>
          <w:rFonts w:ascii="宋体" w:hAnsi="宋体"/>
          <w:color w:val="000000"/>
          <w:szCs w:val="21"/>
          <w:highlight w:val="none"/>
        </w:rPr>
        <w:t>投资者对本报告书如有疑问，可咨询本基金管理人博时基金管理有限公司</w:t>
      </w:r>
    </w:p>
    <w:p w14:paraId="02A001D1">
      <w:pPr>
        <w:spacing w:line="360" w:lineRule="auto"/>
        <w:ind w:firstLine="420" w:firstLineChars="200"/>
        <w:rPr>
          <w:rFonts w:ascii="宋体" w:hAnsi="宋体"/>
          <w:color w:val="000000"/>
          <w:szCs w:val="21"/>
          <w:highlight w:val="none"/>
        </w:rPr>
      </w:pPr>
      <w:r>
        <w:rPr>
          <w:rFonts w:ascii="宋体" w:hAnsi="宋体"/>
          <w:color w:val="000000"/>
          <w:szCs w:val="21"/>
          <w:highlight w:val="none"/>
        </w:rPr>
        <w:t>博时一线通：95105568（免长途话费）</w:t>
      </w:r>
    </w:p>
    <w:p w14:paraId="20BD76F3">
      <w:pPr>
        <w:spacing w:line="360" w:lineRule="auto"/>
        <w:rPr>
          <w:rFonts w:ascii="宋体" w:hAnsi="宋体"/>
          <w:bCs/>
          <w:color w:val="000000" w:themeColor="text1"/>
          <w:szCs w:val="21"/>
          <w:highlight w:val="none"/>
          <w14:textFill>
            <w14:solidFill>
              <w14:schemeClr w14:val="tx1"/>
            </w14:solidFill>
          </w14:textFill>
        </w:rPr>
      </w:pPr>
    </w:p>
    <w:p w14:paraId="02597150">
      <w:pPr>
        <w:spacing w:line="360" w:lineRule="auto"/>
        <w:jc w:val="right"/>
        <w:rPr>
          <w:rFonts w:ascii="宋体" w:hAnsi="宋体"/>
          <w:bCs/>
          <w:szCs w:val="21"/>
          <w:highlight w:val="none"/>
        </w:rPr>
      </w:pPr>
      <w:r>
        <w:rPr>
          <w:rFonts w:hint="eastAsia"/>
          <w:highlight w:val="none"/>
        </w:rPr>
        <w:t>博时荣升稳健添利18个月定期开放混合型证券投资基金</w:t>
      </w:r>
      <w:r>
        <w:rPr>
          <w:rFonts w:hint="eastAsia" w:ascii="宋体" w:hAnsi="宋体"/>
          <w:bCs/>
          <w:szCs w:val="21"/>
          <w:highlight w:val="none"/>
        </w:rPr>
        <w:t>基金财产清算小组</w:t>
      </w:r>
    </w:p>
    <w:p w14:paraId="2E49E457">
      <w:pPr>
        <w:wordWrap w:val="0"/>
        <w:spacing w:line="360" w:lineRule="auto"/>
        <w:ind w:left="840" w:right="420" w:firstLine="3885" w:firstLineChars="1850"/>
        <w:jc w:val="right"/>
        <w:rPr>
          <w:highlight w:val="none"/>
        </w:rPr>
      </w:pPr>
      <w:r>
        <w:rPr>
          <w:rFonts w:ascii="宋体" w:hAnsi="宋体"/>
          <w:bCs/>
          <w:szCs w:val="21"/>
          <w:highlight w:val="none"/>
        </w:rPr>
        <w:t>二〇</w:t>
      </w:r>
      <w:r>
        <w:rPr>
          <w:rFonts w:hint="eastAsia" w:ascii="宋体" w:hAnsi="宋体"/>
          <w:bCs/>
          <w:szCs w:val="21"/>
          <w:highlight w:val="none"/>
        </w:rPr>
        <w:t>二</w:t>
      </w:r>
      <w:r>
        <w:rPr>
          <w:rFonts w:hint="eastAsia" w:ascii="宋体" w:hAnsi="宋体"/>
          <w:bCs/>
          <w:szCs w:val="21"/>
          <w:highlight w:val="none"/>
          <w:lang w:val="en-US" w:eastAsia="zh-CN"/>
        </w:rPr>
        <w:t>五</w:t>
      </w:r>
      <w:r>
        <w:rPr>
          <w:rFonts w:ascii="宋体" w:hAnsi="宋体"/>
          <w:bCs/>
          <w:szCs w:val="21"/>
          <w:highlight w:val="none"/>
        </w:rPr>
        <w:t>年</w:t>
      </w:r>
      <w:r>
        <w:rPr>
          <w:rFonts w:hint="eastAsia" w:ascii="宋体" w:hAnsi="宋体"/>
          <w:bCs/>
          <w:szCs w:val="21"/>
          <w:highlight w:val="none"/>
          <w:lang w:val="en-US" w:eastAsia="zh-CN"/>
        </w:rPr>
        <w:t>三</w:t>
      </w:r>
      <w:r>
        <w:rPr>
          <w:rFonts w:ascii="宋体" w:hAnsi="宋体"/>
          <w:bCs/>
          <w:szCs w:val="21"/>
          <w:highlight w:val="none"/>
        </w:rPr>
        <w:t>月</w:t>
      </w:r>
      <w:r>
        <w:rPr>
          <w:rFonts w:hint="eastAsia" w:ascii="宋体" w:hAnsi="宋体"/>
          <w:bCs/>
          <w:szCs w:val="21"/>
          <w:highlight w:val="none"/>
          <w:lang w:val="en-US" w:eastAsia="zh-CN"/>
        </w:rPr>
        <w:t>十三</w:t>
      </w:r>
      <w:bookmarkStart w:id="81" w:name="_GoBack"/>
      <w:bookmarkEnd w:id="81"/>
      <w:r>
        <w:rPr>
          <w:rFonts w:ascii="宋体" w:hAnsi="宋体"/>
          <w:bCs/>
          <w:szCs w:val="21"/>
          <w:highlight w:val="none"/>
        </w:rPr>
        <w:t>日</w:t>
      </w: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宋体棬　僬　.">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446840"/>
      <w:docPartObj>
        <w:docPartGallery w:val="autotext"/>
      </w:docPartObj>
    </w:sdtPr>
    <w:sdtContent>
      <w:p w14:paraId="2E891B20">
        <w:pPr>
          <w:pStyle w:val="7"/>
          <w:jc w:val="center"/>
        </w:pPr>
        <w:r>
          <w:fldChar w:fldCharType="begin"/>
        </w:r>
        <w:r>
          <w:instrText xml:space="preserve">PAGE   \* MERGEFORMAT</w:instrText>
        </w:r>
        <w:r>
          <w:fldChar w:fldCharType="separate"/>
        </w:r>
        <w:r>
          <w:rPr>
            <w:lang w:val="zh-CN"/>
          </w:rPr>
          <w:t>10</w:t>
        </w:r>
        <w:r>
          <w:fldChar w:fldCharType="end"/>
        </w:r>
      </w:p>
    </w:sdtContent>
  </w:sdt>
  <w:p w14:paraId="70FD485E">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E2DD">
    <w:pPr>
      <w:pStyle w:val="8"/>
      <w:pBdr>
        <w:bottom w:val="single" w:color="auto" w:sz="6" w:space="0"/>
      </w:pBdr>
      <w:tabs>
        <w:tab w:val="left" w:pos="3105"/>
        <w:tab w:val="right" w:pos="9090"/>
      </w:tabs>
      <w:jc w:val="left"/>
    </w:pPr>
    <w:r>
      <w:rPr>
        <w:sz w:val="21"/>
        <w:szCs w:val="21"/>
      </w:rPr>
      <w:tab/>
    </w:r>
    <w:r>
      <w:rPr>
        <w:sz w:val="21"/>
        <w:szCs w:val="21"/>
      </w:rPr>
      <w:tab/>
    </w:r>
    <w:r>
      <w:drawing>
        <wp:anchor distT="0" distB="0" distL="114300" distR="114300" simplePos="0" relativeHeight="251660288"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2" name="图片 2"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ACC43">
    <w:pPr>
      <w:pStyle w:val="8"/>
      <w:pBdr>
        <w:bottom w:val="single" w:color="auto" w:sz="6" w:space="0"/>
      </w:pBdr>
      <w:tabs>
        <w:tab w:val="left" w:pos="3105"/>
        <w:tab w:val="right" w:pos="9090"/>
      </w:tabs>
      <w:jc w:val="left"/>
    </w:pPr>
    <w:r>
      <w:rPr>
        <w:sz w:val="21"/>
        <w:szCs w:val="21"/>
      </w:rPr>
      <w:tab/>
    </w:r>
    <w:r>
      <w:rPr>
        <w:sz w:val="21"/>
        <w:szCs w:val="21"/>
      </w:rPr>
      <w:tab/>
    </w:r>
    <w:r>
      <w:drawing>
        <wp:anchor distT="0" distB="0" distL="114300" distR="114300" simplePos="0" relativeHeight="251659264" behindDoc="0" locked="0" layoutInCell="1" allowOverlap="1">
          <wp:simplePos x="0" y="0"/>
          <wp:positionH relativeFrom="column">
            <wp:posOffset>-13335</wp:posOffset>
          </wp:positionH>
          <wp:positionV relativeFrom="paragraph">
            <wp:posOffset>-190500</wp:posOffset>
          </wp:positionV>
          <wp:extent cx="1257300" cy="314325"/>
          <wp:effectExtent l="0" t="0" r="0" b="0"/>
          <wp:wrapNone/>
          <wp:docPr id="4" name="图片 4"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14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BFD58A"/>
    <w:multiLevelType w:val="singleLevel"/>
    <w:tmpl w:val="1CBFD58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6A"/>
    <w:rsid w:val="0000095F"/>
    <w:rsid w:val="000137FB"/>
    <w:rsid w:val="00044D6A"/>
    <w:rsid w:val="00047E84"/>
    <w:rsid w:val="00052B79"/>
    <w:rsid w:val="000539E5"/>
    <w:rsid w:val="000565B3"/>
    <w:rsid w:val="00077D1B"/>
    <w:rsid w:val="000843E5"/>
    <w:rsid w:val="000A67AD"/>
    <w:rsid w:val="000C1A89"/>
    <w:rsid w:val="000D2477"/>
    <w:rsid w:val="000F0DB6"/>
    <w:rsid w:val="000F38A7"/>
    <w:rsid w:val="000F38C0"/>
    <w:rsid w:val="000F582E"/>
    <w:rsid w:val="00106078"/>
    <w:rsid w:val="001461B5"/>
    <w:rsid w:val="001469B6"/>
    <w:rsid w:val="00155FBE"/>
    <w:rsid w:val="00167779"/>
    <w:rsid w:val="0017203A"/>
    <w:rsid w:val="001837B1"/>
    <w:rsid w:val="00192433"/>
    <w:rsid w:val="001943DA"/>
    <w:rsid w:val="001A25D5"/>
    <w:rsid w:val="001A6186"/>
    <w:rsid w:val="001A64D9"/>
    <w:rsid w:val="001B142B"/>
    <w:rsid w:val="001B27AC"/>
    <w:rsid w:val="001B307F"/>
    <w:rsid w:val="001B6418"/>
    <w:rsid w:val="001C5110"/>
    <w:rsid w:val="001C5F1E"/>
    <w:rsid w:val="001E1155"/>
    <w:rsid w:val="0020164A"/>
    <w:rsid w:val="002025EA"/>
    <w:rsid w:val="00214EB4"/>
    <w:rsid w:val="00234000"/>
    <w:rsid w:val="0023623C"/>
    <w:rsid w:val="0025064B"/>
    <w:rsid w:val="00256EF7"/>
    <w:rsid w:val="002653B2"/>
    <w:rsid w:val="00265EEB"/>
    <w:rsid w:val="002661A0"/>
    <w:rsid w:val="00283A99"/>
    <w:rsid w:val="002873D1"/>
    <w:rsid w:val="002A78CA"/>
    <w:rsid w:val="002B2C22"/>
    <w:rsid w:val="002B3940"/>
    <w:rsid w:val="002B3A7F"/>
    <w:rsid w:val="002B64F0"/>
    <w:rsid w:val="002C1EB1"/>
    <w:rsid w:val="002C206A"/>
    <w:rsid w:val="002D012A"/>
    <w:rsid w:val="002D2D31"/>
    <w:rsid w:val="002E63F9"/>
    <w:rsid w:val="00301ED8"/>
    <w:rsid w:val="00306C8D"/>
    <w:rsid w:val="003123B6"/>
    <w:rsid w:val="0033114F"/>
    <w:rsid w:val="00352E52"/>
    <w:rsid w:val="0035409D"/>
    <w:rsid w:val="00355DCE"/>
    <w:rsid w:val="003835CB"/>
    <w:rsid w:val="00385C7D"/>
    <w:rsid w:val="00386448"/>
    <w:rsid w:val="003B1FF9"/>
    <w:rsid w:val="003C5210"/>
    <w:rsid w:val="003C62D7"/>
    <w:rsid w:val="003E2B75"/>
    <w:rsid w:val="003E5A9A"/>
    <w:rsid w:val="003F58E5"/>
    <w:rsid w:val="004346F7"/>
    <w:rsid w:val="00434B13"/>
    <w:rsid w:val="00436D7F"/>
    <w:rsid w:val="0044360C"/>
    <w:rsid w:val="0044397B"/>
    <w:rsid w:val="004454E6"/>
    <w:rsid w:val="00450E11"/>
    <w:rsid w:val="00455ED0"/>
    <w:rsid w:val="00456810"/>
    <w:rsid w:val="00463891"/>
    <w:rsid w:val="00467B21"/>
    <w:rsid w:val="004850AB"/>
    <w:rsid w:val="00492EFF"/>
    <w:rsid w:val="004A1313"/>
    <w:rsid w:val="004A4000"/>
    <w:rsid w:val="004C29F5"/>
    <w:rsid w:val="004D6178"/>
    <w:rsid w:val="00502816"/>
    <w:rsid w:val="00506722"/>
    <w:rsid w:val="00516AB2"/>
    <w:rsid w:val="00521F84"/>
    <w:rsid w:val="00523B76"/>
    <w:rsid w:val="00523D2E"/>
    <w:rsid w:val="00534804"/>
    <w:rsid w:val="00564FC0"/>
    <w:rsid w:val="005660DC"/>
    <w:rsid w:val="00573CCA"/>
    <w:rsid w:val="00586184"/>
    <w:rsid w:val="00587EB1"/>
    <w:rsid w:val="00591E34"/>
    <w:rsid w:val="005A5F19"/>
    <w:rsid w:val="005B00B8"/>
    <w:rsid w:val="005B1DA8"/>
    <w:rsid w:val="005B7910"/>
    <w:rsid w:val="005C2636"/>
    <w:rsid w:val="005D2BBF"/>
    <w:rsid w:val="005D3C26"/>
    <w:rsid w:val="005E066D"/>
    <w:rsid w:val="005E3053"/>
    <w:rsid w:val="00602945"/>
    <w:rsid w:val="00612741"/>
    <w:rsid w:val="00620453"/>
    <w:rsid w:val="0063424C"/>
    <w:rsid w:val="00635B20"/>
    <w:rsid w:val="006458AE"/>
    <w:rsid w:val="00652E32"/>
    <w:rsid w:val="00662751"/>
    <w:rsid w:val="006631AD"/>
    <w:rsid w:val="00665EC2"/>
    <w:rsid w:val="00680A32"/>
    <w:rsid w:val="0068199C"/>
    <w:rsid w:val="00683CCD"/>
    <w:rsid w:val="006845C6"/>
    <w:rsid w:val="00693EDA"/>
    <w:rsid w:val="006A0CA9"/>
    <w:rsid w:val="006A3E46"/>
    <w:rsid w:val="006C1070"/>
    <w:rsid w:val="006C1BF7"/>
    <w:rsid w:val="006D3ABB"/>
    <w:rsid w:val="006F22C0"/>
    <w:rsid w:val="006F661D"/>
    <w:rsid w:val="006F6EDE"/>
    <w:rsid w:val="00707F9D"/>
    <w:rsid w:val="00714FE5"/>
    <w:rsid w:val="00716C2D"/>
    <w:rsid w:val="0072089C"/>
    <w:rsid w:val="007249F8"/>
    <w:rsid w:val="007302D4"/>
    <w:rsid w:val="00733FD6"/>
    <w:rsid w:val="007446B8"/>
    <w:rsid w:val="007654B6"/>
    <w:rsid w:val="00765C51"/>
    <w:rsid w:val="00772D62"/>
    <w:rsid w:val="00772F4C"/>
    <w:rsid w:val="00784118"/>
    <w:rsid w:val="007A111F"/>
    <w:rsid w:val="007A1382"/>
    <w:rsid w:val="007A4276"/>
    <w:rsid w:val="007C224B"/>
    <w:rsid w:val="007C7E15"/>
    <w:rsid w:val="007D01A7"/>
    <w:rsid w:val="007D2C21"/>
    <w:rsid w:val="007D368E"/>
    <w:rsid w:val="00800E5D"/>
    <w:rsid w:val="00801C52"/>
    <w:rsid w:val="00815886"/>
    <w:rsid w:val="00815FC5"/>
    <w:rsid w:val="008225D8"/>
    <w:rsid w:val="00834E30"/>
    <w:rsid w:val="00845FBE"/>
    <w:rsid w:val="00846CD0"/>
    <w:rsid w:val="00862C4E"/>
    <w:rsid w:val="00872860"/>
    <w:rsid w:val="008761E7"/>
    <w:rsid w:val="00876515"/>
    <w:rsid w:val="00881D41"/>
    <w:rsid w:val="00893D5F"/>
    <w:rsid w:val="008A2534"/>
    <w:rsid w:val="008A2CED"/>
    <w:rsid w:val="008A3541"/>
    <w:rsid w:val="008A37AA"/>
    <w:rsid w:val="008A3F14"/>
    <w:rsid w:val="008B2371"/>
    <w:rsid w:val="008B50E8"/>
    <w:rsid w:val="008D28CA"/>
    <w:rsid w:val="008E44B4"/>
    <w:rsid w:val="008F313A"/>
    <w:rsid w:val="00912B1F"/>
    <w:rsid w:val="0091569A"/>
    <w:rsid w:val="009164BB"/>
    <w:rsid w:val="00916F0F"/>
    <w:rsid w:val="00924654"/>
    <w:rsid w:val="00933D33"/>
    <w:rsid w:val="009837FE"/>
    <w:rsid w:val="00987D82"/>
    <w:rsid w:val="00993E2D"/>
    <w:rsid w:val="009E6B28"/>
    <w:rsid w:val="009F6E54"/>
    <w:rsid w:val="00A01676"/>
    <w:rsid w:val="00A14A60"/>
    <w:rsid w:val="00A23D46"/>
    <w:rsid w:val="00A44F0D"/>
    <w:rsid w:val="00A46614"/>
    <w:rsid w:val="00A50F44"/>
    <w:rsid w:val="00A5445B"/>
    <w:rsid w:val="00A56FA3"/>
    <w:rsid w:val="00A7090F"/>
    <w:rsid w:val="00A728B4"/>
    <w:rsid w:val="00A74683"/>
    <w:rsid w:val="00A862A8"/>
    <w:rsid w:val="00A91EE9"/>
    <w:rsid w:val="00A93929"/>
    <w:rsid w:val="00AA2704"/>
    <w:rsid w:val="00AA33F7"/>
    <w:rsid w:val="00AA5F1B"/>
    <w:rsid w:val="00AA6506"/>
    <w:rsid w:val="00AB4223"/>
    <w:rsid w:val="00AC75BE"/>
    <w:rsid w:val="00AD1682"/>
    <w:rsid w:val="00AE14B8"/>
    <w:rsid w:val="00AE5F6A"/>
    <w:rsid w:val="00B04DF8"/>
    <w:rsid w:val="00B12304"/>
    <w:rsid w:val="00B16F0F"/>
    <w:rsid w:val="00B233AC"/>
    <w:rsid w:val="00B23421"/>
    <w:rsid w:val="00B2597B"/>
    <w:rsid w:val="00B339F1"/>
    <w:rsid w:val="00B43A95"/>
    <w:rsid w:val="00B65F7A"/>
    <w:rsid w:val="00B92205"/>
    <w:rsid w:val="00BB4559"/>
    <w:rsid w:val="00BB63F5"/>
    <w:rsid w:val="00BB738A"/>
    <w:rsid w:val="00BC4087"/>
    <w:rsid w:val="00BE0577"/>
    <w:rsid w:val="00BE2945"/>
    <w:rsid w:val="00BE4A70"/>
    <w:rsid w:val="00BF5EF2"/>
    <w:rsid w:val="00C04232"/>
    <w:rsid w:val="00C11810"/>
    <w:rsid w:val="00C135C6"/>
    <w:rsid w:val="00C14A9A"/>
    <w:rsid w:val="00C16C1F"/>
    <w:rsid w:val="00C210B3"/>
    <w:rsid w:val="00C34DAD"/>
    <w:rsid w:val="00C403BF"/>
    <w:rsid w:val="00C4132F"/>
    <w:rsid w:val="00C41BC6"/>
    <w:rsid w:val="00C46B5E"/>
    <w:rsid w:val="00C525B7"/>
    <w:rsid w:val="00C70690"/>
    <w:rsid w:val="00C80BA7"/>
    <w:rsid w:val="00C80C26"/>
    <w:rsid w:val="00C81D4D"/>
    <w:rsid w:val="00C8253B"/>
    <w:rsid w:val="00C8353B"/>
    <w:rsid w:val="00CA1B80"/>
    <w:rsid w:val="00CA5C95"/>
    <w:rsid w:val="00CB0C41"/>
    <w:rsid w:val="00CC015D"/>
    <w:rsid w:val="00CC6E89"/>
    <w:rsid w:val="00CD5F8A"/>
    <w:rsid w:val="00CD7E4B"/>
    <w:rsid w:val="00CE52AA"/>
    <w:rsid w:val="00CF22FE"/>
    <w:rsid w:val="00D00B39"/>
    <w:rsid w:val="00D05B80"/>
    <w:rsid w:val="00D454FE"/>
    <w:rsid w:val="00D54D70"/>
    <w:rsid w:val="00D77529"/>
    <w:rsid w:val="00D908BA"/>
    <w:rsid w:val="00DA69B2"/>
    <w:rsid w:val="00DA6F9B"/>
    <w:rsid w:val="00DB3DDE"/>
    <w:rsid w:val="00DD0701"/>
    <w:rsid w:val="00DD0AF4"/>
    <w:rsid w:val="00DD447D"/>
    <w:rsid w:val="00DF0830"/>
    <w:rsid w:val="00DF0A36"/>
    <w:rsid w:val="00E036D0"/>
    <w:rsid w:val="00E04E1A"/>
    <w:rsid w:val="00E120A8"/>
    <w:rsid w:val="00E1270D"/>
    <w:rsid w:val="00E142CD"/>
    <w:rsid w:val="00E21B3B"/>
    <w:rsid w:val="00E444C3"/>
    <w:rsid w:val="00E6420A"/>
    <w:rsid w:val="00E667C5"/>
    <w:rsid w:val="00E7448F"/>
    <w:rsid w:val="00E83CB9"/>
    <w:rsid w:val="00E94390"/>
    <w:rsid w:val="00F01202"/>
    <w:rsid w:val="00F03A4C"/>
    <w:rsid w:val="00F31C2E"/>
    <w:rsid w:val="00F349E5"/>
    <w:rsid w:val="00F374DD"/>
    <w:rsid w:val="00F4536A"/>
    <w:rsid w:val="00F45604"/>
    <w:rsid w:val="00F52468"/>
    <w:rsid w:val="00F52622"/>
    <w:rsid w:val="00F53DBF"/>
    <w:rsid w:val="00F54305"/>
    <w:rsid w:val="00F84D89"/>
    <w:rsid w:val="00F869AE"/>
    <w:rsid w:val="00FB4D56"/>
    <w:rsid w:val="00FB67B2"/>
    <w:rsid w:val="00FB68D0"/>
    <w:rsid w:val="00FC3755"/>
    <w:rsid w:val="00FC5621"/>
    <w:rsid w:val="00FC685E"/>
    <w:rsid w:val="00FC7F9D"/>
    <w:rsid w:val="00FE3491"/>
    <w:rsid w:val="00FE7CDD"/>
    <w:rsid w:val="00FF26D8"/>
    <w:rsid w:val="06EB0547"/>
    <w:rsid w:val="098866BA"/>
    <w:rsid w:val="0BA04D7C"/>
    <w:rsid w:val="0C94657F"/>
    <w:rsid w:val="0E8C7536"/>
    <w:rsid w:val="114A2CF3"/>
    <w:rsid w:val="12D34A2D"/>
    <w:rsid w:val="167073E3"/>
    <w:rsid w:val="18F22FF4"/>
    <w:rsid w:val="1B6C0C0A"/>
    <w:rsid w:val="237C2673"/>
    <w:rsid w:val="27765F5D"/>
    <w:rsid w:val="27E37EBE"/>
    <w:rsid w:val="294B2526"/>
    <w:rsid w:val="2A381ADA"/>
    <w:rsid w:val="2AF5441A"/>
    <w:rsid w:val="2C0131F0"/>
    <w:rsid w:val="309F0789"/>
    <w:rsid w:val="33B966F1"/>
    <w:rsid w:val="34CC4FAF"/>
    <w:rsid w:val="3CB62446"/>
    <w:rsid w:val="416956D8"/>
    <w:rsid w:val="42446B71"/>
    <w:rsid w:val="4517110E"/>
    <w:rsid w:val="47FC6ACB"/>
    <w:rsid w:val="4F505867"/>
    <w:rsid w:val="50E35208"/>
    <w:rsid w:val="51225219"/>
    <w:rsid w:val="547B4190"/>
    <w:rsid w:val="56A33A01"/>
    <w:rsid w:val="5BB00875"/>
    <w:rsid w:val="5D293B5A"/>
    <w:rsid w:val="5D617924"/>
    <w:rsid w:val="65455079"/>
    <w:rsid w:val="67D0181B"/>
    <w:rsid w:val="74185001"/>
    <w:rsid w:val="7AA84C98"/>
    <w:rsid w:val="7AB374E9"/>
    <w:rsid w:val="7D8C03A2"/>
    <w:rsid w:val="7E4D7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9"/>
    <w:pPr>
      <w:widowControl/>
      <w:jc w:val="left"/>
      <w:outlineLvl w:val="0"/>
    </w:pPr>
    <w:rPr>
      <w:kern w:val="0"/>
      <w:sz w:val="24"/>
      <w:szCs w:val="20"/>
      <w:lang w:val="en-GB"/>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semiHidden/>
    <w:unhideWhenUsed/>
    <w:qFormat/>
    <w:uiPriority w:val="99"/>
    <w:pPr>
      <w:jc w:val="left"/>
    </w:pPr>
  </w:style>
  <w:style w:type="paragraph" w:styleId="5">
    <w:name w:val="Body Text Indent 2"/>
    <w:basedOn w:val="1"/>
    <w:link w:val="27"/>
    <w:qFormat/>
    <w:uiPriority w:val="0"/>
    <w:pPr>
      <w:spacing w:line="560" w:lineRule="exact"/>
      <w:ind w:firstLine="480" w:firstLineChars="200"/>
    </w:pPr>
    <w:rPr>
      <w:rFonts w:ascii="宋体" w:hAnsi="宋体"/>
      <w:color w:val="FF0000"/>
      <w:sz w:val="24"/>
    </w:rPr>
  </w:style>
  <w:style w:type="paragraph" w:styleId="6">
    <w:name w:val="Balloon Text"/>
    <w:basedOn w:val="1"/>
    <w:link w:val="31"/>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unhideWhenUsed/>
    <w:qFormat/>
    <w:uiPriority w:val="0"/>
    <w:pPr>
      <w:widowControl/>
      <w:spacing w:before="100" w:beforeAutospacing="1" w:after="100" w:afterAutospacing="1"/>
      <w:jc w:val="left"/>
    </w:pPr>
    <w:rPr>
      <w:rFonts w:ascii="Arial Unicode MS" w:hAnsi="Arial Unicode MS" w:eastAsia="Arial Unicode MS" w:cs="Arial Unicode MS"/>
      <w:kern w:val="0"/>
      <w:sz w:val="24"/>
      <w:lang w:val="en-GB" w:eastAsia="en-US"/>
    </w:rPr>
  </w:style>
  <w:style w:type="paragraph" w:styleId="12">
    <w:name w:val="annotation subject"/>
    <w:basedOn w:val="4"/>
    <w:next w:val="4"/>
    <w:link w:val="30"/>
    <w:semiHidden/>
    <w:unhideWhenUsed/>
    <w:qFormat/>
    <w:uiPriority w:val="99"/>
    <w:rPr>
      <w:b/>
      <w:bCs/>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character" w:customStyle="1" w:styleId="17">
    <w:name w:val="页眉 Char"/>
    <w:basedOn w:val="14"/>
    <w:link w:val="8"/>
    <w:qFormat/>
    <w:uiPriority w:val="0"/>
    <w:rPr>
      <w:sz w:val="18"/>
      <w:szCs w:val="18"/>
    </w:rPr>
  </w:style>
  <w:style w:type="character" w:customStyle="1" w:styleId="18">
    <w:name w:val="页脚 Char"/>
    <w:basedOn w:val="14"/>
    <w:link w:val="7"/>
    <w:qFormat/>
    <w:uiPriority w:val="99"/>
    <w:rPr>
      <w:sz w:val="18"/>
      <w:szCs w:val="18"/>
    </w:rPr>
  </w:style>
  <w:style w:type="character" w:customStyle="1" w:styleId="19">
    <w:name w:val="标题 1 Char"/>
    <w:basedOn w:val="14"/>
    <w:link w:val="2"/>
    <w:qFormat/>
    <w:uiPriority w:val="99"/>
    <w:rPr>
      <w:rFonts w:ascii="Times New Roman" w:hAnsi="Times New Roman" w:eastAsia="宋体" w:cs="Times New Roman"/>
      <w:kern w:val="0"/>
      <w:sz w:val="24"/>
      <w:szCs w:val="20"/>
      <w:lang w:val="en-GB"/>
    </w:rPr>
  </w:style>
  <w:style w:type="character" w:customStyle="1" w:styleId="20">
    <w:name w:val="标题 2 Char Char Char"/>
    <w:qFormat/>
    <w:uiPriority w:val="0"/>
    <w:rPr>
      <w:rFonts w:ascii="Arial" w:hAnsi="Arial" w:eastAsia="宋体"/>
      <w:b/>
      <w:kern w:val="2"/>
      <w:sz w:val="28"/>
      <w:szCs w:val="28"/>
      <w:lang w:val="en-US" w:eastAsia="zh-CN" w:bidi="ar-SA"/>
    </w:rPr>
  </w:style>
  <w:style w:type="character" w:customStyle="1" w:styleId="21">
    <w:name w:val="标题 2 Char"/>
    <w:basedOn w:val="14"/>
    <w:link w:val="3"/>
    <w:semiHidden/>
    <w:qFormat/>
    <w:uiPriority w:val="9"/>
    <w:rPr>
      <w:rFonts w:asciiTheme="majorHAnsi" w:hAnsiTheme="majorHAnsi" w:eastAsiaTheme="majorEastAsia" w:cstheme="majorBidi"/>
      <w:b/>
      <w:bCs/>
      <w:sz w:val="32"/>
      <w:szCs w:val="32"/>
    </w:rPr>
  </w:style>
  <w:style w:type="paragraph" w:customStyle="1" w:styleId="22">
    <w:name w:val="2级"/>
    <w:basedOn w:val="1"/>
    <w:link w:val="23"/>
    <w:qFormat/>
    <w:uiPriority w:val="0"/>
    <w:pPr>
      <w:keepNext/>
      <w:keepLines/>
      <w:widowControl/>
      <w:spacing w:before="260" w:after="260"/>
      <w:jc w:val="left"/>
      <w:outlineLvl w:val="1"/>
    </w:pPr>
    <w:rPr>
      <w:rFonts w:asciiTheme="minorEastAsia" w:hAnsiTheme="minorEastAsia" w:cstheme="minorBidi"/>
      <w:b/>
      <w:bCs/>
      <w:sz w:val="24"/>
    </w:rPr>
  </w:style>
  <w:style w:type="character" w:customStyle="1" w:styleId="23">
    <w:name w:val="2级 Char"/>
    <w:basedOn w:val="14"/>
    <w:link w:val="22"/>
    <w:qFormat/>
    <w:uiPriority w:val="0"/>
    <w:rPr>
      <w:rFonts w:eastAsia="宋体" w:asciiTheme="minorEastAsia" w:hAnsiTheme="minorEastAsia"/>
      <w:b/>
      <w:bCs/>
      <w:sz w:val="24"/>
      <w:szCs w:val="24"/>
    </w:rPr>
  </w:style>
  <w:style w:type="paragraph" w:customStyle="1" w:styleId="24">
    <w:name w:val="正文XB"/>
    <w:basedOn w:val="1"/>
    <w:link w:val="25"/>
    <w:qFormat/>
    <w:uiPriority w:val="0"/>
    <w:pPr>
      <w:spacing w:line="360" w:lineRule="auto"/>
      <w:ind w:firstLine="420" w:firstLineChars="200"/>
    </w:pPr>
    <w:rPr>
      <w:rFonts w:ascii="宋体" w:hAnsi="宋体"/>
      <w:color w:val="000000"/>
      <w:szCs w:val="21"/>
    </w:rPr>
  </w:style>
  <w:style w:type="character" w:customStyle="1" w:styleId="25">
    <w:name w:val="正文XB Char"/>
    <w:basedOn w:val="14"/>
    <w:link w:val="24"/>
    <w:qFormat/>
    <w:uiPriority w:val="0"/>
    <w:rPr>
      <w:rFonts w:ascii="宋体" w:hAnsi="宋体" w:eastAsia="宋体" w:cs="Times New Roman"/>
      <w:color w:val="000000"/>
      <w:szCs w:val="21"/>
    </w:rPr>
  </w:style>
  <w:style w:type="paragraph" w:styleId="26">
    <w:name w:val="List Paragraph"/>
    <w:basedOn w:val="1"/>
    <w:unhideWhenUsed/>
    <w:qFormat/>
    <w:uiPriority w:val="99"/>
    <w:pPr>
      <w:ind w:firstLine="420" w:firstLineChars="200"/>
    </w:pPr>
  </w:style>
  <w:style w:type="character" w:customStyle="1" w:styleId="27">
    <w:name w:val="正文文本缩进 2 Char"/>
    <w:basedOn w:val="14"/>
    <w:link w:val="5"/>
    <w:qFormat/>
    <w:uiPriority w:val="0"/>
    <w:rPr>
      <w:rFonts w:ascii="宋体" w:hAnsi="宋体" w:eastAsia="宋体" w:cs="Times New Roman"/>
      <w:color w:val="FF0000"/>
      <w:sz w:val="24"/>
      <w:szCs w:val="24"/>
    </w:rPr>
  </w:style>
  <w:style w:type="paragraph" w:customStyle="1" w:styleId="28">
    <w:name w:val="Default"/>
    <w:qFormat/>
    <w:uiPriority w:val="0"/>
    <w:pPr>
      <w:widowControl w:val="0"/>
      <w:autoSpaceDE w:val="0"/>
      <w:autoSpaceDN w:val="0"/>
      <w:adjustRightInd w:val="0"/>
    </w:pPr>
    <w:rPr>
      <w:rFonts w:ascii="宋体棬　僬　." w:eastAsia="宋体棬　僬　." w:cs="宋体棬　僬　." w:hAnsiTheme="minorHAnsi"/>
      <w:color w:val="000000"/>
      <w:kern w:val="0"/>
      <w:sz w:val="24"/>
      <w:szCs w:val="24"/>
      <w:lang w:val="en-US" w:eastAsia="zh-CN" w:bidi="ar-SA"/>
    </w:rPr>
  </w:style>
  <w:style w:type="character" w:customStyle="1" w:styleId="29">
    <w:name w:val="批注文字 Char"/>
    <w:basedOn w:val="14"/>
    <w:link w:val="4"/>
    <w:semiHidden/>
    <w:qFormat/>
    <w:uiPriority w:val="99"/>
    <w:rPr>
      <w:rFonts w:ascii="Times New Roman" w:hAnsi="Times New Roman" w:eastAsia="宋体" w:cs="Times New Roman"/>
      <w:szCs w:val="24"/>
    </w:rPr>
  </w:style>
  <w:style w:type="character" w:customStyle="1" w:styleId="30">
    <w:name w:val="批注主题 Char"/>
    <w:basedOn w:val="29"/>
    <w:link w:val="12"/>
    <w:semiHidden/>
    <w:qFormat/>
    <w:uiPriority w:val="99"/>
    <w:rPr>
      <w:rFonts w:ascii="Times New Roman" w:hAnsi="Times New Roman" w:eastAsia="宋体" w:cs="Times New Roman"/>
      <w:b/>
      <w:bCs/>
      <w:szCs w:val="24"/>
    </w:rPr>
  </w:style>
  <w:style w:type="character" w:customStyle="1" w:styleId="31">
    <w:name w:val="批注框文本 Char"/>
    <w:basedOn w:val="14"/>
    <w:link w:val="6"/>
    <w:semiHidden/>
    <w:qFormat/>
    <w:uiPriority w:val="99"/>
    <w:rPr>
      <w:rFonts w:ascii="Times New Roman" w:hAnsi="Times New Roman" w:eastAsia="宋体" w:cs="Times New Roman"/>
      <w:sz w:val="18"/>
      <w:szCs w:val="18"/>
    </w:rPr>
  </w:style>
  <w:style w:type="paragraph" w:customStyle="1" w:styleId="32">
    <w:name w:val="TOC Heading"/>
    <w:basedOn w:val="2"/>
    <w:next w:val="1"/>
    <w:semiHidden/>
    <w:unhideWhenUsed/>
    <w:qFormat/>
    <w:uiPriority w:val="39"/>
    <w:pPr>
      <w:keepNext/>
      <w:keepLines/>
      <w:spacing w:before="480" w:line="276" w:lineRule="auto"/>
      <w:outlineLvl w:val="9"/>
    </w:pPr>
    <w:rPr>
      <w:rFonts w:asciiTheme="majorHAnsi" w:hAnsiTheme="majorHAnsi" w:eastAsiaTheme="majorEastAsia" w:cstheme="majorBidi"/>
      <w:b/>
      <w:bCs/>
      <w:color w:val="376092" w:themeColor="accent1" w:themeShade="BF"/>
      <w:sz w:val="28"/>
      <w:szCs w:val="28"/>
      <w:lang w:val="en-US"/>
    </w:rPr>
  </w:style>
  <w:style w:type="paragraph" w:styleId="33">
    <w:name w:val="No Spacing"/>
    <w:basedOn w:val="1"/>
    <w:link w:val="34"/>
    <w:qFormat/>
    <w:uiPriority w:val="1"/>
    <w:pPr>
      <w:widowControl/>
      <w:jc w:val="left"/>
    </w:pPr>
    <w:rPr>
      <w:rFonts w:asciiTheme="minorHAnsi" w:hAnsiTheme="minorHAnsi" w:eastAsiaTheme="minorEastAsia" w:cstheme="minorBidi"/>
      <w:szCs w:val="21"/>
    </w:rPr>
  </w:style>
  <w:style w:type="character" w:customStyle="1" w:styleId="34">
    <w:name w:val="无间隔 Char"/>
    <w:basedOn w:val="14"/>
    <w:link w:val="33"/>
    <w:qFormat/>
    <w:locked/>
    <w:uiPriority w:val="1"/>
    <w:rPr>
      <w:szCs w:val="21"/>
    </w:rPr>
  </w:style>
  <w:style w:type="paragraph" w:customStyle="1" w:styleId="3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36">
    <w:name w:val="无缩进备注"/>
    <w:basedOn w:val="1"/>
    <w:link w:val="37"/>
    <w:qFormat/>
    <w:uiPriority w:val="0"/>
    <w:pPr>
      <w:tabs>
        <w:tab w:val="left" w:pos="426"/>
      </w:tabs>
      <w:jc w:val="left"/>
    </w:pPr>
    <w:rPr>
      <w:rFonts w:ascii="宋体" w:hAnsi="宋体"/>
      <w:kern w:val="0"/>
      <w:szCs w:val="21"/>
    </w:rPr>
  </w:style>
  <w:style w:type="character" w:customStyle="1" w:styleId="37">
    <w:name w:val="无缩进备注 Char"/>
    <w:basedOn w:val="14"/>
    <w:link w:val="36"/>
    <w:qFormat/>
    <w:uiPriority w:val="0"/>
    <w:rPr>
      <w:rFonts w:ascii="宋体" w:hAnsi="宋体" w:eastAsia="宋体" w:cs="Times New Roman"/>
      <w:kern w:val="0"/>
      <w:szCs w:val="21"/>
    </w:rPr>
  </w:style>
  <w:style w:type="character" w:customStyle="1" w:styleId="38">
    <w:name w:val="read1"/>
    <w:basedOn w:val="14"/>
    <w:qFormat/>
    <w:uiPriority w:val="0"/>
    <w:rPr>
      <w:rFonts w:hint="default"/>
      <w:color w:val="000000"/>
      <w:spacing w:val="450"/>
      <w:u w:val="none"/>
    </w:rPr>
  </w:style>
  <w:style w:type="character" w:customStyle="1" w:styleId="39">
    <w:name w:val="da"/>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9238-77FF-4BFB-BAA4-D6D22B54CFE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1439</Words>
  <Characters>8204</Characters>
  <Lines>68</Lines>
  <Paragraphs>19</Paragraphs>
  <TotalTime>3</TotalTime>
  <ScaleCrop>false</ScaleCrop>
  <LinksUpToDate>false</LinksUpToDate>
  <CharactersWithSpaces>9624</CharactersWithSpaces>
  <Application>WPS Office_12.8.2.19795_F1E327BC-269C-435d-A152-05C5408002CA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2022-06-07T10:30:00Z</dcterms:created>
  <dc:creator>段宏竹</dc:creator>
  <cp:lastModifiedBy>zhouhy</cp:lastModifiedBy>
  <dcterms:modified xsi:type="dcterms:W3CDTF">2025-03-11T02:14:57Z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2052-12.8.2.19795</vt:lpwstr>
  </property>
  <property fmtid="{D5CDD505-2E9C-101B-9397-08002B2CF9AE}" pid="3" name="ICV">
    <vt:lpwstr>8230924AB4F54ECC833E4BE3DC1B1B92_12</vt:lpwstr>
  </property>
</Properties>
</file>