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175D" w:rsidRDefault="0066175D">
      <w:pPr>
        <w:spacing w:line="360" w:lineRule="auto"/>
        <w:ind w:firstLineChars="200" w:firstLine="960"/>
        <w:rPr>
          <w:sz w:val="48"/>
          <w:szCs w:val="48"/>
        </w:rPr>
      </w:pPr>
    </w:p>
    <w:p w:rsidR="0066175D" w:rsidRDefault="0066175D">
      <w:pPr>
        <w:spacing w:line="360" w:lineRule="auto"/>
        <w:ind w:firstLineChars="200" w:firstLine="960"/>
        <w:rPr>
          <w:sz w:val="48"/>
          <w:szCs w:val="48"/>
        </w:rPr>
      </w:pPr>
    </w:p>
    <w:p w:rsidR="0066175D" w:rsidRDefault="0066175D">
      <w:pPr>
        <w:spacing w:line="360" w:lineRule="auto"/>
        <w:ind w:firstLineChars="200" w:firstLine="960"/>
        <w:rPr>
          <w:sz w:val="48"/>
          <w:szCs w:val="48"/>
        </w:rPr>
      </w:pPr>
    </w:p>
    <w:p w:rsidR="0066175D" w:rsidRDefault="0066175D">
      <w:pPr>
        <w:spacing w:line="360" w:lineRule="auto"/>
        <w:ind w:firstLineChars="200" w:firstLine="960"/>
        <w:rPr>
          <w:sz w:val="48"/>
          <w:szCs w:val="48"/>
        </w:rPr>
      </w:pPr>
    </w:p>
    <w:p w:rsidR="0066175D" w:rsidRDefault="00C269F6">
      <w:pPr>
        <w:pStyle w:val="a6"/>
        <w:spacing w:line="600" w:lineRule="auto"/>
        <w:jc w:val="center"/>
        <w:rPr>
          <w:rFonts w:eastAsia="黑体"/>
          <w:b/>
          <w:sz w:val="44"/>
          <w:szCs w:val="44"/>
        </w:rPr>
      </w:pPr>
      <w:bookmarkStart w:id="0" w:name="_Toc139991724"/>
      <w:bookmarkStart w:id="1" w:name="_Toc123701381"/>
      <w:bookmarkStart w:id="2" w:name="_Toc123112222"/>
      <w:bookmarkStart w:id="3" w:name="_Toc123112261"/>
      <w:bookmarkStart w:id="4" w:name="_Toc139992299"/>
      <w:bookmarkStart w:id="5" w:name="OLE_LINK15"/>
      <w:bookmarkStart w:id="6" w:name="OLE_LINK16"/>
      <w:bookmarkStart w:id="7" w:name="_Toc113428882"/>
      <w:bookmarkStart w:id="8" w:name="_Toc113436658"/>
      <w:bookmarkStart w:id="9" w:name="_Toc113428977"/>
      <w:r>
        <w:rPr>
          <w:rFonts w:eastAsia="黑体" w:hint="eastAsia"/>
          <w:b/>
          <w:sz w:val="44"/>
          <w:szCs w:val="44"/>
        </w:rPr>
        <w:t>太平</w:t>
      </w:r>
      <w:r w:rsidR="00092622">
        <w:rPr>
          <w:rFonts w:eastAsia="黑体" w:hint="eastAsia"/>
          <w:b/>
          <w:sz w:val="44"/>
          <w:szCs w:val="44"/>
        </w:rPr>
        <w:t>科技先锋</w:t>
      </w:r>
      <w:r>
        <w:rPr>
          <w:rFonts w:eastAsia="黑体" w:hint="eastAsia"/>
          <w:b/>
          <w:sz w:val="44"/>
          <w:szCs w:val="44"/>
        </w:rPr>
        <w:t>混合型发起式</w:t>
      </w:r>
    </w:p>
    <w:p w:rsidR="0066175D" w:rsidRDefault="00C269F6">
      <w:pPr>
        <w:pStyle w:val="a6"/>
        <w:spacing w:line="600" w:lineRule="auto"/>
        <w:jc w:val="center"/>
        <w:rPr>
          <w:rFonts w:eastAsia="黑体"/>
          <w:b/>
          <w:sz w:val="44"/>
          <w:szCs w:val="44"/>
        </w:rPr>
      </w:pPr>
      <w:r>
        <w:rPr>
          <w:rFonts w:eastAsia="黑体"/>
          <w:b/>
          <w:sz w:val="44"/>
          <w:szCs w:val="44"/>
        </w:rPr>
        <w:t>证券投资基金</w:t>
      </w:r>
      <w:bookmarkEnd w:id="0"/>
      <w:bookmarkEnd w:id="1"/>
      <w:bookmarkEnd w:id="2"/>
      <w:bookmarkEnd w:id="3"/>
      <w:bookmarkEnd w:id="4"/>
    </w:p>
    <w:bookmarkEnd w:id="5"/>
    <w:bookmarkEnd w:id="6"/>
    <w:p w:rsidR="0066175D" w:rsidRDefault="00C269F6">
      <w:pPr>
        <w:pStyle w:val="a6"/>
        <w:spacing w:line="600" w:lineRule="auto"/>
        <w:jc w:val="center"/>
        <w:rPr>
          <w:rFonts w:eastAsia="黑体"/>
          <w:b/>
          <w:sz w:val="44"/>
          <w:szCs w:val="44"/>
        </w:rPr>
      </w:pPr>
      <w:r>
        <w:rPr>
          <w:rFonts w:eastAsia="黑体"/>
          <w:b/>
          <w:sz w:val="44"/>
          <w:szCs w:val="44"/>
        </w:rPr>
        <w:t>基金份额发售公告</w:t>
      </w:r>
      <w:bookmarkEnd w:id="7"/>
      <w:bookmarkEnd w:id="8"/>
      <w:bookmarkEnd w:id="9"/>
    </w:p>
    <w:p w:rsidR="0066175D" w:rsidRDefault="0066175D">
      <w:pPr>
        <w:pStyle w:val="a6"/>
        <w:spacing w:line="600" w:lineRule="auto"/>
        <w:jc w:val="center"/>
        <w:rPr>
          <w:rFonts w:eastAsia="黑体"/>
          <w:b/>
          <w:sz w:val="44"/>
          <w:szCs w:val="44"/>
        </w:rPr>
      </w:pPr>
    </w:p>
    <w:p w:rsidR="0066175D" w:rsidRDefault="0066175D">
      <w:pPr>
        <w:spacing w:line="360" w:lineRule="auto"/>
        <w:ind w:firstLineChars="200" w:firstLine="1600"/>
        <w:rPr>
          <w:rFonts w:eastAsia="黑体"/>
          <w:sz w:val="80"/>
          <w:szCs w:val="80"/>
        </w:rPr>
      </w:pPr>
    </w:p>
    <w:p w:rsidR="0066175D" w:rsidRDefault="0066175D">
      <w:pPr>
        <w:spacing w:line="360" w:lineRule="auto"/>
        <w:ind w:firstLineChars="200" w:firstLine="1600"/>
        <w:rPr>
          <w:rFonts w:eastAsia="黑体"/>
          <w:sz w:val="80"/>
          <w:szCs w:val="80"/>
        </w:rPr>
      </w:pPr>
    </w:p>
    <w:p w:rsidR="0066175D" w:rsidRDefault="0066175D">
      <w:pPr>
        <w:spacing w:line="360" w:lineRule="auto"/>
        <w:ind w:firstLineChars="200" w:firstLine="1600"/>
        <w:rPr>
          <w:rFonts w:eastAsia="黑体"/>
          <w:sz w:val="80"/>
          <w:szCs w:val="80"/>
        </w:rPr>
      </w:pPr>
    </w:p>
    <w:p w:rsidR="0066175D" w:rsidRDefault="0066175D">
      <w:pPr>
        <w:spacing w:line="360" w:lineRule="auto"/>
        <w:ind w:firstLineChars="200" w:firstLine="1600"/>
        <w:rPr>
          <w:rFonts w:eastAsia="黑体"/>
          <w:sz w:val="80"/>
          <w:szCs w:val="80"/>
        </w:rPr>
      </w:pPr>
    </w:p>
    <w:p w:rsidR="0066175D" w:rsidRDefault="0066175D">
      <w:pPr>
        <w:spacing w:line="360" w:lineRule="auto"/>
        <w:ind w:firstLineChars="200" w:firstLine="1600"/>
        <w:rPr>
          <w:rFonts w:eastAsia="黑体"/>
          <w:sz w:val="80"/>
          <w:szCs w:val="80"/>
        </w:rPr>
      </w:pPr>
    </w:p>
    <w:p w:rsidR="0066175D" w:rsidRDefault="00C269F6">
      <w:pPr>
        <w:spacing w:line="360" w:lineRule="auto"/>
        <w:jc w:val="center"/>
        <w:rPr>
          <w:rFonts w:eastAsia="黑体"/>
          <w:sz w:val="28"/>
          <w:szCs w:val="28"/>
        </w:rPr>
      </w:pPr>
      <w:r>
        <w:rPr>
          <w:rFonts w:eastAsia="黑体"/>
          <w:sz w:val="28"/>
          <w:szCs w:val="28"/>
        </w:rPr>
        <w:t>基金管理人：</w:t>
      </w:r>
      <w:r>
        <w:rPr>
          <w:rFonts w:eastAsia="黑体" w:hint="eastAsia"/>
          <w:sz w:val="28"/>
          <w:szCs w:val="28"/>
        </w:rPr>
        <w:t>太平</w:t>
      </w:r>
      <w:r>
        <w:rPr>
          <w:rFonts w:eastAsia="黑体"/>
          <w:sz w:val="28"/>
          <w:szCs w:val="28"/>
        </w:rPr>
        <w:t>基金管理有限公司</w:t>
      </w:r>
    </w:p>
    <w:p w:rsidR="0066175D" w:rsidRDefault="00C269F6">
      <w:pPr>
        <w:spacing w:line="360" w:lineRule="auto"/>
        <w:jc w:val="center"/>
        <w:rPr>
          <w:rFonts w:eastAsia="黑体"/>
          <w:sz w:val="28"/>
          <w:szCs w:val="28"/>
        </w:rPr>
      </w:pPr>
      <w:r>
        <w:rPr>
          <w:rFonts w:eastAsia="黑体"/>
          <w:sz w:val="28"/>
          <w:szCs w:val="28"/>
        </w:rPr>
        <w:t>基金托管人：</w:t>
      </w:r>
      <w:r w:rsidR="00092622">
        <w:rPr>
          <w:rFonts w:eastAsia="黑体" w:hint="eastAsia"/>
          <w:sz w:val="28"/>
          <w:szCs w:val="28"/>
        </w:rPr>
        <w:t>上海</w:t>
      </w:r>
      <w:r>
        <w:rPr>
          <w:rFonts w:eastAsia="黑体" w:hint="eastAsia"/>
          <w:sz w:val="28"/>
          <w:szCs w:val="28"/>
        </w:rPr>
        <w:t>银行股份有限公司</w:t>
      </w:r>
    </w:p>
    <w:p w:rsidR="0066175D" w:rsidRDefault="0066175D">
      <w:pPr>
        <w:spacing w:line="360" w:lineRule="auto"/>
        <w:ind w:firstLineChars="200" w:firstLine="560"/>
        <w:rPr>
          <w:rFonts w:eastAsia="黑体"/>
          <w:sz w:val="28"/>
          <w:szCs w:val="28"/>
        </w:rPr>
      </w:pPr>
    </w:p>
    <w:p w:rsidR="0066175D" w:rsidRDefault="0066175D">
      <w:pPr>
        <w:pStyle w:val="a8"/>
        <w:jc w:val="center"/>
        <w:rPr>
          <w:rFonts w:ascii="Times New Roman" w:eastAsia="黑体"/>
          <w:color w:val="auto"/>
        </w:rPr>
      </w:pPr>
    </w:p>
    <w:p w:rsidR="0066175D" w:rsidRDefault="0066175D">
      <w:pPr>
        <w:sectPr w:rsidR="0066175D">
          <w:headerReference w:type="default" r:id="rId7"/>
          <w:footerReference w:type="even" r:id="rId8"/>
          <w:footerReference w:type="first" r:id="rId9"/>
          <w:pgSz w:w="11906" w:h="16838"/>
          <w:pgMar w:top="1440" w:right="1797" w:bottom="1440" w:left="1797" w:header="851" w:footer="992" w:gutter="567"/>
          <w:cols w:space="720"/>
          <w:titlePg/>
          <w:docGrid w:type="lines" w:linePitch="312"/>
        </w:sectPr>
      </w:pPr>
    </w:p>
    <w:p w:rsidR="0066175D" w:rsidRDefault="0066175D"/>
    <w:p w:rsidR="0066175D" w:rsidRDefault="00C269F6">
      <w:pPr>
        <w:pStyle w:val="a8"/>
        <w:jc w:val="center"/>
        <w:rPr>
          <w:rFonts w:ascii="Times New Roman"/>
          <w:color w:val="auto"/>
        </w:rPr>
      </w:pPr>
      <w:r>
        <w:rPr>
          <w:rFonts w:ascii="Times New Roman"/>
          <w:color w:val="auto"/>
        </w:rPr>
        <w:t>目录</w:t>
      </w:r>
    </w:p>
    <w:p w:rsidR="0066175D" w:rsidRDefault="002D12D9">
      <w:pPr>
        <w:pStyle w:val="10"/>
        <w:tabs>
          <w:tab w:val="right" w:leader="dot" w:pos="7735"/>
        </w:tabs>
        <w:spacing w:beforeLines="0" w:afterLines="0"/>
        <w:rPr>
          <w:rFonts w:ascii="Calibri" w:hAnsi="Calibri" w:cs="Arial"/>
          <w:sz w:val="21"/>
          <w:szCs w:val="22"/>
        </w:rPr>
      </w:pPr>
      <w:r>
        <w:fldChar w:fldCharType="begin"/>
      </w:r>
      <w:r w:rsidR="00C269F6">
        <w:instrText xml:space="preserve"> TOC \o "1-1" \h \z \u </w:instrText>
      </w:r>
      <w:r>
        <w:fldChar w:fldCharType="separate"/>
      </w:r>
      <w:hyperlink w:anchor="_Toc73026660" w:history="1">
        <w:r w:rsidR="00C269F6">
          <w:rPr>
            <w:rFonts w:hint="eastAsia"/>
          </w:rPr>
          <w:t>一、本次募集基本情况</w:t>
        </w:r>
        <w:r w:rsidR="00C269F6">
          <w:tab/>
        </w:r>
        <w:r>
          <w:fldChar w:fldCharType="begin"/>
        </w:r>
        <w:r w:rsidR="00C269F6">
          <w:instrText xml:space="preserve"> PAGEREF _Toc73026660 \h </w:instrText>
        </w:r>
        <w:r>
          <w:fldChar w:fldCharType="separate"/>
        </w:r>
        <w:r w:rsidR="00C269F6">
          <w:t>6</w:t>
        </w:r>
        <w:r>
          <w:fldChar w:fldCharType="end"/>
        </w:r>
      </w:hyperlink>
    </w:p>
    <w:p w:rsidR="0066175D" w:rsidRDefault="002D12D9">
      <w:pPr>
        <w:pStyle w:val="10"/>
        <w:tabs>
          <w:tab w:val="right" w:leader="dot" w:pos="7735"/>
        </w:tabs>
        <w:spacing w:beforeLines="0" w:afterLines="0"/>
        <w:rPr>
          <w:rFonts w:ascii="Calibri" w:hAnsi="Calibri" w:cs="Arial"/>
          <w:sz w:val="21"/>
          <w:szCs w:val="22"/>
        </w:rPr>
      </w:pPr>
      <w:hyperlink w:anchor="_Toc73026661" w:history="1">
        <w:r w:rsidR="00C269F6">
          <w:rPr>
            <w:rFonts w:hint="eastAsia"/>
          </w:rPr>
          <w:t>二、认购方式与相关规定</w:t>
        </w:r>
        <w:r w:rsidR="00C269F6">
          <w:tab/>
        </w:r>
        <w:r>
          <w:fldChar w:fldCharType="begin"/>
        </w:r>
        <w:r w:rsidR="00C269F6">
          <w:instrText xml:space="preserve"> PAGEREF _Toc73026661 \h </w:instrText>
        </w:r>
        <w:r>
          <w:fldChar w:fldCharType="separate"/>
        </w:r>
        <w:r w:rsidR="00C269F6">
          <w:t>8</w:t>
        </w:r>
        <w:r>
          <w:fldChar w:fldCharType="end"/>
        </w:r>
      </w:hyperlink>
    </w:p>
    <w:p w:rsidR="0066175D" w:rsidRDefault="002D12D9">
      <w:pPr>
        <w:pStyle w:val="10"/>
        <w:tabs>
          <w:tab w:val="right" w:leader="dot" w:pos="7735"/>
        </w:tabs>
        <w:spacing w:beforeLines="0" w:afterLines="0"/>
        <w:rPr>
          <w:rFonts w:ascii="Calibri" w:hAnsi="Calibri" w:cs="Arial"/>
          <w:sz w:val="21"/>
          <w:szCs w:val="22"/>
        </w:rPr>
      </w:pPr>
      <w:hyperlink w:anchor="_Toc73026662" w:history="1">
        <w:r w:rsidR="00C269F6">
          <w:rPr>
            <w:rFonts w:hint="eastAsia"/>
          </w:rPr>
          <w:t>三、清算与交割</w:t>
        </w:r>
        <w:r w:rsidR="00C269F6">
          <w:tab/>
        </w:r>
        <w:r>
          <w:fldChar w:fldCharType="begin"/>
        </w:r>
        <w:r w:rsidR="00C269F6">
          <w:instrText xml:space="preserve"> PAGEREF _Toc73026662 \h </w:instrText>
        </w:r>
        <w:r>
          <w:fldChar w:fldCharType="separate"/>
        </w:r>
        <w:r w:rsidR="00C269F6">
          <w:t>11</w:t>
        </w:r>
        <w:r>
          <w:fldChar w:fldCharType="end"/>
        </w:r>
      </w:hyperlink>
    </w:p>
    <w:p w:rsidR="0066175D" w:rsidRDefault="002D12D9">
      <w:pPr>
        <w:pStyle w:val="10"/>
        <w:tabs>
          <w:tab w:val="right" w:leader="dot" w:pos="7735"/>
        </w:tabs>
        <w:spacing w:beforeLines="0" w:afterLines="0"/>
        <w:rPr>
          <w:rFonts w:ascii="Calibri" w:hAnsi="Calibri" w:cs="Arial"/>
          <w:sz w:val="21"/>
          <w:szCs w:val="22"/>
        </w:rPr>
      </w:pPr>
      <w:hyperlink w:anchor="_Toc73026663" w:history="1">
        <w:r w:rsidR="00C269F6">
          <w:rPr>
            <w:rFonts w:hint="eastAsia"/>
          </w:rPr>
          <w:t>四、基金的验资与基金合同的生效</w:t>
        </w:r>
        <w:r w:rsidR="00C269F6">
          <w:tab/>
        </w:r>
        <w:r>
          <w:fldChar w:fldCharType="begin"/>
        </w:r>
        <w:r w:rsidR="00C269F6">
          <w:instrText xml:space="preserve"> PAGEREF _Toc73026663 \h </w:instrText>
        </w:r>
        <w:r>
          <w:fldChar w:fldCharType="separate"/>
        </w:r>
        <w:r w:rsidR="00C269F6">
          <w:t>11</w:t>
        </w:r>
        <w:r>
          <w:fldChar w:fldCharType="end"/>
        </w:r>
      </w:hyperlink>
    </w:p>
    <w:p w:rsidR="0066175D" w:rsidRDefault="002D12D9">
      <w:pPr>
        <w:pStyle w:val="10"/>
        <w:tabs>
          <w:tab w:val="right" w:leader="dot" w:pos="7735"/>
        </w:tabs>
        <w:spacing w:beforeLines="0" w:afterLines="0"/>
        <w:rPr>
          <w:rFonts w:ascii="Calibri" w:hAnsi="Calibri" w:cs="Arial"/>
          <w:sz w:val="21"/>
          <w:szCs w:val="22"/>
        </w:rPr>
      </w:pPr>
      <w:hyperlink w:anchor="_Toc73026664" w:history="1">
        <w:r w:rsidR="00C269F6">
          <w:rPr>
            <w:rFonts w:hint="eastAsia"/>
          </w:rPr>
          <w:t>五、本次基金发售当事人或中介机构</w:t>
        </w:r>
        <w:r w:rsidR="00C269F6">
          <w:tab/>
        </w:r>
        <w:r>
          <w:fldChar w:fldCharType="begin"/>
        </w:r>
        <w:r w:rsidR="00C269F6">
          <w:instrText xml:space="preserve"> PAGEREF _Toc73026664 \h </w:instrText>
        </w:r>
        <w:r>
          <w:fldChar w:fldCharType="separate"/>
        </w:r>
        <w:r w:rsidR="00C269F6">
          <w:t>12</w:t>
        </w:r>
        <w:r>
          <w:fldChar w:fldCharType="end"/>
        </w:r>
      </w:hyperlink>
    </w:p>
    <w:p w:rsidR="0066175D" w:rsidRDefault="002D12D9">
      <w:pPr>
        <w:spacing w:line="360" w:lineRule="auto"/>
        <w:rPr>
          <w:sz w:val="24"/>
        </w:rPr>
        <w:sectPr w:rsidR="0066175D">
          <w:headerReference w:type="default" r:id="rId10"/>
          <w:pgSz w:w="11906" w:h="16838"/>
          <w:pgMar w:top="1440" w:right="1797" w:bottom="1440" w:left="1797" w:header="851" w:footer="992" w:gutter="567"/>
          <w:cols w:space="720"/>
          <w:docGrid w:type="lines" w:linePitch="312"/>
        </w:sectPr>
      </w:pPr>
      <w:r>
        <w:rPr>
          <w:sz w:val="24"/>
        </w:rPr>
        <w:fldChar w:fldCharType="end"/>
      </w:r>
    </w:p>
    <w:p w:rsidR="0066175D" w:rsidRDefault="00C269F6">
      <w:pPr>
        <w:spacing w:line="360" w:lineRule="auto"/>
        <w:ind w:firstLineChars="200" w:firstLine="562"/>
        <w:jc w:val="center"/>
        <w:rPr>
          <w:sz w:val="24"/>
        </w:rPr>
      </w:pPr>
      <w:r>
        <w:rPr>
          <w:b/>
          <w:bCs/>
          <w:sz w:val="28"/>
          <w:szCs w:val="28"/>
        </w:rPr>
        <w:lastRenderedPageBreak/>
        <w:t>【重要提示】</w:t>
      </w:r>
    </w:p>
    <w:p w:rsidR="0066175D" w:rsidRDefault="00C269F6">
      <w:pPr>
        <w:widowControl/>
        <w:spacing w:line="360" w:lineRule="auto"/>
        <w:ind w:firstLineChars="200" w:firstLine="480"/>
        <w:rPr>
          <w:rFonts w:ascii="宋体"/>
          <w:sz w:val="24"/>
        </w:rPr>
      </w:pPr>
      <w:r>
        <w:rPr>
          <w:sz w:val="24"/>
        </w:rPr>
        <w:t>太平</w:t>
      </w:r>
      <w:r w:rsidR="00092622">
        <w:rPr>
          <w:sz w:val="24"/>
        </w:rPr>
        <w:t>科技先锋</w:t>
      </w:r>
      <w:r>
        <w:rPr>
          <w:sz w:val="24"/>
        </w:rPr>
        <w:t>混合型发起式证券投资基金（以下简称</w:t>
      </w:r>
      <w:r>
        <w:rPr>
          <w:sz w:val="24"/>
        </w:rPr>
        <w:t>“</w:t>
      </w:r>
      <w:r>
        <w:rPr>
          <w:sz w:val="24"/>
        </w:rPr>
        <w:t>本基金</w:t>
      </w:r>
      <w:r>
        <w:rPr>
          <w:sz w:val="24"/>
        </w:rPr>
        <w:t>”</w:t>
      </w:r>
      <w:r>
        <w:rPr>
          <w:sz w:val="24"/>
        </w:rPr>
        <w:t>）的募集及其基金份额的发售已</w:t>
      </w:r>
      <w:r>
        <w:rPr>
          <w:rFonts w:hint="eastAsia"/>
          <w:sz w:val="24"/>
        </w:rPr>
        <w:t>经中国证券监督管理委员会（以下简称“</w:t>
      </w:r>
      <w:r>
        <w:rPr>
          <w:sz w:val="24"/>
        </w:rPr>
        <w:t>中国证监会</w:t>
      </w:r>
      <w:r>
        <w:rPr>
          <w:rFonts w:hint="eastAsia"/>
          <w:sz w:val="24"/>
        </w:rPr>
        <w:t>”）</w:t>
      </w:r>
      <w:r>
        <w:rPr>
          <w:rFonts w:hint="eastAsia"/>
          <w:sz w:val="24"/>
        </w:rPr>
        <w:t>2024</w:t>
      </w:r>
      <w:r>
        <w:rPr>
          <w:rFonts w:hint="eastAsia"/>
          <w:sz w:val="24"/>
        </w:rPr>
        <w:t>年</w:t>
      </w:r>
      <w:r w:rsidR="00092622" w:rsidRPr="00092622">
        <w:rPr>
          <w:rFonts w:hint="eastAsia"/>
          <w:sz w:val="24"/>
        </w:rPr>
        <w:t>12</w:t>
      </w:r>
      <w:r w:rsidR="00092622" w:rsidRPr="00092622">
        <w:rPr>
          <w:rFonts w:hint="eastAsia"/>
          <w:sz w:val="24"/>
        </w:rPr>
        <w:t>月</w:t>
      </w:r>
      <w:r w:rsidR="00092622" w:rsidRPr="00092622">
        <w:rPr>
          <w:rFonts w:hint="eastAsia"/>
          <w:sz w:val="24"/>
        </w:rPr>
        <w:t>11</w:t>
      </w:r>
      <w:r w:rsidR="00092622" w:rsidRPr="00092622">
        <w:rPr>
          <w:rFonts w:hint="eastAsia"/>
          <w:sz w:val="24"/>
        </w:rPr>
        <w:t>日</w:t>
      </w:r>
      <w:r>
        <w:rPr>
          <w:rFonts w:hint="eastAsia"/>
          <w:sz w:val="24"/>
        </w:rPr>
        <w:t>证监许可</w:t>
      </w:r>
      <w:r>
        <w:rPr>
          <w:rFonts w:hint="eastAsia"/>
          <w:sz w:val="24"/>
        </w:rPr>
        <w:t>[2024]</w:t>
      </w:r>
      <w:r w:rsidR="00092622">
        <w:rPr>
          <w:rFonts w:hint="eastAsia"/>
          <w:sz w:val="24"/>
        </w:rPr>
        <w:t>1800</w:t>
      </w:r>
      <w:r>
        <w:rPr>
          <w:rFonts w:hint="eastAsia"/>
          <w:sz w:val="24"/>
        </w:rPr>
        <w:t>号文注册募集。</w:t>
      </w:r>
      <w:r>
        <w:rPr>
          <w:bCs/>
          <w:sz w:val="24"/>
        </w:rPr>
        <w:t>中国证监会对本基金募集的</w:t>
      </w:r>
      <w:r>
        <w:rPr>
          <w:rFonts w:hint="eastAsia"/>
          <w:bCs/>
          <w:sz w:val="24"/>
        </w:rPr>
        <w:t>注册</w:t>
      </w:r>
      <w:r>
        <w:rPr>
          <w:bCs/>
          <w:sz w:val="24"/>
        </w:rPr>
        <w:t>，并不表明其对本基金的</w:t>
      </w:r>
      <w:r>
        <w:rPr>
          <w:rFonts w:hint="eastAsia"/>
          <w:bCs/>
          <w:sz w:val="24"/>
        </w:rPr>
        <w:t>投资</w:t>
      </w:r>
      <w:r>
        <w:rPr>
          <w:bCs/>
          <w:sz w:val="24"/>
        </w:rPr>
        <w:t>价值和</w:t>
      </w:r>
      <w:r>
        <w:rPr>
          <w:rFonts w:hint="eastAsia"/>
          <w:bCs/>
          <w:sz w:val="24"/>
        </w:rPr>
        <w:t>市场前景</w:t>
      </w:r>
      <w:r>
        <w:rPr>
          <w:bCs/>
          <w:sz w:val="24"/>
        </w:rPr>
        <w:t>做出实质性判断或保证，也不表明投资于本基金没有风险。</w:t>
      </w:r>
    </w:p>
    <w:p w:rsidR="0066175D" w:rsidRDefault="00C269F6">
      <w:pPr>
        <w:numPr>
          <w:ilvl w:val="0"/>
          <w:numId w:val="1"/>
        </w:numPr>
        <w:tabs>
          <w:tab w:val="left" w:pos="900"/>
        </w:tabs>
        <w:spacing w:line="360" w:lineRule="auto"/>
        <w:ind w:left="0" w:firstLine="480"/>
        <w:rPr>
          <w:kern w:val="0"/>
          <w:sz w:val="24"/>
        </w:rPr>
      </w:pPr>
      <w:r>
        <w:rPr>
          <w:kern w:val="0"/>
          <w:sz w:val="24"/>
        </w:rPr>
        <w:t>本基金</w:t>
      </w:r>
      <w:r>
        <w:rPr>
          <w:rFonts w:hint="eastAsia"/>
          <w:kern w:val="0"/>
          <w:sz w:val="24"/>
        </w:rPr>
        <w:t>类别为混合型证券投资基金，运作方式为</w:t>
      </w:r>
      <w:r>
        <w:rPr>
          <w:kern w:val="0"/>
          <w:sz w:val="24"/>
        </w:rPr>
        <w:t>契约型开放式。</w:t>
      </w:r>
    </w:p>
    <w:p w:rsidR="0066175D" w:rsidRDefault="00C269F6">
      <w:pPr>
        <w:numPr>
          <w:ilvl w:val="0"/>
          <w:numId w:val="1"/>
        </w:numPr>
        <w:tabs>
          <w:tab w:val="left" w:pos="900"/>
        </w:tabs>
        <w:spacing w:line="360" w:lineRule="auto"/>
        <w:ind w:left="0" w:firstLine="480"/>
        <w:rPr>
          <w:kern w:val="0"/>
          <w:sz w:val="24"/>
        </w:rPr>
      </w:pPr>
      <w:r>
        <w:rPr>
          <w:kern w:val="0"/>
          <w:sz w:val="24"/>
        </w:rPr>
        <w:t>本基金的管理人为太平基金管理有限公司（以下简称</w:t>
      </w:r>
      <w:r>
        <w:rPr>
          <w:kern w:val="0"/>
          <w:sz w:val="24"/>
        </w:rPr>
        <w:t>“</w:t>
      </w:r>
      <w:r>
        <w:rPr>
          <w:kern w:val="0"/>
          <w:sz w:val="24"/>
        </w:rPr>
        <w:t>本公司</w:t>
      </w:r>
      <w:r>
        <w:rPr>
          <w:kern w:val="0"/>
          <w:sz w:val="24"/>
        </w:rPr>
        <w:t>”</w:t>
      </w:r>
      <w:r>
        <w:rPr>
          <w:kern w:val="0"/>
          <w:sz w:val="24"/>
        </w:rPr>
        <w:t>）。</w:t>
      </w:r>
    </w:p>
    <w:p w:rsidR="0066175D" w:rsidRDefault="00C269F6">
      <w:pPr>
        <w:numPr>
          <w:ilvl w:val="0"/>
          <w:numId w:val="1"/>
        </w:numPr>
        <w:tabs>
          <w:tab w:val="left" w:pos="900"/>
        </w:tabs>
        <w:spacing w:line="360" w:lineRule="auto"/>
        <w:ind w:left="0" w:firstLine="480"/>
        <w:rPr>
          <w:kern w:val="0"/>
          <w:sz w:val="24"/>
        </w:rPr>
      </w:pPr>
      <w:r>
        <w:rPr>
          <w:kern w:val="0"/>
          <w:sz w:val="24"/>
        </w:rPr>
        <w:t>本基金的托管人为</w:t>
      </w:r>
      <w:r w:rsidR="00092622">
        <w:rPr>
          <w:rFonts w:hint="eastAsia"/>
          <w:kern w:val="0"/>
          <w:sz w:val="24"/>
        </w:rPr>
        <w:t>上海</w:t>
      </w:r>
      <w:r>
        <w:rPr>
          <w:rFonts w:hint="eastAsia"/>
          <w:kern w:val="0"/>
          <w:sz w:val="24"/>
        </w:rPr>
        <w:t>银行股份有限公司</w:t>
      </w:r>
      <w:r>
        <w:rPr>
          <w:kern w:val="0"/>
          <w:sz w:val="24"/>
        </w:rPr>
        <w:t>。</w:t>
      </w:r>
    </w:p>
    <w:p w:rsidR="0066175D" w:rsidRDefault="00C269F6">
      <w:pPr>
        <w:numPr>
          <w:ilvl w:val="0"/>
          <w:numId w:val="1"/>
        </w:numPr>
        <w:tabs>
          <w:tab w:val="left" w:pos="900"/>
        </w:tabs>
        <w:spacing w:line="360" w:lineRule="auto"/>
        <w:ind w:left="0" w:firstLine="480"/>
        <w:rPr>
          <w:kern w:val="0"/>
          <w:sz w:val="24"/>
        </w:rPr>
      </w:pPr>
      <w:r>
        <w:rPr>
          <w:kern w:val="0"/>
          <w:sz w:val="24"/>
        </w:rPr>
        <w:t>本基金的基金</w:t>
      </w:r>
      <w:r>
        <w:rPr>
          <w:rFonts w:hint="eastAsia"/>
          <w:kern w:val="0"/>
          <w:sz w:val="24"/>
        </w:rPr>
        <w:t>份额</w:t>
      </w:r>
      <w:r>
        <w:rPr>
          <w:kern w:val="0"/>
          <w:sz w:val="24"/>
        </w:rPr>
        <w:t>登记机构为太平基金管理有限公司。</w:t>
      </w:r>
    </w:p>
    <w:p w:rsidR="0066175D" w:rsidRDefault="00C269F6">
      <w:pPr>
        <w:numPr>
          <w:ilvl w:val="0"/>
          <w:numId w:val="1"/>
        </w:numPr>
        <w:tabs>
          <w:tab w:val="left" w:pos="900"/>
        </w:tabs>
        <w:spacing w:line="360" w:lineRule="auto"/>
        <w:ind w:left="0" w:firstLine="480"/>
        <w:rPr>
          <w:kern w:val="0"/>
          <w:sz w:val="24"/>
        </w:rPr>
      </w:pPr>
      <w:r>
        <w:rPr>
          <w:kern w:val="0"/>
          <w:sz w:val="24"/>
        </w:rPr>
        <w:t>本基金自</w:t>
      </w:r>
      <w:r w:rsidR="00092622">
        <w:rPr>
          <w:bCs/>
          <w:color w:val="000000"/>
          <w:sz w:val="24"/>
        </w:rPr>
        <w:t>202</w:t>
      </w:r>
      <w:r w:rsidR="00092622">
        <w:rPr>
          <w:rFonts w:hint="eastAsia"/>
          <w:bCs/>
          <w:color w:val="000000"/>
          <w:sz w:val="24"/>
        </w:rPr>
        <w:t>5</w:t>
      </w:r>
      <w:r>
        <w:rPr>
          <w:rFonts w:hint="eastAsia"/>
          <w:bCs/>
          <w:color w:val="000000"/>
          <w:sz w:val="24"/>
        </w:rPr>
        <w:t>年</w:t>
      </w:r>
      <w:r w:rsidR="00092622">
        <w:rPr>
          <w:rFonts w:hint="eastAsia"/>
          <w:bCs/>
          <w:color w:val="000000"/>
          <w:sz w:val="24"/>
        </w:rPr>
        <w:t>3</w:t>
      </w:r>
      <w:r>
        <w:rPr>
          <w:rFonts w:hint="eastAsia"/>
          <w:bCs/>
          <w:color w:val="000000"/>
          <w:sz w:val="24"/>
        </w:rPr>
        <w:t>月</w:t>
      </w:r>
      <w:r w:rsidR="00092622">
        <w:rPr>
          <w:rFonts w:hint="eastAsia"/>
          <w:bCs/>
          <w:color w:val="000000"/>
          <w:sz w:val="24"/>
        </w:rPr>
        <w:t>17</w:t>
      </w:r>
      <w:r>
        <w:rPr>
          <w:rFonts w:hint="eastAsia"/>
          <w:bCs/>
          <w:color w:val="000000"/>
          <w:sz w:val="24"/>
        </w:rPr>
        <w:t>日至</w:t>
      </w:r>
      <w:r w:rsidR="00092622">
        <w:rPr>
          <w:rFonts w:hint="eastAsia"/>
          <w:bCs/>
          <w:color w:val="000000"/>
          <w:sz w:val="24"/>
        </w:rPr>
        <w:t>2025</w:t>
      </w:r>
      <w:r>
        <w:rPr>
          <w:rFonts w:hint="eastAsia"/>
          <w:bCs/>
          <w:color w:val="000000"/>
          <w:sz w:val="24"/>
        </w:rPr>
        <w:t>年</w:t>
      </w:r>
      <w:r w:rsidR="00092622">
        <w:rPr>
          <w:rFonts w:hint="eastAsia"/>
          <w:bCs/>
          <w:color w:val="000000"/>
          <w:sz w:val="24"/>
        </w:rPr>
        <w:t>3</w:t>
      </w:r>
      <w:r>
        <w:rPr>
          <w:rFonts w:hint="eastAsia"/>
          <w:bCs/>
          <w:color w:val="000000"/>
          <w:sz w:val="24"/>
        </w:rPr>
        <w:t>月</w:t>
      </w:r>
      <w:r w:rsidR="00092622">
        <w:rPr>
          <w:rFonts w:hint="eastAsia"/>
          <w:bCs/>
          <w:color w:val="000000"/>
          <w:sz w:val="24"/>
        </w:rPr>
        <w:t>28</w:t>
      </w:r>
      <w:r>
        <w:rPr>
          <w:rFonts w:hint="eastAsia"/>
          <w:bCs/>
          <w:color w:val="000000"/>
          <w:sz w:val="24"/>
        </w:rPr>
        <w:t>日</w:t>
      </w:r>
      <w:r>
        <w:rPr>
          <w:kern w:val="0"/>
          <w:sz w:val="24"/>
        </w:rPr>
        <w:t>通过基金管理人指定的销售机构发售，基金管理人可根据募集情况适当延长或缩短本基金的募集期限并及时公告。</w:t>
      </w:r>
      <w:r>
        <w:rPr>
          <w:rFonts w:hint="eastAsia"/>
          <w:kern w:val="0"/>
          <w:sz w:val="24"/>
        </w:rPr>
        <w:t>各销售机构办理认购业务的办理网点、办理日期和时间等事项参照各销售机构的具体规定。</w:t>
      </w:r>
    </w:p>
    <w:p w:rsidR="0066175D" w:rsidRDefault="00C269F6">
      <w:pPr>
        <w:numPr>
          <w:ilvl w:val="0"/>
          <w:numId w:val="1"/>
        </w:numPr>
        <w:tabs>
          <w:tab w:val="left" w:pos="900"/>
        </w:tabs>
        <w:spacing w:line="360" w:lineRule="auto"/>
        <w:ind w:left="0" w:firstLine="480"/>
        <w:rPr>
          <w:kern w:val="0"/>
          <w:sz w:val="24"/>
        </w:rPr>
      </w:pPr>
      <w:r>
        <w:rPr>
          <w:kern w:val="0"/>
          <w:sz w:val="24"/>
        </w:rPr>
        <w:t>本基金募集对象为</w:t>
      </w:r>
      <w:r>
        <w:rPr>
          <w:bCs/>
          <w:sz w:val="24"/>
        </w:rPr>
        <w:t>符合法律法规规定的可投资于证券投资基金的个人投资者、机构投资者</w:t>
      </w:r>
      <w:r>
        <w:rPr>
          <w:rFonts w:hint="eastAsia"/>
          <w:bCs/>
          <w:sz w:val="24"/>
        </w:rPr>
        <w:t>、</w:t>
      </w:r>
      <w:r>
        <w:rPr>
          <w:bCs/>
          <w:sz w:val="24"/>
        </w:rPr>
        <w:t>合格境外投资者</w:t>
      </w:r>
      <w:r>
        <w:rPr>
          <w:rFonts w:hint="eastAsia"/>
          <w:bCs/>
          <w:sz w:val="24"/>
        </w:rPr>
        <w:t>、发起资金提供方</w:t>
      </w:r>
      <w:r>
        <w:rPr>
          <w:bCs/>
          <w:sz w:val="24"/>
        </w:rPr>
        <w:t>以及法律法规或中国证监会允许购买证券投资基金的其他投资人</w:t>
      </w:r>
      <w:r>
        <w:rPr>
          <w:rFonts w:hint="eastAsia"/>
          <w:bCs/>
          <w:sz w:val="24"/>
        </w:rPr>
        <w:t>。</w:t>
      </w:r>
    </w:p>
    <w:p w:rsidR="0066175D" w:rsidRDefault="00C269F6">
      <w:pPr>
        <w:numPr>
          <w:ilvl w:val="0"/>
          <w:numId w:val="1"/>
        </w:numPr>
        <w:tabs>
          <w:tab w:val="left" w:pos="900"/>
        </w:tabs>
        <w:spacing w:line="360" w:lineRule="auto"/>
        <w:ind w:left="0" w:firstLine="480"/>
        <w:rPr>
          <w:kern w:val="0"/>
          <w:sz w:val="24"/>
        </w:rPr>
      </w:pPr>
      <w:r>
        <w:rPr>
          <w:kern w:val="0"/>
          <w:sz w:val="24"/>
        </w:rPr>
        <w:t>本基金募集期内不设募集</w:t>
      </w:r>
      <w:r>
        <w:rPr>
          <w:rFonts w:hint="eastAsia"/>
          <w:kern w:val="0"/>
          <w:sz w:val="24"/>
        </w:rPr>
        <w:t>规模</w:t>
      </w:r>
      <w:r>
        <w:rPr>
          <w:kern w:val="0"/>
          <w:sz w:val="24"/>
        </w:rPr>
        <w:t>上限。</w:t>
      </w:r>
    </w:p>
    <w:p w:rsidR="0066175D" w:rsidRDefault="00C269F6">
      <w:pPr>
        <w:numPr>
          <w:ilvl w:val="0"/>
          <w:numId w:val="1"/>
        </w:numPr>
        <w:tabs>
          <w:tab w:val="left" w:pos="900"/>
        </w:tabs>
        <w:spacing w:line="360" w:lineRule="auto"/>
        <w:ind w:left="0" w:firstLine="480"/>
        <w:rPr>
          <w:kern w:val="0"/>
          <w:sz w:val="24"/>
        </w:rPr>
      </w:pPr>
      <w:r>
        <w:rPr>
          <w:rFonts w:hint="eastAsia"/>
          <w:kern w:val="0"/>
          <w:sz w:val="24"/>
        </w:rPr>
        <w:t>投资者认购本基金需首先办理开户手续，已经开立基金账户的客户无需重新开户。</w:t>
      </w:r>
    </w:p>
    <w:p w:rsidR="0066175D" w:rsidRDefault="00C269F6">
      <w:pPr>
        <w:numPr>
          <w:ilvl w:val="0"/>
          <w:numId w:val="1"/>
        </w:numPr>
        <w:tabs>
          <w:tab w:val="left" w:pos="900"/>
        </w:tabs>
        <w:spacing w:line="360" w:lineRule="auto"/>
        <w:ind w:left="0" w:firstLine="480"/>
        <w:rPr>
          <w:kern w:val="0"/>
          <w:sz w:val="24"/>
        </w:rPr>
      </w:pPr>
      <w:r>
        <w:rPr>
          <w:rFonts w:hint="eastAsia"/>
          <w:kern w:val="0"/>
          <w:sz w:val="24"/>
        </w:rPr>
        <w:t>本基金认购采取金额申请方式，投资者认购本基金，须按销售机构规定全额交纳认购款项。</w:t>
      </w:r>
    </w:p>
    <w:p w:rsidR="0066175D" w:rsidRDefault="00C269F6">
      <w:pPr>
        <w:numPr>
          <w:ilvl w:val="0"/>
          <w:numId w:val="1"/>
        </w:numPr>
        <w:tabs>
          <w:tab w:val="left" w:pos="900"/>
        </w:tabs>
        <w:spacing w:line="360" w:lineRule="auto"/>
        <w:ind w:left="0" w:firstLine="480"/>
        <w:rPr>
          <w:kern w:val="0"/>
          <w:sz w:val="24"/>
        </w:rPr>
      </w:pPr>
      <w:r>
        <w:rPr>
          <w:rFonts w:hint="eastAsia"/>
          <w:kern w:val="0"/>
          <w:sz w:val="24"/>
        </w:rPr>
        <w:t>在募集期内，投资者可多次认购基金份额，</w:t>
      </w:r>
      <w:r>
        <w:rPr>
          <w:rFonts w:hint="eastAsia"/>
          <w:kern w:val="0"/>
          <w:sz w:val="24"/>
        </w:rPr>
        <w:t>A</w:t>
      </w:r>
      <w:r>
        <w:rPr>
          <w:rFonts w:hint="eastAsia"/>
          <w:kern w:val="0"/>
          <w:sz w:val="24"/>
        </w:rPr>
        <w:t>类基金份额的认购费用按每笔</w:t>
      </w:r>
      <w:r>
        <w:rPr>
          <w:rFonts w:hint="eastAsia"/>
          <w:kern w:val="0"/>
          <w:sz w:val="24"/>
        </w:rPr>
        <w:t>A</w:t>
      </w:r>
      <w:r>
        <w:rPr>
          <w:rFonts w:hint="eastAsia"/>
          <w:kern w:val="0"/>
          <w:sz w:val="24"/>
        </w:rPr>
        <w:t>类基金份额的认购申请单独计算。认购申请一经受理不得撤销。</w:t>
      </w:r>
    </w:p>
    <w:p w:rsidR="0066175D" w:rsidRDefault="00C269F6">
      <w:pPr>
        <w:numPr>
          <w:ilvl w:val="0"/>
          <w:numId w:val="1"/>
        </w:numPr>
        <w:tabs>
          <w:tab w:val="left" w:pos="900"/>
        </w:tabs>
        <w:spacing w:line="360" w:lineRule="auto"/>
        <w:ind w:left="0" w:firstLine="480"/>
        <w:rPr>
          <w:kern w:val="0"/>
          <w:sz w:val="24"/>
        </w:rPr>
      </w:pPr>
      <w:r>
        <w:rPr>
          <w:rFonts w:hint="eastAsia"/>
          <w:kern w:val="0"/>
          <w:sz w:val="24"/>
        </w:rPr>
        <w:t>基金销售机构对认购申请的受理并不代表该申请一定生效，而仅代表销售机构确实接收到认购申请。认购申请的确认以登记机构的确认结果为准。对于认购申请及认购份额的确认情况，投资人应及时查询并妥善行使合法权利，否则，由此产生的任何损失由投资者自行承担。</w:t>
      </w:r>
    </w:p>
    <w:p w:rsidR="0066175D" w:rsidRDefault="00C269F6">
      <w:pPr>
        <w:numPr>
          <w:ilvl w:val="0"/>
          <w:numId w:val="1"/>
        </w:numPr>
        <w:tabs>
          <w:tab w:val="left" w:pos="900"/>
        </w:tabs>
        <w:spacing w:line="360" w:lineRule="auto"/>
        <w:ind w:left="0" w:firstLine="480"/>
        <w:rPr>
          <w:kern w:val="0"/>
          <w:sz w:val="24"/>
        </w:rPr>
      </w:pPr>
      <w:r>
        <w:rPr>
          <w:rFonts w:hint="eastAsia"/>
          <w:kern w:val="0"/>
          <w:sz w:val="24"/>
        </w:rPr>
        <w:t>投资人通过本基金的直销机构单个基金账户首次认购本基金单笔最低金额为人民币</w:t>
      </w:r>
      <w:r>
        <w:rPr>
          <w:rFonts w:hint="eastAsia"/>
          <w:kern w:val="0"/>
          <w:sz w:val="24"/>
        </w:rPr>
        <w:t>1.00</w:t>
      </w:r>
      <w:r>
        <w:rPr>
          <w:rFonts w:hint="eastAsia"/>
          <w:kern w:val="0"/>
          <w:sz w:val="24"/>
        </w:rPr>
        <w:t>元（含认购费），追加认购的单笔最低金额为人民币</w:t>
      </w:r>
      <w:r>
        <w:rPr>
          <w:rFonts w:hint="eastAsia"/>
          <w:kern w:val="0"/>
          <w:sz w:val="24"/>
        </w:rPr>
        <w:t>1.00</w:t>
      </w:r>
      <w:r>
        <w:rPr>
          <w:rFonts w:hint="eastAsia"/>
          <w:kern w:val="0"/>
          <w:sz w:val="24"/>
        </w:rPr>
        <w:t>元（含认购费）；通过其他销售机构单个基金账户首次认购本基金单笔最低金额为人民币</w:t>
      </w:r>
      <w:r>
        <w:rPr>
          <w:rFonts w:hint="eastAsia"/>
          <w:kern w:val="0"/>
          <w:sz w:val="24"/>
        </w:rPr>
        <w:t>1.00</w:t>
      </w:r>
      <w:r>
        <w:rPr>
          <w:rFonts w:hint="eastAsia"/>
          <w:kern w:val="0"/>
          <w:sz w:val="24"/>
        </w:rPr>
        <w:t>元（含认购费），追加认购的单笔最低金额为人民币</w:t>
      </w:r>
      <w:r>
        <w:rPr>
          <w:rFonts w:hint="eastAsia"/>
          <w:kern w:val="0"/>
          <w:sz w:val="24"/>
        </w:rPr>
        <w:t>1.00</w:t>
      </w:r>
      <w:r>
        <w:rPr>
          <w:rFonts w:hint="eastAsia"/>
          <w:kern w:val="0"/>
          <w:sz w:val="24"/>
        </w:rPr>
        <w:t>元（含认购费），其他销售机构另有规定的，从其规定。</w:t>
      </w:r>
    </w:p>
    <w:p w:rsidR="0066175D" w:rsidRDefault="00C269F6">
      <w:pPr>
        <w:numPr>
          <w:ilvl w:val="0"/>
          <w:numId w:val="1"/>
        </w:numPr>
        <w:tabs>
          <w:tab w:val="left" w:pos="900"/>
        </w:tabs>
        <w:spacing w:line="360" w:lineRule="auto"/>
        <w:ind w:left="0" w:firstLine="480"/>
        <w:rPr>
          <w:kern w:val="0"/>
          <w:sz w:val="24"/>
        </w:rPr>
      </w:pPr>
      <w:r>
        <w:rPr>
          <w:rFonts w:hint="eastAsia"/>
          <w:kern w:val="0"/>
          <w:sz w:val="24"/>
        </w:rPr>
        <w:t>按照本基金各类基金份额合并计算，如本基金单个投资人（基金管理人、基金管理人高级管理人员或基金经理等人员作为发起资金提供方除外）累计认购的基金份额数达到或者超过基金总份额的</w:t>
      </w:r>
      <w:r>
        <w:rPr>
          <w:kern w:val="0"/>
          <w:sz w:val="24"/>
        </w:rPr>
        <w:t>50%</w:t>
      </w:r>
      <w:r>
        <w:rPr>
          <w:rFonts w:hint="eastAsia"/>
          <w:kern w:val="0"/>
          <w:sz w:val="24"/>
        </w:rPr>
        <w:t>，基金管理人可以采取比例确认等方式对该投资人的认购申请进行限制。基金管理人接受某笔或者某些认购申请有可能导致投资者变相规避前述</w:t>
      </w:r>
      <w:r>
        <w:rPr>
          <w:kern w:val="0"/>
          <w:sz w:val="24"/>
        </w:rPr>
        <w:t>50%</w:t>
      </w:r>
      <w:r>
        <w:rPr>
          <w:rFonts w:hint="eastAsia"/>
          <w:kern w:val="0"/>
          <w:sz w:val="24"/>
        </w:rPr>
        <w:t>比例要求的，基金管理人有权拒绝该等全部或者部分认购申请。投资人认购的基金份额数以基金合同生效后登记机构的确认为准。</w:t>
      </w:r>
    </w:p>
    <w:p w:rsidR="0066175D" w:rsidRDefault="00C269F6">
      <w:pPr>
        <w:numPr>
          <w:ilvl w:val="0"/>
          <w:numId w:val="1"/>
        </w:numPr>
        <w:tabs>
          <w:tab w:val="left" w:pos="900"/>
        </w:tabs>
        <w:spacing w:line="360" w:lineRule="auto"/>
        <w:ind w:left="0" w:firstLine="480"/>
        <w:rPr>
          <w:kern w:val="0"/>
          <w:sz w:val="24"/>
        </w:rPr>
      </w:pPr>
      <w:r>
        <w:rPr>
          <w:rFonts w:hint="eastAsia"/>
          <w:kern w:val="0"/>
          <w:sz w:val="24"/>
        </w:rPr>
        <w:t>基金募集期间募集的资金存入专门账户，在基金募集行为结束前，任何人不得动用。</w:t>
      </w:r>
    </w:p>
    <w:p w:rsidR="0066175D" w:rsidRDefault="00C269F6">
      <w:pPr>
        <w:numPr>
          <w:ilvl w:val="0"/>
          <w:numId w:val="1"/>
        </w:numPr>
        <w:tabs>
          <w:tab w:val="left" w:pos="900"/>
        </w:tabs>
        <w:spacing w:line="360" w:lineRule="auto"/>
        <w:ind w:left="0" w:firstLine="480"/>
        <w:rPr>
          <w:kern w:val="0"/>
          <w:sz w:val="24"/>
        </w:rPr>
      </w:pPr>
      <w:r>
        <w:rPr>
          <w:rFonts w:hint="eastAsia"/>
          <w:kern w:val="0"/>
          <w:sz w:val="24"/>
        </w:rPr>
        <w:t>投资者应保证用于认购的资金来源合法，投资者应有权自行支配，不存在任何法律上或合约上的禁止或限制或其他障碍。</w:t>
      </w:r>
    </w:p>
    <w:p w:rsidR="0066175D" w:rsidRDefault="00C269F6">
      <w:pPr>
        <w:numPr>
          <w:ilvl w:val="0"/>
          <w:numId w:val="1"/>
        </w:numPr>
        <w:tabs>
          <w:tab w:val="left" w:pos="900"/>
        </w:tabs>
        <w:spacing w:line="360" w:lineRule="auto"/>
        <w:ind w:left="0" w:firstLine="480"/>
        <w:rPr>
          <w:kern w:val="0"/>
          <w:sz w:val="24"/>
        </w:rPr>
      </w:pPr>
      <w:r>
        <w:rPr>
          <w:kern w:val="0"/>
          <w:sz w:val="24"/>
        </w:rPr>
        <w:t>本公告仅对本基金募集的有关事项和规定予以说明，投资者欲了解本基金的详细情况，</w:t>
      </w:r>
      <w:r>
        <w:rPr>
          <w:rFonts w:hint="eastAsia"/>
          <w:kern w:val="0"/>
          <w:sz w:val="24"/>
        </w:rPr>
        <w:t>敬</w:t>
      </w:r>
      <w:r>
        <w:rPr>
          <w:kern w:val="0"/>
          <w:sz w:val="24"/>
        </w:rPr>
        <w:t>请</w:t>
      </w:r>
      <w:r>
        <w:rPr>
          <w:rFonts w:hint="eastAsia"/>
          <w:kern w:val="0"/>
          <w:sz w:val="24"/>
        </w:rPr>
        <w:t>详细</w:t>
      </w:r>
      <w:r>
        <w:rPr>
          <w:kern w:val="0"/>
          <w:sz w:val="24"/>
        </w:rPr>
        <w:t>阅读《</w:t>
      </w:r>
      <w:r>
        <w:rPr>
          <w:sz w:val="24"/>
        </w:rPr>
        <w:t>太平</w:t>
      </w:r>
      <w:r w:rsidR="00092622">
        <w:rPr>
          <w:sz w:val="24"/>
        </w:rPr>
        <w:t>科技先锋</w:t>
      </w:r>
      <w:r>
        <w:rPr>
          <w:sz w:val="24"/>
        </w:rPr>
        <w:t>混合型发起式证券投资基金</w:t>
      </w:r>
      <w:r>
        <w:rPr>
          <w:kern w:val="0"/>
          <w:sz w:val="24"/>
        </w:rPr>
        <w:t>招募说明书》。</w:t>
      </w:r>
      <w:r>
        <w:rPr>
          <w:rFonts w:ascii="宋体" w:hint="eastAsia"/>
          <w:sz w:val="24"/>
        </w:rPr>
        <w:t>本基金的招募说明书及本公告将同时发布在本公司网站（</w:t>
      </w:r>
      <w:r>
        <w:rPr>
          <w:rFonts w:hint="eastAsia"/>
          <w:sz w:val="24"/>
        </w:rPr>
        <w:t>www.taipingfund.com.cn</w:t>
      </w:r>
      <w:r>
        <w:rPr>
          <w:rFonts w:ascii="宋体" w:hint="eastAsia"/>
          <w:sz w:val="24"/>
        </w:rPr>
        <w:t>）。投资者亦可通过本公司网站或拨打本公司的客户服务中心电话（</w:t>
      </w:r>
      <w:r>
        <w:rPr>
          <w:kern w:val="0"/>
          <w:sz w:val="24"/>
        </w:rPr>
        <w:t>021-</w:t>
      </w:r>
      <w:r>
        <w:rPr>
          <w:rFonts w:hint="eastAsia"/>
          <w:kern w:val="0"/>
          <w:sz w:val="24"/>
        </w:rPr>
        <w:t>61560999</w:t>
      </w:r>
      <w:r>
        <w:rPr>
          <w:rFonts w:hint="eastAsia"/>
          <w:kern w:val="0"/>
          <w:sz w:val="24"/>
        </w:rPr>
        <w:t>、</w:t>
      </w:r>
      <w:r>
        <w:rPr>
          <w:kern w:val="0"/>
          <w:sz w:val="24"/>
        </w:rPr>
        <w:t>4000288699</w:t>
      </w:r>
      <w:r>
        <w:rPr>
          <w:rFonts w:ascii="宋体" w:hint="eastAsia"/>
          <w:sz w:val="24"/>
        </w:rPr>
        <w:t>）了解本公司的详细情况和本基金发售的相关事宜。</w:t>
      </w:r>
    </w:p>
    <w:p w:rsidR="0066175D" w:rsidRDefault="00C269F6">
      <w:pPr>
        <w:numPr>
          <w:ilvl w:val="0"/>
          <w:numId w:val="1"/>
        </w:numPr>
        <w:tabs>
          <w:tab w:val="left" w:pos="900"/>
        </w:tabs>
        <w:spacing w:line="360" w:lineRule="auto"/>
        <w:ind w:left="0" w:firstLine="480"/>
        <w:rPr>
          <w:kern w:val="0"/>
          <w:sz w:val="24"/>
        </w:rPr>
      </w:pPr>
      <w:r>
        <w:rPr>
          <w:rFonts w:hint="eastAsia"/>
          <w:kern w:val="0"/>
          <w:sz w:val="24"/>
        </w:rPr>
        <w:t>销售机构销售本基金的城市名称、网点名称、联系方式以及开户和认购等具体事项详见各销售机构的相关业务公告。</w:t>
      </w:r>
    </w:p>
    <w:p w:rsidR="0066175D" w:rsidRDefault="00C269F6">
      <w:pPr>
        <w:numPr>
          <w:ilvl w:val="0"/>
          <w:numId w:val="1"/>
        </w:numPr>
        <w:tabs>
          <w:tab w:val="left" w:pos="900"/>
        </w:tabs>
        <w:spacing w:line="360" w:lineRule="auto"/>
        <w:ind w:left="0" w:firstLine="480"/>
        <w:rPr>
          <w:kern w:val="0"/>
          <w:sz w:val="24"/>
        </w:rPr>
      </w:pPr>
      <w:r>
        <w:rPr>
          <w:rFonts w:hint="eastAsia"/>
          <w:kern w:val="0"/>
          <w:sz w:val="24"/>
        </w:rPr>
        <w:t>在募集期间，除本公告所列的代销机构外，如增加其他代销机构将及时在基金管理人网站公示</w:t>
      </w:r>
      <w:r>
        <w:rPr>
          <w:kern w:val="0"/>
          <w:sz w:val="24"/>
        </w:rPr>
        <w:t>。</w:t>
      </w:r>
    </w:p>
    <w:p w:rsidR="0066175D" w:rsidRDefault="00C269F6">
      <w:pPr>
        <w:numPr>
          <w:ilvl w:val="0"/>
          <w:numId w:val="1"/>
        </w:numPr>
        <w:tabs>
          <w:tab w:val="left" w:pos="900"/>
        </w:tabs>
        <w:spacing w:line="360" w:lineRule="auto"/>
        <w:ind w:left="0" w:firstLine="480"/>
        <w:rPr>
          <w:kern w:val="0"/>
          <w:sz w:val="24"/>
        </w:rPr>
      </w:pPr>
      <w:r>
        <w:rPr>
          <w:kern w:val="0"/>
          <w:sz w:val="24"/>
        </w:rPr>
        <w:t>对未开设销售网点的地区的投资者，</w:t>
      </w:r>
      <w:r>
        <w:rPr>
          <w:rFonts w:hint="eastAsia"/>
          <w:kern w:val="0"/>
          <w:sz w:val="24"/>
        </w:rPr>
        <w:t>敬</w:t>
      </w:r>
      <w:r>
        <w:rPr>
          <w:kern w:val="0"/>
          <w:sz w:val="24"/>
        </w:rPr>
        <w:t>请拨打本公司的客户服务电话（</w:t>
      </w:r>
      <w:r>
        <w:rPr>
          <w:kern w:val="0"/>
          <w:sz w:val="24"/>
        </w:rPr>
        <w:t>021-</w:t>
      </w:r>
      <w:r>
        <w:rPr>
          <w:rFonts w:hint="eastAsia"/>
          <w:kern w:val="0"/>
          <w:sz w:val="24"/>
        </w:rPr>
        <w:t>61560999</w:t>
      </w:r>
      <w:r>
        <w:rPr>
          <w:rFonts w:hint="eastAsia"/>
          <w:kern w:val="0"/>
          <w:sz w:val="24"/>
        </w:rPr>
        <w:t>、</w:t>
      </w:r>
      <w:r>
        <w:rPr>
          <w:kern w:val="0"/>
          <w:sz w:val="24"/>
        </w:rPr>
        <w:t>4000288699</w:t>
      </w:r>
      <w:r>
        <w:rPr>
          <w:kern w:val="0"/>
          <w:sz w:val="24"/>
        </w:rPr>
        <w:t>）咨询购买相关事宜。</w:t>
      </w:r>
    </w:p>
    <w:p w:rsidR="0066175D" w:rsidRDefault="00C269F6">
      <w:pPr>
        <w:numPr>
          <w:ilvl w:val="0"/>
          <w:numId w:val="1"/>
        </w:numPr>
        <w:tabs>
          <w:tab w:val="left" w:pos="900"/>
        </w:tabs>
        <w:spacing w:line="360" w:lineRule="auto"/>
        <w:ind w:left="0" w:firstLine="480"/>
        <w:rPr>
          <w:kern w:val="0"/>
          <w:sz w:val="24"/>
        </w:rPr>
      </w:pPr>
      <w:r>
        <w:rPr>
          <w:kern w:val="0"/>
          <w:sz w:val="24"/>
        </w:rPr>
        <w:t>基金管理人可综合各种情况依法对本基金募集安排做适当调整。</w:t>
      </w:r>
    </w:p>
    <w:p w:rsidR="0066175D" w:rsidRDefault="00C269F6">
      <w:pPr>
        <w:numPr>
          <w:ilvl w:val="0"/>
          <w:numId w:val="1"/>
        </w:numPr>
        <w:tabs>
          <w:tab w:val="left" w:pos="900"/>
        </w:tabs>
        <w:spacing w:line="360" w:lineRule="auto"/>
        <w:ind w:left="0" w:firstLine="480"/>
        <w:rPr>
          <w:kern w:val="0"/>
          <w:sz w:val="24"/>
        </w:rPr>
      </w:pPr>
      <w:r>
        <w:rPr>
          <w:kern w:val="0"/>
          <w:sz w:val="24"/>
        </w:rPr>
        <w:t>风险提示</w:t>
      </w:r>
    </w:p>
    <w:p w:rsidR="0066175D" w:rsidRDefault="00C269F6">
      <w:pPr>
        <w:pStyle w:val="af5"/>
        <w:spacing w:afterLines="0"/>
        <w:ind w:firstLine="480"/>
        <w:rPr>
          <w:kern w:val="0"/>
        </w:rPr>
      </w:pPr>
      <w:r>
        <w:rPr>
          <w:rFonts w:hint="eastAsia"/>
          <w:kern w:val="0"/>
        </w:rPr>
        <w:t>本基金投资于证券市场，基金净值会因为证券市场波动等因素产生波动，投资者在投资本基金前，应全面了解本基金的产品特性，理性判断市场，并承担基金投资中出现的各类风险，包括：因政策、经济等环境因素对证券价格产生影响而形成的市场风险、基金管理人在基金管理实施过程中产生的信用风险、流动性风险、操作风险、管理风险、合规风险、本基金的特有风险等等。</w:t>
      </w:r>
    </w:p>
    <w:p w:rsidR="0066175D" w:rsidRDefault="00C269F6">
      <w:pPr>
        <w:pStyle w:val="af5"/>
        <w:spacing w:afterLines="0"/>
        <w:ind w:firstLine="480"/>
        <w:rPr>
          <w:kern w:val="0"/>
        </w:rPr>
      </w:pPr>
      <w:r>
        <w:rPr>
          <w:rFonts w:hint="eastAsia"/>
          <w:kern w:val="0"/>
        </w:rPr>
        <w:t>本基金为混合型基金，预期风险和预期收益高于债券型基金和货币市场基金，低于股票型基金。本基金如果投资港股通标的股票，需承担港股通机制下因投资环境、投资标的、市场制度以及交易规则等差异带来的特有风险。</w:t>
      </w:r>
    </w:p>
    <w:p w:rsidR="0066175D" w:rsidRDefault="00C269F6">
      <w:pPr>
        <w:pStyle w:val="af5"/>
        <w:spacing w:afterLines="0"/>
        <w:ind w:firstLine="480"/>
        <w:rPr>
          <w:kern w:val="0"/>
        </w:rPr>
      </w:pPr>
      <w:r>
        <w:rPr>
          <w:rFonts w:hint="eastAsia"/>
          <w:kern w:val="0"/>
        </w:rPr>
        <w:t>投资有风险，投资者在投资本基金前，应当认真、仔细阅读本基金的基金合同、招募说明书、基金产品资料概要等基金法律文件，全面了解本基金的风险收益特征和产品特性，根据自身的投资目的、投资期限、投资经验、资产状况等判断基金是否和自身的风险承受能力相适应，理性判断市场，谨慎、独立做出投资决策，承担基金投资中出现的各类风险，并通过基金管理人或基金管理人委托的具有基金销售业务资格的其他机构认</w:t>
      </w:r>
      <w:r>
        <w:rPr>
          <w:rFonts w:hint="eastAsia"/>
          <w:kern w:val="0"/>
        </w:rPr>
        <w:t>/</w:t>
      </w:r>
      <w:r>
        <w:rPr>
          <w:rFonts w:hint="eastAsia"/>
          <w:kern w:val="0"/>
        </w:rPr>
        <w:t>申购和赎回本基金。</w:t>
      </w:r>
    </w:p>
    <w:p w:rsidR="0066175D" w:rsidRDefault="00C269F6">
      <w:pPr>
        <w:pStyle w:val="af5"/>
        <w:spacing w:afterLines="0"/>
        <w:ind w:firstLine="480"/>
        <w:rPr>
          <w:kern w:val="0"/>
        </w:rPr>
      </w:pPr>
      <w:r>
        <w:rPr>
          <w:rFonts w:hint="eastAsia"/>
          <w:kern w:val="0"/>
        </w:rPr>
        <w:t>基金管理人依照恪尽职守、诚实信用、谨慎勤勉的原则管理和运用基金财产，但不保证投资本基金一定盈利，也不保证最低收益。基金的过往业绩并不预示其未来业绩表现。基金管理人管理的其他基金的业绩并不构成对本基金业绩表现的保证。基金管理人提醒投资者基金投资的“买者自负”原则，在投资者作出投资决策后，基金运营状况与基金资产净值变化引致的投资风险，由投资者自行承担。</w:t>
      </w:r>
    </w:p>
    <w:p w:rsidR="0066175D" w:rsidRDefault="00C269F6">
      <w:pPr>
        <w:pStyle w:val="af5"/>
        <w:spacing w:afterLines="0"/>
        <w:ind w:firstLine="480"/>
        <w:rPr>
          <w:kern w:val="0"/>
        </w:rPr>
      </w:pPr>
      <w:r>
        <w:rPr>
          <w:rFonts w:hint="eastAsia"/>
          <w:kern w:val="0"/>
        </w:rPr>
        <w:t>本基金可投资于资产支持证券，本基金所投资的资产支持证券之债务人出现违约，或在交易过程中发生交收违约，或由于资产支持证券信用质量降低导致证券价格下降，可能造成基金财产损失。此外，受资产支持证券市场规模及交易活跃程度的影响，资产支持证券可能无法在同一价格水平上进行较大数量的买入或卖出，存在一定的流动性风险，从而对基金收益造成影响。</w:t>
      </w:r>
    </w:p>
    <w:p w:rsidR="0066175D" w:rsidRDefault="00C269F6">
      <w:pPr>
        <w:pStyle w:val="af5"/>
        <w:spacing w:afterLines="0"/>
        <w:ind w:firstLine="480"/>
        <w:rPr>
          <w:kern w:val="0"/>
        </w:rPr>
      </w:pPr>
      <w:r>
        <w:rPr>
          <w:rFonts w:hint="eastAsia"/>
          <w:kern w:val="0"/>
        </w:rPr>
        <w:t>本基金可投资于股指期货、国债期货、股票期权等金融衍生品，可能给本基金带来额外风险。投资股指期货、国债期货的风险包括但不限于杠杆风险、保证金风险、期货价格与基金投资品种价格的相关度降低带来的风险等；投资股票期权的风险包括但不限于市场风险、流动性风险、交易对手信用风险、操作风险、保证金风险等；由此可能增加本基金净值的波动性。</w:t>
      </w:r>
    </w:p>
    <w:p w:rsidR="0066175D" w:rsidRDefault="00C269F6">
      <w:pPr>
        <w:pStyle w:val="af5"/>
        <w:spacing w:afterLines="0"/>
        <w:ind w:firstLine="480"/>
        <w:rPr>
          <w:kern w:val="0"/>
        </w:rPr>
      </w:pPr>
      <w:r>
        <w:rPr>
          <w:rFonts w:hint="eastAsia"/>
          <w:kern w:val="0"/>
        </w:rPr>
        <w:t>本基金可以参与内地与香港股票市场交易互联互通机制（以下简称“港股通机制”）下港股通相关业务，基金资产投资于港股，会面临港股通机制下因投资环境、投资标的、市场制度以及交易规则等差异带来的特有风险，包括港股市场股价波动较大的风险（港股市场实行</w:t>
      </w:r>
      <w:r>
        <w:rPr>
          <w:rFonts w:hint="eastAsia"/>
          <w:kern w:val="0"/>
        </w:rPr>
        <w:t>T+0</w:t>
      </w:r>
      <w:r>
        <w:rPr>
          <w:rFonts w:hint="eastAsia"/>
          <w:kern w:val="0"/>
        </w:rPr>
        <w:t>回转交易，且对个股不设涨跌幅限制，港股股价可能表现出比</w:t>
      </w:r>
      <w:r>
        <w:rPr>
          <w:rFonts w:hint="eastAsia"/>
          <w:kern w:val="0"/>
        </w:rPr>
        <w:t>A</w:t>
      </w:r>
      <w:r>
        <w:rPr>
          <w:rFonts w:hint="eastAsia"/>
          <w:kern w:val="0"/>
        </w:rPr>
        <w:t>股更为剧烈的股价波动）、汇率风险（汇率波动可能对基金的投资收益造成损失）、港股通机制下交易日不连贯可能带来的风险（在内地开市香港休市的情形下，港股通不能正常交易，港股不能及时卖出，可能带来一定的流动性风险）等，具体风险详见招募说明书“风险揭示”部分。</w:t>
      </w:r>
    </w:p>
    <w:p w:rsidR="0066175D" w:rsidRDefault="00C269F6">
      <w:pPr>
        <w:pStyle w:val="af5"/>
        <w:spacing w:afterLines="0"/>
        <w:ind w:firstLine="480"/>
        <w:rPr>
          <w:kern w:val="0"/>
        </w:rPr>
      </w:pPr>
      <w:r>
        <w:rPr>
          <w:rFonts w:hint="eastAsia"/>
          <w:kern w:val="0"/>
        </w:rPr>
        <w:t>本基金可根据投资策略需要或不同配置地市场环境的变化，选择将部分基金资产投资于港股通标的股票或选择不将基金资产投资于港股通标的股票，基金资产并非必然投资港股通标的股票。</w:t>
      </w:r>
    </w:p>
    <w:p w:rsidR="0066175D" w:rsidRDefault="00C269F6">
      <w:pPr>
        <w:pStyle w:val="af5"/>
        <w:spacing w:afterLines="0"/>
        <w:ind w:firstLine="480"/>
        <w:rPr>
          <w:kern w:val="0"/>
        </w:rPr>
      </w:pPr>
      <w:r>
        <w:rPr>
          <w:rFonts w:hint="eastAsia"/>
          <w:kern w:val="0"/>
        </w:rPr>
        <w:t>本基金可投资存托凭证，会面临与境内上市交易股票投资的共同风险，还可能面临与存托凭证发行及交易机制相关的特有风险。</w:t>
      </w:r>
    </w:p>
    <w:p w:rsidR="0066175D" w:rsidRDefault="00C269F6">
      <w:pPr>
        <w:pStyle w:val="af5"/>
        <w:spacing w:afterLines="0"/>
        <w:ind w:firstLine="480"/>
        <w:rPr>
          <w:kern w:val="0"/>
        </w:rPr>
      </w:pPr>
      <w:r>
        <w:rPr>
          <w:rFonts w:hint="eastAsia"/>
          <w:kern w:val="0"/>
        </w:rPr>
        <w:t>本基金为发起式基金，在基金募集时，发起资金提供方将运用发起资金认购本基金的金额不低于</w:t>
      </w:r>
      <w:r>
        <w:rPr>
          <w:rFonts w:hint="eastAsia"/>
          <w:kern w:val="0"/>
        </w:rPr>
        <w:t>1000</w:t>
      </w:r>
      <w:r>
        <w:rPr>
          <w:rFonts w:hint="eastAsia"/>
          <w:kern w:val="0"/>
        </w:rPr>
        <w:t>万元，认购的基金份额持有期限不低于三年（基金合同生效不满三年提前终止的情况除外）。发起资金认购的基金份额持有期限满三年后，发起资金提供方将根据自身情况决定是否继续持有，届时，发起资金提供方有可能赎回认购的本基金份额。</w:t>
      </w:r>
    </w:p>
    <w:p w:rsidR="0066175D" w:rsidRDefault="00C269F6">
      <w:pPr>
        <w:pStyle w:val="af5"/>
        <w:spacing w:afterLines="0"/>
        <w:ind w:firstLine="480"/>
        <w:rPr>
          <w:kern w:val="0"/>
        </w:rPr>
      </w:pPr>
      <w:r>
        <w:rPr>
          <w:rFonts w:hint="eastAsia"/>
          <w:kern w:val="0"/>
        </w:rPr>
        <w:t>另外，在基金合同生效满三年后的对应日，如果本基金的基金资产净值低于</w:t>
      </w:r>
      <w:r>
        <w:rPr>
          <w:rFonts w:hint="eastAsia"/>
          <w:kern w:val="0"/>
        </w:rPr>
        <w:t>2</w:t>
      </w:r>
      <w:r>
        <w:rPr>
          <w:rFonts w:hint="eastAsia"/>
          <w:kern w:val="0"/>
        </w:rPr>
        <w:t>亿元，基金合同将自动终止，故基金份额持有人可能面临基金合同终止的风险。</w:t>
      </w:r>
    </w:p>
    <w:p w:rsidR="0066175D" w:rsidRDefault="00C269F6">
      <w:pPr>
        <w:pStyle w:val="af5"/>
        <w:spacing w:afterLines="0"/>
        <w:ind w:firstLine="480"/>
        <w:rPr>
          <w:kern w:val="0"/>
        </w:rPr>
      </w:pPr>
      <w:r>
        <w:rPr>
          <w:rFonts w:hint="eastAsia"/>
          <w:kern w:val="0"/>
        </w:rPr>
        <w:t>当本基金持有特定资产且存在或潜在大额赎回申请时，基金管理人履行相应程序后，本基金可以启用侧袋机制，具体详见招募说明书“十六、侧袋机制”章节。侧袋机制实施期间，基金管理人将对基金简称进行特殊标识，并不办理侧袋账户的申购赎回。请基金份额持有人仔细阅读相关内容并关注本基金启用侧袋机制时的特定风险。</w:t>
      </w:r>
    </w:p>
    <w:p w:rsidR="0066175D" w:rsidRDefault="00C269F6" w:rsidP="00295254">
      <w:pPr>
        <w:pStyle w:val="1"/>
        <w:spacing w:line="360" w:lineRule="auto"/>
        <w:ind w:firstLineChars="200" w:firstLine="480"/>
        <w:rPr>
          <w:sz w:val="24"/>
        </w:rPr>
      </w:pPr>
      <w:r>
        <w:rPr>
          <w:sz w:val="24"/>
        </w:rPr>
        <w:br w:type="page"/>
      </w:r>
      <w:bookmarkStart w:id="10" w:name="_Toc73026660"/>
      <w:bookmarkStart w:id="11" w:name="_Toc496550321"/>
      <w:bookmarkStart w:id="12" w:name="_Toc109560350"/>
      <w:bookmarkStart w:id="13" w:name="_Toc105317273"/>
      <w:bookmarkStart w:id="14" w:name="_Toc110138494"/>
      <w:bookmarkStart w:id="15" w:name="_Toc113428978"/>
      <w:bookmarkStart w:id="16" w:name="_Toc61092328"/>
      <w:bookmarkStart w:id="17" w:name="_Toc89786239"/>
      <w:bookmarkStart w:id="18" w:name="_Toc67296243"/>
      <w:r>
        <w:rPr>
          <w:rFonts w:eastAsia="宋体"/>
          <w:sz w:val="30"/>
          <w:szCs w:val="30"/>
        </w:rPr>
        <w:t>一、本次募集基本情况</w:t>
      </w:r>
      <w:bookmarkEnd w:id="10"/>
      <w:bookmarkEnd w:id="11"/>
      <w:bookmarkEnd w:id="12"/>
      <w:bookmarkEnd w:id="13"/>
      <w:bookmarkEnd w:id="14"/>
      <w:bookmarkEnd w:id="15"/>
      <w:bookmarkEnd w:id="16"/>
      <w:bookmarkEnd w:id="17"/>
      <w:bookmarkEnd w:id="18"/>
    </w:p>
    <w:p w:rsidR="0066175D" w:rsidRDefault="00C269F6">
      <w:pPr>
        <w:spacing w:line="360" w:lineRule="auto"/>
        <w:ind w:firstLineChars="200" w:firstLine="562"/>
        <w:rPr>
          <w:b/>
          <w:bCs/>
          <w:sz w:val="28"/>
        </w:rPr>
      </w:pPr>
      <w:bookmarkStart w:id="19" w:name="_Toc88469822"/>
      <w:bookmarkStart w:id="20" w:name="_Toc88364158"/>
      <w:bookmarkStart w:id="21" w:name="_Toc109560351"/>
      <w:bookmarkStart w:id="22" w:name="_Toc89786240"/>
      <w:r>
        <w:rPr>
          <w:b/>
          <w:bCs/>
          <w:sz w:val="28"/>
        </w:rPr>
        <w:t>（一）基金名称</w:t>
      </w:r>
      <w:bookmarkEnd w:id="19"/>
      <w:bookmarkEnd w:id="20"/>
      <w:bookmarkEnd w:id="21"/>
      <w:bookmarkEnd w:id="22"/>
    </w:p>
    <w:p w:rsidR="0066175D" w:rsidRDefault="00C269F6">
      <w:pPr>
        <w:spacing w:line="360" w:lineRule="auto"/>
        <w:ind w:firstLineChars="200" w:firstLine="480"/>
        <w:rPr>
          <w:sz w:val="24"/>
        </w:rPr>
      </w:pPr>
      <w:bookmarkStart w:id="23" w:name="_Toc109560352"/>
      <w:r>
        <w:rPr>
          <w:rFonts w:hint="eastAsia"/>
          <w:sz w:val="24"/>
        </w:rPr>
        <w:t>太平</w:t>
      </w:r>
      <w:r w:rsidR="00092622">
        <w:rPr>
          <w:rFonts w:hint="eastAsia"/>
          <w:sz w:val="24"/>
        </w:rPr>
        <w:t>科技先锋</w:t>
      </w:r>
      <w:r>
        <w:rPr>
          <w:rFonts w:hint="eastAsia"/>
          <w:sz w:val="24"/>
        </w:rPr>
        <w:t>混合型发起式证券投资基金</w:t>
      </w:r>
    </w:p>
    <w:p w:rsidR="0066175D" w:rsidRDefault="00C269F6">
      <w:pPr>
        <w:spacing w:line="360" w:lineRule="auto"/>
        <w:ind w:firstLineChars="200" w:firstLine="562"/>
        <w:rPr>
          <w:sz w:val="24"/>
        </w:rPr>
      </w:pPr>
      <w:r>
        <w:rPr>
          <w:b/>
          <w:bCs/>
          <w:sz w:val="28"/>
        </w:rPr>
        <w:t>（二）基金代码</w:t>
      </w:r>
      <w:bookmarkEnd w:id="23"/>
      <w:r>
        <w:rPr>
          <w:b/>
          <w:bCs/>
          <w:sz w:val="28"/>
        </w:rPr>
        <w:t>及简称</w:t>
      </w:r>
    </w:p>
    <w:p w:rsidR="0066175D" w:rsidRDefault="00C269F6">
      <w:pPr>
        <w:spacing w:line="360" w:lineRule="auto"/>
        <w:ind w:firstLineChars="200" w:firstLine="480"/>
        <w:rPr>
          <w:sz w:val="24"/>
        </w:rPr>
      </w:pPr>
      <w:r>
        <w:rPr>
          <w:rFonts w:hint="eastAsia"/>
          <w:sz w:val="24"/>
        </w:rPr>
        <w:t>基金份额</w:t>
      </w:r>
      <w:r>
        <w:rPr>
          <w:sz w:val="24"/>
        </w:rPr>
        <w:t>简称：</w:t>
      </w:r>
    </w:p>
    <w:p w:rsidR="0066175D" w:rsidRDefault="00C269F6">
      <w:pPr>
        <w:spacing w:line="360" w:lineRule="auto"/>
        <w:ind w:firstLineChars="200" w:firstLine="480"/>
        <w:rPr>
          <w:sz w:val="24"/>
        </w:rPr>
      </w:pPr>
      <w:r>
        <w:rPr>
          <w:rFonts w:hint="eastAsia"/>
          <w:sz w:val="24"/>
        </w:rPr>
        <w:t>太平</w:t>
      </w:r>
      <w:r w:rsidR="00092622">
        <w:rPr>
          <w:rFonts w:hint="eastAsia"/>
          <w:sz w:val="24"/>
        </w:rPr>
        <w:t>科技先锋</w:t>
      </w:r>
      <w:r>
        <w:rPr>
          <w:rFonts w:hint="eastAsia"/>
          <w:sz w:val="24"/>
        </w:rPr>
        <w:t>混合发起式</w:t>
      </w:r>
      <w:r>
        <w:rPr>
          <w:rFonts w:hint="eastAsia"/>
          <w:sz w:val="24"/>
        </w:rPr>
        <w:t>A</w:t>
      </w:r>
      <w:r>
        <w:rPr>
          <w:rFonts w:hint="eastAsia"/>
          <w:sz w:val="24"/>
        </w:rPr>
        <w:t>、太平</w:t>
      </w:r>
      <w:r w:rsidR="00092622">
        <w:rPr>
          <w:rFonts w:hint="eastAsia"/>
          <w:sz w:val="24"/>
        </w:rPr>
        <w:t>科技先锋</w:t>
      </w:r>
      <w:r>
        <w:rPr>
          <w:rFonts w:hint="eastAsia"/>
          <w:sz w:val="24"/>
        </w:rPr>
        <w:t>混合发起式</w:t>
      </w:r>
      <w:r>
        <w:rPr>
          <w:rFonts w:hint="eastAsia"/>
          <w:sz w:val="24"/>
        </w:rPr>
        <w:t xml:space="preserve">C </w:t>
      </w:r>
    </w:p>
    <w:p w:rsidR="0066175D" w:rsidRDefault="00C269F6">
      <w:pPr>
        <w:spacing w:line="360" w:lineRule="auto"/>
        <w:ind w:firstLineChars="200" w:firstLine="480"/>
        <w:rPr>
          <w:sz w:val="24"/>
        </w:rPr>
      </w:pPr>
      <w:r>
        <w:rPr>
          <w:rFonts w:hint="eastAsia"/>
          <w:sz w:val="24"/>
        </w:rPr>
        <w:t>基金份额</w:t>
      </w:r>
      <w:r>
        <w:rPr>
          <w:sz w:val="24"/>
        </w:rPr>
        <w:t>代码：</w:t>
      </w:r>
    </w:p>
    <w:p w:rsidR="0066175D" w:rsidRDefault="00010060">
      <w:pPr>
        <w:spacing w:line="360" w:lineRule="auto"/>
        <w:ind w:firstLineChars="200" w:firstLine="480"/>
        <w:rPr>
          <w:sz w:val="24"/>
        </w:rPr>
      </w:pPr>
      <w:r w:rsidRPr="00010060">
        <w:rPr>
          <w:sz w:val="24"/>
        </w:rPr>
        <w:t>023044</w:t>
      </w:r>
      <w:r>
        <w:rPr>
          <w:rFonts w:hint="eastAsia"/>
          <w:sz w:val="24"/>
        </w:rPr>
        <w:t>、</w:t>
      </w:r>
      <w:r w:rsidRPr="00010060">
        <w:rPr>
          <w:sz w:val="24"/>
        </w:rPr>
        <w:t>023045</w:t>
      </w:r>
    </w:p>
    <w:p w:rsidR="0066175D" w:rsidRDefault="00C269F6">
      <w:pPr>
        <w:spacing w:line="360" w:lineRule="auto"/>
        <w:ind w:firstLineChars="200" w:firstLine="562"/>
        <w:rPr>
          <w:b/>
          <w:bCs/>
          <w:sz w:val="28"/>
        </w:rPr>
      </w:pPr>
      <w:bookmarkStart w:id="24" w:name="_Toc88364159"/>
      <w:bookmarkStart w:id="25" w:name="_Toc88469823"/>
      <w:bookmarkStart w:id="26" w:name="_Toc89786241"/>
      <w:bookmarkStart w:id="27" w:name="_Toc109560353"/>
      <w:r>
        <w:rPr>
          <w:b/>
          <w:bCs/>
          <w:sz w:val="28"/>
        </w:rPr>
        <w:t>（三）基金运作方式和类型</w:t>
      </w:r>
      <w:bookmarkEnd w:id="24"/>
      <w:bookmarkEnd w:id="25"/>
      <w:bookmarkEnd w:id="26"/>
      <w:bookmarkEnd w:id="27"/>
    </w:p>
    <w:p w:rsidR="0066175D" w:rsidRDefault="00C269F6">
      <w:pPr>
        <w:spacing w:line="360" w:lineRule="auto"/>
        <w:ind w:firstLineChars="200" w:firstLine="480"/>
        <w:rPr>
          <w:sz w:val="24"/>
        </w:rPr>
      </w:pPr>
      <w:r>
        <w:rPr>
          <w:sz w:val="24"/>
        </w:rPr>
        <w:t>契约型开放式</w:t>
      </w:r>
      <w:r>
        <w:rPr>
          <w:rFonts w:hint="eastAsia"/>
          <w:sz w:val="24"/>
        </w:rPr>
        <w:t>，</w:t>
      </w:r>
      <w:r>
        <w:rPr>
          <w:rFonts w:hint="eastAsia"/>
          <w:bCs/>
          <w:sz w:val="24"/>
        </w:rPr>
        <w:t>混合型证券投资基金</w:t>
      </w:r>
    </w:p>
    <w:p w:rsidR="0066175D" w:rsidRDefault="00C269F6">
      <w:pPr>
        <w:spacing w:line="360" w:lineRule="auto"/>
        <w:ind w:firstLineChars="200" w:firstLine="562"/>
        <w:rPr>
          <w:b/>
          <w:bCs/>
          <w:sz w:val="28"/>
        </w:rPr>
      </w:pPr>
      <w:bookmarkStart w:id="28" w:name="_Toc88469824"/>
      <w:bookmarkStart w:id="29" w:name="_Toc109560354"/>
      <w:bookmarkStart w:id="30" w:name="_Toc89786242"/>
      <w:bookmarkStart w:id="31" w:name="_Toc88364160"/>
      <w:r>
        <w:rPr>
          <w:b/>
          <w:bCs/>
          <w:sz w:val="28"/>
        </w:rPr>
        <w:t>（四）基金存续期限</w:t>
      </w:r>
      <w:bookmarkEnd w:id="28"/>
      <w:bookmarkEnd w:id="29"/>
      <w:bookmarkEnd w:id="30"/>
      <w:bookmarkEnd w:id="31"/>
    </w:p>
    <w:p w:rsidR="0066175D" w:rsidRDefault="00C269F6">
      <w:pPr>
        <w:spacing w:line="360" w:lineRule="auto"/>
        <w:ind w:firstLineChars="200" w:firstLine="480"/>
        <w:rPr>
          <w:sz w:val="24"/>
        </w:rPr>
      </w:pPr>
      <w:r>
        <w:rPr>
          <w:sz w:val="24"/>
        </w:rPr>
        <w:t>不定期</w:t>
      </w:r>
    </w:p>
    <w:p w:rsidR="0066175D" w:rsidRDefault="00C269F6">
      <w:pPr>
        <w:spacing w:line="360" w:lineRule="auto"/>
        <w:ind w:firstLineChars="200" w:firstLine="562"/>
        <w:rPr>
          <w:b/>
          <w:bCs/>
          <w:sz w:val="28"/>
        </w:rPr>
      </w:pPr>
      <w:bookmarkStart w:id="32" w:name="_Toc88364161"/>
      <w:bookmarkStart w:id="33" w:name="_Toc109560355"/>
      <w:bookmarkStart w:id="34" w:name="_Toc89786243"/>
      <w:bookmarkStart w:id="35" w:name="_Toc88469825"/>
      <w:r>
        <w:rPr>
          <w:b/>
          <w:bCs/>
          <w:sz w:val="28"/>
        </w:rPr>
        <w:t>（五）基金份额发售面值</w:t>
      </w:r>
      <w:bookmarkEnd w:id="32"/>
      <w:bookmarkEnd w:id="33"/>
      <w:bookmarkEnd w:id="34"/>
      <w:bookmarkEnd w:id="35"/>
      <w:r>
        <w:rPr>
          <w:b/>
          <w:bCs/>
          <w:sz w:val="28"/>
        </w:rPr>
        <w:t>（认购价格）</w:t>
      </w:r>
    </w:p>
    <w:p w:rsidR="0066175D" w:rsidRDefault="00C269F6">
      <w:pPr>
        <w:spacing w:line="360" w:lineRule="auto"/>
        <w:ind w:firstLineChars="200" w:firstLine="480"/>
        <w:rPr>
          <w:sz w:val="24"/>
        </w:rPr>
      </w:pPr>
      <w:r>
        <w:rPr>
          <w:sz w:val="24"/>
        </w:rPr>
        <w:t>基金份额发售面值为人民币</w:t>
      </w:r>
      <w:r>
        <w:rPr>
          <w:sz w:val="24"/>
        </w:rPr>
        <w:t>1.00</w:t>
      </w:r>
      <w:r>
        <w:rPr>
          <w:sz w:val="24"/>
        </w:rPr>
        <w:t>元。</w:t>
      </w:r>
    </w:p>
    <w:p w:rsidR="0066175D" w:rsidRDefault="00C269F6">
      <w:pPr>
        <w:spacing w:line="360" w:lineRule="auto"/>
        <w:ind w:firstLineChars="200" w:firstLine="562"/>
        <w:rPr>
          <w:b/>
          <w:bCs/>
          <w:sz w:val="28"/>
        </w:rPr>
      </w:pPr>
      <w:r>
        <w:rPr>
          <w:b/>
          <w:bCs/>
          <w:sz w:val="28"/>
        </w:rPr>
        <w:t>（六）募集对象</w:t>
      </w:r>
    </w:p>
    <w:p w:rsidR="0066175D" w:rsidRDefault="00C269F6">
      <w:pPr>
        <w:spacing w:line="360" w:lineRule="auto"/>
        <w:ind w:firstLineChars="200" w:firstLine="480"/>
        <w:rPr>
          <w:bCs/>
          <w:sz w:val="24"/>
        </w:rPr>
      </w:pPr>
      <w:bookmarkStart w:id="36" w:name="_Toc109560360"/>
      <w:bookmarkStart w:id="37" w:name="_Toc88469831"/>
      <w:bookmarkStart w:id="38" w:name="_Toc89786250"/>
      <w:bookmarkStart w:id="39" w:name="_Toc88364167"/>
      <w:r>
        <w:rPr>
          <w:rFonts w:hint="eastAsia"/>
          <w:bCs/>
          <w:sz w:val="24"/>
        </w:rPr>
        <w:t>符合法律法规规定的可投资于证券投资基金的个人投资者、机构投资者、合格境外投资者、发起资金提供方以及法律法规或中国证监会允许购买证券投资基金的其他投资人。</w:t>
      </w:r>
    </w:p>
    <w:p w:rsidR="0066175D" w:rsidRDefault="00C269F6">
      <w:pPr>
        <w:spacing w:line="360" w:lineRule="auto"/>
        <w:ind w:firstLineChars="200" w:firstLine="562"/>
        <w:rPr>
          <w:b/>
          <w:bCs/>
          <w:sz w:val="28"/>
        </w:rPr>
      </w:pPr>
      <w:r>
        <w:rPr>
          <w:b/>
          <w:bCs/>
          <w:sz w:val="28"/>
        </w:rPr>
        <w:t>（七）基金发售机构</w:t>
      </w:r>
    </w:p>
    <w:p w:rsidR="0066175D" w:rsidRDefault="00C269F6">
      <w:pPr>
        <w:spacing w:line="360" w:lineRule="auto"/>
        <w:ind w:firstLineChars="200" w:firstLine="482"/>
        <w:rPr>
          <w:b/>
          <w:bCs/>
          <w:sz w:val="24"/>
        </w:rPr>
      </w:pPr>
      <w:r>
        <w:rPr>
          <w:rFonts w:hint="eastAsia"/>
          <w:b/>
          <w:bCs/>
          <w:sz w:val="24"/>
        </w:rPr>
        <w:t>1</w:t>
      </w:r>
      <w:r>
        <w:rPr>
          <w:rFonts w:hint="eastAsia"/>
          <w:b/>
          <w:bCs/>
          <w:sz w:val="24"/>
        </w:rPr>
        <w:t>、</w:t>
      </w:r>
      <w:r>
        <w:rPr>
          <w:b/>
          <w:bCs/>
          <w:sz w:val="24"/>
        </w:rPr>
        <w:t>直销机构</w:t>
      </w:r>
    </w:p>
    <w:p w:rsidR="0066175D" w:rsidRDefault="00C269F6">
      <w:pPr>
        <w:spacing w:line="360" w:lineRule="auto"/>
        <w:ind w:firstLineChars="200" w:firstLine="480"/>
        <w:rPr>
          <w:sz w:val="24"/>
          <w:szCs w:val="20"/>
        </w:rPr>
      </w:pPr>
      <w:r>
        <w:rPr>
          <w:rFonts w:hint="eastAsia"/>
          <w:sz w:val="24"/>
          <w:szCs w:val="20"/>
        </w:rPr>
        <w:t>名称：</w:t>
      </w:r>
      <w:r>
        <w:rPr>
          <w:rFonts w:hint="eastAsia"/>
          <w:bCs/>
          <w:sz w:val="24"/>
        </w:rPr>
        <w:t>太平</w:t>
      </w:r>
      <w:r>
        <w:rPr>
          <w:rFonts w:hint="eastAsia"/>
          <w:sz w:val="24"/>
          <w:szCs w:val="20"/>
        </w:rPr>
        <w:t>基金管理有限公司</w:t>
      </w:r>
    </w:p>
    <w:p w:rsidR="0066175D" w:rsidRDefault="00C269F6">
      <w:pPr>
        <w:spacing w:line="360" w:lineRule="auto"/>
        <w:ind w:firstLineChars="200" w:firstLine="480"/>
        <w:rPr>
          <w:sz w:val="24"/>
          <w:szCs w:val="20"/>
        </w:rPr>
      </w:pPr>
      <w:r>
        <w:rPr>
          <w:rFonts w:hint="eastAsia"/>
          <w:sz w:val="24"/>
          <w:szCs w:val="20"/>
        </w:rPr>
        <w:t>住所：</w:t>
      </w:r>
      <w:r>
        <w:rPr>
          <w:rFonts w:hint="eastAsia"/>
          <w:bCs/>
          <w:sz w:val="24"/>
        </w:rPr>
        <w:t>中国</w:t>
      </w:r>
      <w:r>
        <w:rPr>
          <w:rFonts w:hint="eastAsia"/>
          <w:sz w:val="24"/>
          <w:szCs w:val="20"/>
        </w:rPr>
        <w:t>上海市虹口区邯郸路</w:t>
      </w:r>
      <w:r>
        <w:rPr>
          <w:sz w:val="24"/>
          <w:szCs w:val="20"/>
        </w:rPr>
        <w:t>135</w:t>
      </w:r>
      <w:r>
        <w:rPr>
          <w:rFonts w:hint="eastAsia"/>
          <w:sz w:val="24"/>
          <w:szCs w:val="20"/>
        </w:rPr>
        <w:t>号</w:t>
      </w:r>
      <w:r>
        <w:rPr>
          <w:sz w:val="24"/>
          <w:szCs w:val="20"/>
        </w:rPr>
        <w:t>5</w:t>
      </w:r>
      <w:r>
        <w:rPr>
          <w:rFonts w:hint="eastAsia"/>
          <w:sz w:val="24"/>
          <w:szCs w:val="20"/>
        </w:rPr>
        <w:t>幢</w:t>
      </w:r>
      <w:r>
        <w:rPr>
          <w:sz w:val="24"/>
          <w:szCs w:val="20"/>
        </w:rPr>
        <w:t>101</w:t>
      </w:r>
      <w:r>
        <w:rPr>
          <w:rFonts w:hint="eastAsia"/>
          <w:sz w:val="24"/>
          <w:szCs w:val="20"/>
        </w:rPr>
        <w:t>室</w:t>
      </w:r>
    </w:p>
    <w:p w:rsidR="0066175D" w:rsidRDefault="00C269F6">
      <w:pPr>
        <w:spacing w:line="360" w:lineRule="auto"/>
        <w:ind w:firstLineChars="200" w:firstLine="480"/>
        <w:rPr>
          <w:sz w:val="24"/>
          <w:szCs w:val="20"/>
        </w:rPr>
      </w:pPr>
      <w:r>
        <w:rPr>
          <w:rFonts w:hint="eastAsia"/>
          <w:sz w:val="24"/>
          <w:szCs w:val="20"/>
        </w:rPr>
        <w:t>办公</w:t>
      </w:r>
      <w:r>
        <w:rPr>
          <w:rFonts w:hint="eastAsia"/>
          <w:bCs/>
          <w:sz w:val="24"/>
        </w:rPr>
        <w:t>地址</w:t>
      </w:r>
      <w:r>
        <w:rPr>
          <w:rFonts w:hint="eastAsia"/>
          <w:sz w:val="24"/>
          <w:szCs w:val="20"/>
        </w:rPr>
        <w:t>：中国上海市浦东新区银城中路</w:t>
      </w:r>
      <w:r>
        <w:rPr>
          <w:rFonts w:hint="eastAsia"/>
          <w:sz w:val="24"/>
          <w:szCs w:val="20"/>
        </w:rPr>
        <w:t>488</w:t>
      </w:r>
      <w:r>
        <w:rPr>
          <w:rFonts w:hint="eastAsia"/>
          <w:sz w:val="24"/>
          <w:szCs w:val="20"/>
        </w:rPr>
        <w:t>号</w:t>
      </w:r>
      <w:r>
        <w:rPr>
          <w:rFonts w:hint="eastAsia"/>
          <w:sz w:val="24"/>
          <w:szCs w:val="20"/>
        </w:rPr>
        <w:t>7</w:t>
      </w:r>
      <w:r>
        <w:rPr>
          <w:rFonts w:hint="eastAsia"/>
          <w:sz w:val="24"/>
          <w:szCs w:val="20"/>
        </w:rPr>
        <w:t>楼、</w:t>
      </w:r>
      <w:r>
        <w:rPr>
          <w:rFonts w:hint="eastAsia"/>
          <w:sz w:val="24"/>
          <w:szCs w:val="20"/>
        </w:rPr>
        <w:t>5</w:t>
      </w:r>
      <w:r>
        <w:rPr>
          <w:rFonts w:hint="eastAsia"/>
          <w:sz w:val="24"/>
          <w:szCs w:val="20"/>
        </w:rPr>
        <w:t>楼</w:t>
      </w:r>
      <w:r>
        <w:rPr>
          <w:rFonts w:hint="eastAsia"/>
          <w:sz w:val="24"/>
          <w:szCs w:val="20"/>
        </w:rPr>
        <w:t>503A</w:t>
      </w:r>
      <w:r>
        <w:rPr>
          <w:rFonts w:hint="eastAsia"/>
          <w:sz w:val="24"/>
          <w:szCs w:val="20"/>
        </w:rPr>
        <w:t>室</w:t>
      </w:r>
    </w:p>
    <w:p w:rsidR="0066175D" w:rsidRDefault="00C269F6">
      <w:pPr>
        <w:spacing w:line="360" w:lineRule="auto"/>
        <w:ind w:firstLineChars="200" w:firstLine="480"/>
        <w:rPr>
          <w:sz w:val="24"/>
          <w:szCs w:val="20"/>
        </w:rPr>
      </w:pPr>
      <w:r>
        <w:rPr>
          <w:rFonts w:hint="eastAsia"/>
          <w:bCs/>
          <w:sz w:val="24"/>
        </w:rPr>
        <w:t>法定</w:t>
      </w:r>
      <w:r>
        <w:rPr>
          <w:rFonts w:hint="eastAsia"/>
          <w:sz w:val="24"/>
          <w:szCs w:val="20"/>
        </w:rPr>
        <w:t>代表人：</w:t>
      </w:r>
      <w:r w:rsidR="00010060">
        <w:rPr>
          <w:rFonts w:hint="eastAsia"/>
          <w:sz w:val="24"/>
          <w:szCs w:val="20"/>
        </w:rPr>
        <w:t>刘冬</w:t>
      </w:r>
    </w:p>
    <w:p w:rsidR="0066175D" w:rsidRDefault="00C269F6">
      <w:pPr>
        <w:spacing w:line="360" w:lineRule="auto"/>
        <w:ind w:firstLineChars="200" w:firstLine="480"/>
        <w:rPr>
          <w:sz w:val="24"/>
          <w:szCs w:val="20"/>
        </w:rPr>
      </w:pPr>
      <w:r>
        <w:rPr>
          <w:rFonts w:hint="eastAsia"/>
          <w:bCs/>
          <w:sz w:val="24"/>
        </w:rPr>
        <w:t>联系人</w:t>
      </w:r>
      <w:r>
        <w:rPr>
          <w:rFonts w:hint="eastAsia"/>
          <w:sz w:val="24"/>
          <w:szCs w:val="20"/>
        </w:rPr>
        <w:t>：周书雨</w:t>
      </w:r>
    </w:p>
    <w:p w:rsidR="0066175D" w:rsidRDefault="00C269F6">
      <w:pPr>
        <w:spacing w:line="360" w:lineRule="auto"/>
        <w:ind w:firstLineChars="200" w:firstLine="480"/>
        <w:rPr>
          <w:sz w:val="24"/>
          <w:szCs w:val="20"/>
        </w:rPr>
      </w:pPr>
      <w:r>
        <w:rPr>
          <w:rFonts w:hint="eastAsia"/>
          <w:bCs/>
          <w:sz w:val="24"/>
        </w:rPr>
        <w:t>直销</w:t>
      </w:r>
      <w:r>
        <w:rPr>
          <w:rFonts w:hint="eastAsia"/>
          <w:sz w:val="24"/>
          <w:szCs w:val="20"/>
        </w:rPr>
        <w:t>电话：</w:t>
      </w:r>
      <w:r>
        <w:rPr>
          <w:sz w:val="24"/>
          <w:szCs w:val="20"/>
        </w:rPr>
        <w:t>021-38556789</w:t>
      </w:r>
    </w:p>
    <w:p w:rsidR="0066175D" w:rsidRDefault="00C269F6">
      <w:pPr>
        <w:spacing w:line="360" w:lineRule="auto"/>
        <w:ind w:firstLineChars="200" w:firstLine="480"/>
        <w:rPr>
          <w:sz w:val="24"/>
          <w:szCs w:val="20"/>
        </w:rPr>
      </w:pPr>
      <w:r>
        <w:rPr>
          <w:rFonts w:hint="eastAsia"/>
          <w:bCs/>
          <w:sz w:val="24"/>
        </w:rPr>
        <w:t>直销</w:t>
      </w:r>
      <w:r>
        <w:rPr>
          <w:rFonts w:hint="eastAsia"/>
          <w:sz w:val="24"/>
          <w:szCs w:val="20"/>
        </w:rPr>
        <w:t>传真：</w:t>
      </w:r>
      <w:r>
        <w:rPr>
          <w:sz w:val="24"/>
          <w:szCs w:val="20"/>
        </w:rPr>
        <w:t>021-38556751</w:t>
      </w:r>
    </w:p>
    <w:p w:rsidR="0066175D" w:rsidRDefault="00C269F6">
      <w:pPr>
        <w:spacing w:line="360" w:lineRule="auto"/>
        <w:ind w:firstLineChars="200" w:firstLine="480"/>
        <w:rPr>
          <w:sz w:val="24"/>
          <w:szCs w:val="20"/>
        </w:rPr>
      </w:pPr>
      <w:r>
        <w:rPr>
          <w:rFonts w:hint="eastAsia"/>
          <w:bCs/>
          <w:sz w:val="24"/>
        </w:rPr>
        <w:t>客户</w:t>
      </w:r>
      <w:r>
        <w:rPr>
          <w:rFonts w:hint="eastAsia"/>
          <w:sz w:val="24"/>
          <w:szCs w:val="20"/>
        </w:rPr>
        <w:t>服务电话：</w:t>
      </w:r>
      <w:r>
        <w:rPr>
          <w:sz w:val="24"/>
          <w:szCs w:val="20"/>
        </w:rPr>
        <w:t>021-61560999</w:t>
      </w:r>
      <w:r>
        <w:rPr>
          <w:rFonts w:hint="eastAsia"/>
          <w:sz w:val="24"/>
          <w:szCs w:val="20"/>
        </w:rPr>
        <w:t>、</w:t>
      </w:r>
      <w:r>
        <w:rPr>
          <w:sz w:val="24"/>
          <w:szCs w:val="20"/>
        </w:rPr>
        <w:t>4000288699</w:t>
      </w:r>
    </w:p>
    <w:p w:rsidR="0066175D" w:rsidRDefault="00C269F6">
      <w:pPr>
        <w:spacing w:line="360" w:lineRule="auto"/>
        <w:ind w:firstLineChars="200" w:firstLine="480"/>
        <w:rPr>
          <w:sz w:val="24"/>
          <w:szCs w:val="20"/>
        </w:rPr>
      </w:pPr>
      <w:r>
        <w:rPr>
          <w:rFonts w:hint="eastAsia"/>
          <w:bCs/>
          <w:sz w:val="24"/>
        </w:rPr>
        <w:t>公司</w:t>
      </w:r>
      <w:r>
        <w:rPr>
          <w:rFonts w:hint="eastAsia"/>
          <w:sz w:val="24"/>
          <w:szCs w:val="20"/>
        </w:rPr>
        <w:t>网址：</w:t>
      </w:r>
      <w:hyperlink r:id="rId11" w:history="1">
        <w:r>
          <w:rPr>
            <w:sz w:val="24"/>
          </w:rPr>
          <w:t>www.taipingfund.com.cn</w:t>
        </w:r>
      </w:hyperlink>
    </w:p>
    <w:p w:rsidR="0066175D" w:rsidRDefault="00C269F6">
      <w:pPr>
        <w:spacing w:line="360" w:lineRule="auto"/>
        <w:ind w:firstLineChars="200" w:firstLine="482"/>
        <w:rPr>
          <w:b/>
          <w:bCs/>
          <w:sz w:val="24"/>
        </w:rPr>
      </w:pPr>
      <w:r>
        <w:rPr>
          <w:rFonts w:hint="eastAsia"/>
          <w:b/>
          <w:bCs/>
          <w:sz w:val="24"/>
        </w:rPr>
        <w:t>2</w:t>
      </w:r>
      <w:r>
        <w:rPr>
          <w:rFonts w:hint="eastAsia"/>
          <w:b/>
          <w:bCs/>
          <w:sz w:val="24"/>
        </w:rPr>
        <w:t>、其他销售机构</w:t>
      </w:r>
    </w:p>
    <w:p w:rsidR="0066175D" w:rsidRDefault="00942692">
      <w:pPr>
        <w:pStyle w:val="ad"/>
        <w:widowControl w:val="0"/>
        <w:autoSpaceDE w:val="0"/>
        <w:autoSpaceDN w:val="0"/>
        <w:adjustRightInd w:val="0"/>
        <w:spacing w:before="0" w:beforeAutospacing="0" w:after="0" w:afterAutospacing="0" w:line="360" w:lineRule="auto"/>
        <w:ind w:firstLineChars="200" w:firstLine="480"/>
        <w:rPr>
          <w:bCs/>
        </w:rPr>
      </w:pPr>
      <w:r w:rsidRPr="00942692">
        <w:rPr>
          <w:rFonts w:hint="eastAsia"/>
          <w:bCs/>
        </w:rPr>
        <w:t>国投证券股份有限公司、山西证券股份有限公司、中信证券山东有限责任公司、中信（华南）证券股份有限公司、中信证券股份有限公司、海通证券股份有限公司、中国银河证券股份有限公司、中信建投证券股份有限公司、中信期货股份有限公司、湘财证券股份有限公司、华泰证券股份有限公司、上海天天基金销售有限公司、上海联泰基金销售有限公司、上海利得基金销售有限公司、诺亚正行基金销售有限公司、浙江同花顺基金销售有限公司、上海汇付基金销售有限公司、珠海盈米基金销售有限公司、北京汇成基金销售有限公司、上海万得基金销售有限公司、财咨道信息技术有限公司、京东肯特瑞基金销售有限公司、上海长量基金销售有限公司、上海基煜基金销售有限公司、北京雪球基金销售有限公司、阳光人寿保险股份有限公司、北京度小满基金销售有限公司、奕丰基金销售有限公司、泰信财富基金销售有限公司、蚂蚁（杭州）基金销售有限公司、腾安基金销售(深圳)有限公司、上海陆金所基金销售有限公司、上海好买基金销售有限公司、中国人寿保险股份有限公司、玄元保险代理有限公司、上海中正达广基金销售有限公司、通华财富（上海）基金销售有限公司、和耕传承基金销售有限公司、上海挖财基金销售有限公司、泛华普益基金销售有限公司、东方财富证券股份有限公司、南京苏宁基金销售有限公司、上海凯石财富基金销售有限公司、上海云湾基金销售有限公司</w:t>
      </w:r>
      <w:r>
        <w:rPr>
          <w:rFonts w:hint="eastAsia"/>
          <w:bCs/>
        </w:rPr>
        <w:t>。</w:t>
      </w:r>
    </w:p>
    <w:p w:rsidR="0066175D" w:rsidRDefault="00C269F6">
      <w:pPr>
        <w:pStyle w:val="ad"/>
        <w:widowControl w:val="0"/>
        <w:autoSpaceDE w:val="0"/>
        <w:autoSpaceDN w:val="0"/>
        <w:adjustRightInd w:val="0"/>
        <w:spacing w:before="0" w:beforeAutospacing="0" w:after="0" w:afterAutospacing="0" w:line="360" w:lineRule="auto"/>
        <w:ind w:firstLineChars="200" w:firstLine="480"/>
        <w:rPr>
          <w:rFonts w:ascii="Times New Roman" w:cs="Times New Roman"/>
          <w:bCs/>
          <w:kern w:val="2"/>
        </w:rPr>
      </w:pPr>
      <w:r>
        <w:rPr>
          <w:rFonts w:hint="eastAsia"/>
          <w:bCs/>
        </w:rPr>
        <w:t>在募集期间，除本公告所列的代销机构外，如增加其他代销机构将及时在基金管理人网站公示。</w:t>
      </w:r>
    </w:p>
    <w:p w:rsidR="0066175D" w:rsidRDefault="00C269F6">
      <w:pPr>
        <w:spacing w:line="360" w:lineRule="auto"/>
        <w:ind w:firstLineChars="200" w:firstLine="562"/>
        <w:rPr>
          <w:b/>
          <w:bCs/>
          <w:sz w:val="28"/>
        </w:rPr>
      </w:pPr>
      <w:bookmarkStart w:id="40" w:name="_Toc88469834"/>
      <w:bookmarkStart w:id="41" w:name="_Toc89786253"/>
      <w:bookmarkStart w:id="42" w:name="_Toc109560363"/>
      <w:bookmarkStart w:id="43" w:name="_Toc88364170"/>
      <w:bookmarkEnd w:id="36"/>
      <w:bookmarkEnd w:id="37"/>
      <w:bookmarkEnd w:id="38"/>
      <w:bookmarkEnd w:id="39"/>
      <w:r>
        <w:rPr>
          <w:b/>
          <w:bCs/>
          <w:sz w:val="28"/>
        </w:rPr>
        <w:t>（八）募集时间安排</w:t>
      </w:r>
      <w:bookmarkEnd w:id="40"/>
      <w:bookmarkEnd w:id="41"/>
      <w:bookmarkEnd w:id="42"/>
      <w:bookmarkEnd w:id="43"/>
      <w:r>
        <w:rPr>
          <w:b/>
          <w:bCs/>
          <w:sz w:val="28"/>
        </w:rPr>
        <w:t>与基金合同生效</w:t>
      </w:r>
    </w:p>
    <w:p w:rsidR="0066175D" w:rsidRDefault="00C269F6">
      <w:pPr>
        <w:spacing w:line="360" w:lineRule="auto"/>
        <w:ind w:firstLineChars="200" w:firstLine="480"/>
        <w:rPr>
          <w:sz w:val="24"/>
        </w:rPr>
      </w:pPr>
      <w:r>
        <w:rPr>
          <w:rFonts w:hint="eastAsia"/>
          <w:bCs/>
          <w:sz w:val="24"/>
        </w:rPr>
        <w:t>本基金自</w:t>
      </w:r>
      <w:r>
        <w:rPr>
          <w:rFonts w:hint="eastAsia"/>
          <w:bCs/>
          <w:sz w:val="24"/>
        </w:rPr>
        <w:t>202</w:t>
      </w:r>
      <w:r w:rsidR="00D35805">
        <w:rPr>
          <w:rFonts w:hint="eastAsia"/>
          <w:bCs/>
          <w:sz w:val="24"/>
        </w:rPr>
        <w:t>5</w:t>
      </w:r>
      <w:r>
        <w:rPr>
          <w:rFonts w:hint="eastAsia"/>
          <w:bCs/>
          <w:sz w:val="24"/>
        </w:rPr>
        <w:t>年</w:t>
      </w:r>
      <w:r w:rsidR="00D35805">
        <w:rPr>
          <w:rFonts w:hint="eastAsia"/>
          <w:bCs/>
          <w:sz w:val="24"/>
        </w:rPr>
        <w:t>3</w:t>
      </w:r>
      <w:r>
        <w:rPr>
          <w:rFonts w:hint="eastAsia"/>
          <w:bCs/>
          <w:sz w:val="24"/>
        </w:rPr>
        <w:t>月</w:t>
      </w:r>
      <w:r w:rsidR="00D35805">
        <w:rPr>
          <w:rFonts w:hint="eastAsia"/>
          <w:bCs/>
          <w:sz w:val="24"/>
        </w:rPr>
        <w:t>17</w:t>
      </w:r>
      <w:r>
        <w:rPr>
          <w:rFonts w:hint="eastAsia"/>
          <w:bCs/>
          <w:sz w:val="24"/>
        </w:rPr>
        <w:t>日至</w:t>
      </w:r>
      <w:r w:rsidR="00D35805">
        <w:rPr>
          <w:rFonts w:hint="eastAsia"/>
          <w:bCs/>
          <w:sz w:val="24"/>
        </w:rPr>
        <w:t>2025</w:t>
      </w:r>
      <w:r>
        <w:rPr>
          <w:rFonts w:hint="eastAsia"/>
          <w:bCs/>
          <w:sz w:val="24"/>
        </w:rPr>
        <w:t>年</w:t>
      </w:r>
      <w:r w:rsidR="00D35805">
        <w:rPr>
          <w:rFonts w:hint="eastAsia"/>
          <w:bCs/>
          <w:sz w:val="24"/>
        </w:rPr>
        <w:t>3</w:t>
      </w:r>
      <w:r>
        <w:rPr>
          <w:rFonts w:hint="eastAsia"/>
          <w:bCs/>
          <w:sz w:val="24"/>
        </w:rPr>
        <w:t>月</w:t>
      </w:r>
      <w:r w:rsidR="00D35805">
        <w:rPr>
          <w:rFonts w:hint="eastAsia"/>
          <w:bCs/>
          <w:sz w:val="24"/>
        </w:rPr>
        <w:t>28</w:t>
      </w:r>
      <w:r>
        <w:rPr>
          <w:rFonts w:hint="eastAsia"/>
          <w:bCs/>
          <w:sz w:val="24"/>
        </w:rPr>
        <w:t>日通过</w:t>
      </w:r>
      <w:r>
        <w:rPr>
          <w:sz w:val="24"/>
        </w:rPr>
        <w:t>基金</w:t>
      </w:r>
      <w:r>
        <w:rPr>
          <w:rFonts w:hint="eastAsia"/>
          <w:sz w:val="24"/>
        </w:rPr>
        <w:t>管理人</w:t>
      </w:r>
      <w:r>
        <w:rPr>
          <w:sz w:val="24"/>
        </w:rPr>
        <w:t>指定</w:t>
      </w:r>
      <w:r>
        <w:rPr>
          <w:rFonts w:hint="eastAsia"/>
          <w:sz w:val="24"/>
        </w:rPr>
        <w:t>的</w:t>
      </w:r>
      <w:r>
        <w:rPr>
          <w:sz w:val="24"/>
        </w:rPr>
        <w:t>销售机构</w:t>
      </w:r>
      <w:r>
        <w:rPr>
          <w:rFonts w:hint="eastAsia"/>
          <w:bCs/>
          <w:sz w:val="24"/>
        </w:rPr>
        <w:t>发售，</w:t>
      </w:r>
      <w:r>
        <w:rPr>
          <w:sz w:val="24"/>
        </w:rPr>
        <w:t>基金管理人根据认购的实际情况可在募集期限内适当延长或缩短募集时间，</w:t>
      </w:r>
      <w:r>
        <w:rPr>
          <w:rFonts w:hint="eastAsia"/>
          <w:bCs/>
          <w:sz w:val="24"/>
        </w:rPr>
        <w:t>募集期限自基金份额发售之日起不超过</w:t>
      </w:r>
      <w:r>
        <w:rPr>
          <w:rFonts w:hint="eastAsia"/>
          <w:bCs/>
          <w:sz w:val="24"/>
        </w:rPr>
        <w:t>3</w:t>
      </w:r>
      <w:r>
        <w:rPr>
          <w:rFonts w:hint="eastAsia"/>
          <w:bCs/>
          <w:sz w:val="24"/>
        </w:rPr>
        <w:t>个月。各销售机构办理认购业务的办理网点、办理日期和时间等事</w:t>
      </w:r>
      <w:bookmarkStart w:id="44" w:name="_GoBack"/>
      <w:bookmarkEnd w:id="44"/>
      <w:r>
        <w:rPr>
          <w:rFonts w:hint="eastAsia"/>
          <w:bCs/>
          <w:sz w:val="24"/>
        </w:rPr>
        <w:t>项参照各销售机构的具体规定。</w:t>
      </w:r>
    </w:p>
    <w:p w:rsidR="0066175D" w:rsidRDefault="00C269F6">
      <w:pPr>
        <w:spacing w:line="360" w:lineRule="auto"/>
        <w:ind w:firstLineChars="200" w:firstLine="480"/>
        <w:rPr>
          <w:sz w:val="24"/>
        </w:rPr>
      </w:pPr>
      <w:r>
        <w:rPr>
          <w:rFonts w:hint="eastAsia"/>
          <w:sz w:val="24"/>
        </w:rPr>
        <w:t>本基金自基金份额发售之日起</w:t>
      </w:r>
      <w:r>
        <w:rPr>
          <w:rFonts w:hint="eastAsia"/>
          <w:sz w:val="24"/>
        </w:rPr>
        <w:t>3</w:t>
      </w:r>
      <w:r>
        <w:rPr>
          <w:rFonts w:hint="eastAsia"/>
          <w:sz w:val="24"/>
        </w:rPr>
        <w:t>个月内，在发起资金提供方使用发起资金认购本基金的金额不少于</w:t>
      </w:r>
      <w:r>
        <w:rPr>
          <w:rFonts w:hint="eastAsia"/>
          <w:sz w:val="24"/>
        </w:rPr>
        <w:t>1,000</w:t>
      </w:r>
      <w:r>
        <w:rPr>
          <w:rFonts w:hint="eastAsia"/>
          <w:sz w:val="24"/>
        </w:rPr>
        <w:t>万元，且发起资金提供方承诺其认购的基金份额持有期限自基金合同生效之日起不少于</w:t>
      </w:r>
      <w:r>
        <w:rPr>
          <w:rFonts w:hint="eastAsia"/>
          <w:sz w:val="24"/>
        </w:rPr>
        <w:t>3</w:t>
      </w:r>
      <w:r>
        <w:rPr>
          <w:rFonts w:hint="eastAsia"/>
          <w:sz w:val="24"/>
        </w:rPr>
        <w:t>年的条件下，基金募集期届满或基金管理人依据法律法规及招募说明书可以决定停止基金发售，并在</w:t>
      </w:r>
      <w:r>
        <w:rPr>
          <w:rFonts w:hint="eastAsia"/>
          <w:sz w:val="24"/>
        </w:rPr>
        <w:t>10</w:t>
      </w:r>
      <w:r>
        <w:rPr>
          <w:rFonts w:hint="eastAsia"/>
          <w:sz w:val="24"/>
        </w:rPr>
        <w:t>日内聘请法定验资机构验资，验资报告需对发起资金提供方及其持有的基金份额进行专门说明。基金管理人自收到验资报告之日起</w:t>
      </w:r>
      <w:r>
        <w:rPr>
          <w:rFonts w:hint="eastAsia"/>
          <w:sz w:val="24"/>
        </w:rPr>
        <w:t>10</w:t>
      </w:r>
      <w:r>
        <w:rPr>
          <w:rFonts w:hint="eastAsia"/>
          <w:sz w:val="24"/>
        </w:rPr>
        <w:t>日内，向中国证监会办理基金备案手续。</w:t>
      </w:r>
    </w:p>
    <w:p w:rsidR="0066175D" w:rsidRDefault="00C269F6">
      <w:pPr>
        <w:spacing w:line="360" w:lineRule="auto"/>
        <w:ind w:firstLineChars="200" w:firstLine="480"/>
        <w:rPr>
          <w:sz w:val="24"/>
        </w:rPr>
      </w:pPr>
      <w:r>
        <w:rPr>
          <w:rFonts w:hint="eastAsia"/>
          <w:sz w:val="24"/>
        </w:rPr>
        <w:t>基金募集达到基金备案条件的，自基金管理人办理完毕基金备案手续并取得中国证监会书面确认之日起，《基金合同》生效；否则《基金合同》不生效。基金管理人在收到中国证监会确认文件的次日对《基金合同》生效事宜予以公告。基金管理人应将基金募集期间募集的资金存入专门账户，在基金募集行为结束前，任何人不得动用。</w:t>
      </w:r>
    </w:p>
    <w:p w:rsidR="0066175D" w:rsidRDefault="00C269F6">
      <w:pPr>
        <w:spacing w:line="360" w:lineRule="auto"/>
        <w:ind w:firstLineChars="200" w:firstLine="480"/>
        <w:rPr>
          <w:sz w:val="24"/>
        </w:rPr>
      </w:pPr>
      <w:bookmarkStart w:id="45" w:name="_Toc113428979"/>
      <w:bookmarkStart w:id="46" w:name="_Toc496550322"/>
      <w:bookmarkStart w:id="47" w:name="_Toc109560365"/>
      <w:bookmarkStart w:id="48" w:name="_Toc61092329"/>
      <w:bookmarkStart w:id="49" w:name="_Toc105317274"/>
      <w:bookmarkStart w:id="50" w:name="_Toc67296244"/>
      <w:bookmarkStart w:id="51" w:name="_Toc89786255"/>
      <w:bookmarkStart w:id="52" w:name="_Toc110138495"/>
      <w:r>
        <w:rPr>
          <w:rFonts w:hint="eastAsia"/>
          <w:sz w:val="24"/>
        </w:rPr>
        <w:t>如果募集期限届满，未满足基金备案条件，基金管理人应当承担下列责任：</w:t>
      </w:r>
    </w:p>
    <w:p w:rsidR="0066175D" w:rsidRDefault="00C269F6">
      <w:pPr>
        <w:spacing w:line="360" w:lineRule="auto"/>
        <w:ind w:firstLineChars="200" w:firstLine="480"/>
        <w:rPr>
          <w:sz w:val="24"/>
        </w:rPr>
      </w:pPr>
      <w:r>
        <w:rPr>
          <w:rFonts w:hint="eastAsia"/>
          <w:sz w:val="24"/>
        </w:rPr>
        <w:t>1</w:t>
      </w:r>
      <w:r>
        <w:rPr>
          <w:rFonts w:hint="eastAsia"/>
          <w:sz w:val="24"/>
        </w:rPr>
        <w:t>、以其固有财产承担因募集行为而产生的债务和费用；</w:t>
      </w:r>
    </w:p>
    <w:p w:rsidR="0066175D" w:rsidRDefault="00C269F6">
      <w:pPr>
        <w:spacing w:line="360" w:lineRule="auto"/>
        <w:ind w:firstLineChars="200" w:firstLine="480"/>
        <w:rPr>
          <w:sz w:val="24"/>
        </w:rPr>
      </w:pPr>
      <w:r>
        <w:rPr>
          <w:rFonts w:hint="eastAsia"/>
          <w:sz w:val="24"/>
        </w:rPr>
        <w:t>2</w:t>
      </w:r>
      <w:r>
        <w:rPr>
          <w:rFonts w:hint="eastAsia"/>
          <w:sz w:val="24"/>
        </w:rPr>
        <w:t>、在基金募集期限届满后</w:t>
      </w:r>
      <w:r>
        <w:rPr>
          <w:rFonts w:hint="eastAsia"/>
          <w:sz w:val="24"/>
        </w:rPr>
        <w:t>30</w:t>
      </w:r>
      <w:r>
        <w:rPr>
          <w:rFonts w:hint="eastAsia"/>
          <w:sz w:val="24"/>
        </w:rPr>
        <w:t>日内返还投资者已交纳的款项，并加计银行同期活期存款利息；</w:t>
      </w:r>
    </w:p>
    <w:p w:rsidR="0066175D" w:rsidRDefault="00C269F6">
      <w:pPr>
        <w:spacing w:line="360" w:lineRule="auto"/>
        <w:ind w:firstLineChars="200" w:firstLine="480"/>
        <w:rPr>
          <w:sz w:val="24"/>
        </w:rPr>
      </w:pPr>
      <w:r>
        <w:rPr>
          <w:rFonts w:hint="eastAsia"/>
          <w:sz w:val="24"/>
        </w:rPr>
        <w:t>3</w:t>
      </w:r>
      <w:r>
        <w:rPr>
          <w:rFonts w:hint="eastAsia"/>
          <w:sz w:val="24"/>
        </w:rPr>
        <w:t>、如基金募集失败，基金管理人、基金托管人及销售机构不得请求报酬。基金管理人、基金托管人和销售机构为基金募集支付的一切费用应由各方各自承担。</w:t>
      </w:r>
    </w:p>
    <w:p w:rsidR="0066175D" w:rsidRDefault="00C269F6">
      <w:pPr>
        <w:pStyle w:val="1"/>
        <w:spacing w:line="360" w:lineRule="auto"/>
        <w:ind w:firstLineChars="200" w:firstLine="602"/>
        <w:rPr>
          <w:rFonts w:eastAsia="宋体"/>
          <w:sz w:val="30"/>
          <w:szCs w:val="30"/>
        </w:rPr>
      </w:pPr>
      <w:bookmarkStart w:id="53" w:name="_Toc73026661"/>
      <w:r>
        <w:rPr>
          <w:rFonts w:eastAsia="宋体" w:hint="eastAsia"/>
          <w:sz w:val="30"/>
          <w:szCs w:val="30"/>
        </w:rPr>
        <w:t>二、认购方式与相关规定</w:t>
      </w:r>
      <w:bookmarkEnd w:id="45"/>
      <w:bookmarkEnd w:id="46"/>
      <w:bookmarkEnd w:id="47"/>
      <w:bookmarkEnd w:id="48"/>
      <w:bookmarkEnd w:id="49"/>
      <w:bookmarkEnd w:id="50"/>
      <w:bookmarkEnd w:id="51"/>
      <w:bookmarkEnd w:id="52"/>
      <w:bookmarkEnd w:id="53"/>
    </w:p>
    <w:p w:rsidR="0066175D" w:rsidRDefault="00C269F6">
      <w:pPr>
        <w:spacing w:line="360" w:lineRule="auto"/>
        <w:ind w:firstLineChars="200" w:firstLine="480"/>
        <w:rPr>
          <w:sz w:val="24"/>
        </w:rPr>
      </w:pPr>
      <w:bookmarkStart w:id="54" w:name="_Toc89786259"/>
      <w:bookmarkStart w:id="55" w:name="_Toc61092330"/>
      <w:bookmarkStart w:id="56" w:name="_Toc67296245"/>
      <w:r>
        <w:rPr>
          <w:sz w:val="24"/>
        </w:rPr>
        <w:t>本基金募集期内，基金份额在本基金</w:t>
      </w:r>
      <w:r>
        <w:rPr>
          <w:rFonts w:hint="eastAsia"/>
          <w:sz w:val="24"/>
        </w:rPr>
        <w:t>管理人</w:t>
      </w:r>
      <w:r>
        <w:rPr>
          <w:sz w:val="24"/>
        </w:rPr>
        <w:t>指定</w:t>
      </w:r>
      <w:r>
        <w:rPr>
          <w:rFonts w:hint="eastAsia"/>
          <w:sz w:val="24"/>
        </w:rPr>
        <w:t>的</w:t>
      </w:r>
      <w:r>
        <w:rPr>
          <w:sz w:val="24"/>
        </w:rPr>
        <w:t>销售机构公开发售。</w:t>
      </w:r>
    </w:p>
    <w:p w:rsidR="0066175D" w:rsidRDefault="00C269F6">
      <w:pPr>
        <w:spacing w:line="360" w:lineRule="auto"/>
        <w:ind w:firstLineChars="200" w:firstLine="562"/>
        <w:rPr>
          <w:b/>
          <w:bCs/>
          <w:sz w:val="28"/>
        </w:rPr>
      </w:pPr>
      <w:r>
        <w:rPr>
          <w:b/>
          <w:bCs/>
          <w:sz w:val="28"/>
        </w:rPr>
        <w:t>（一）基金份额的销售渠道</w:t>
      </w:r>
    </w:p>
    <w:p w:rsidR="0066175D" w:rsidRDefault="00C269F6">
      <w:pPr>
        <w:spacing w:line="360" w:lineRule="auto"/>
        <w:ind w:firstLineChars="200" w:firstLine="480"/>
        <w:rPr>
          <w:sz w:val="24"/>
        </w:rPr>
      </w:pPr>
      <w:r>
        <w:rPr>
          <w:rFonts w:hint="eastAsia"/>
          <w:sz w:val="24"/>
        </w:rPr>
        <w:t>本基金销售渠道详见本发售公告“一、（七）基金发售机构”部分的内容。</w:t>
      </w:r>
    </w:p>
    <w:p w:rsidR="0066175D" w:rsidRDefault="00C269F6">
      <w:pPr>
        <w:spacing w:line="360" w:lineRule="auto"/>
        <w:ind w:firstLineChars="200" w:firstLine="480"/>
        <w:rPr>
          <w:bCs/>
          <w:kern w:val="0"/>
          <w:sz w:val="24"/>
        </w:rPr>
      </w:pPr>
      <w:r>
        <w:rPr>
          <w:rFonts w:hint="eastAsia"/>
          <w:bCs/>
          <w:kern w:val="0"/>
          <w:sz w:val="24"/>
        </w:rPr>
        <w:t>在募集期间，除本公告所列的代销机构外，如增加其他代销机构将及时在基金管理人网站公示。</w:t>
      </w:r>
    </w:p>
    <w:p w:rsidR="0066175D" w:rsidRDefault="00C269F6">
      <w:pPr>
        <w:spacing w:line="360" w:lineRule="auto"/>
        <w:ind w:firstLineChars="200" w:firstLine="562"/>
        <w:rPr>
          <w:sz w:val="24"/>
        </w:rPr>
      </w:pPr>
      <w:r>
        <w:rPr>
          <w:b/>
          <w:bCs/>
          <w:sz w:val="28"/>
        </w:rPr>
        <w:t>（二）认购方式与费率结构</w:t>
      </w:r>
    </w:p>
    <w:p w:rsidR="0066175D" w:rsidRDefault="00C269F6">
      <w:pPr>
        <w:autoSpaceDE w:val="0"/>
        <w:autoSpaceDN w:val="0"/>
        <w:spacing w:line="360" w:lineRule="auto"/>
        <w:ind w:firstLineChars="200" w:firstLine="480"/>
        <w:textAlignment w:val="bottom"/>
        <w:rPr>
          <w:rFonts w:ascii="宋体"/>
          <w:sz w:val="24"/>
        </w:rPr>
      </w:pPr>
      <w:r>
        <w:rPr>
          <w:sz w:val="24"/>
        </w:rPr>
        <w:t>1</w:t>
      </w:r>
      <w:r>
        <w:rPr>
          <w:sz w:val="24"/>
        </w:rPr>
        <w:t>、</w:t>
      </w:r>
      <w:r>
        <w:rPr>
          <w:rFonts w:hint="eastAsia"/>
          <w:sz w:val="24"/>
        </w:rPr>
        <w:t>本基金</w:t>
      </w:r>
      <w:r>
        <w:rPr>
          <w:rFonts w:hint="eastAsia"/>
          <w:sz w:val="24"/>
        </w:rPr>
        <w:t>A</w:t>
      </w:r>
      <w:r>
        <w:rPr>
          <w:rFonts w:hint="eastAsia"/>
          <w:sz w:val="24"/>
        </w:rPr>
        <w:t>类基金份额和</w:t>
      </w:r>
      <w:r>
        <w:rPr>
          <w:rFonts w:hint="eastAsia"/>
          <w:sz w:val="24"/>
        </w:rPr>
        <w:t>C</w:t>
      </w:r>
      <w:r>
        <w:rPr>
          <w:rFonts w:hint="eastAsia"/>
          <w:sz w:val="24"/>
        </w:rPr>
        <w:t>类基金份额的初始面值均为人民币</w:t>
      </w:r>
      <w:r>
        <w:rPr>
          <w:rFonts w:hint="eastAsia"/>
          <w:sz w:val="24"/>
        </w:rPr>
        <w:t>1.00</w:t>
      </w:r>
      <w:r>
        <w:rPr>
          <w:rFonts w:hint="eastAsia"/>
          <w:sz w:val="24"/>
        </w:rPr>
        <w:t>元，按初始面值发售，每份基金份额认购价格为人民币</w:t>
      </w:r>
      <w:r>
        <w:rPr>
          <w:rFonts w:hint="eastAsia"/>
          <w:sz w:val="24"/>
        </w:rPr>
        <w:t>1.00</w:t>
      </w:r>
      <w:r>
        <w:rPr>
          <w:rFonts w:hint="eastAsia"/>
          <w:sz w:val="24"/>
        </w:rPr>
        <w:t>元。</w:t>
      </w:r>
    </w:p>
    <w:p w:rsidR="0066175D" w:rsidRDefault="00C269F6">
      <w:pPr>
        <w:spacing w:line="360" w:lineRule="auto"/>
        <w:ind w:firstLineChars="200" w:firstLine="480"/>
        <w:rPr>
          <w:sz w:val="24"/>
        </w:rPr>
      </w:pPr>
      <w:r>
        <w:rPr>
          <w:sz w:val="24"/>
        </w:rPr>
        <w:t>2</w:t>
      </w:r>
      <w:r>
        <w:rPr>
          <w:sz w:val="24"/>
        </w:rPr>
        <w:t>、</w:t>
      </w:r>
      <w:r>
        <w:rPr>
          <w:rFonts w:hint="eastAsia"/>
          <w:sz w:val="24"/>
        </w:rPr>
        <w:t>本基金认购采取金额申请方式，投资者认购本基金，须按销售机构规定全额交纳认购款项。在募集期内，投资者可多次认购基金份额，</w:t>
      </w:r>
      <w:r>
        <w:rPr>
          <w:rFonts w:hint="eastAsia"/>
          <w:sz w:val="24"/>
        </w:rPr>
        <w:t>A</w:t>
      </w:r>
      <w:r>
        <w:rPr>
          <w:rFonts w:hint="eastAsia"/>
          <w:sz w:val="24"/>
        </w:rPr>
        <w:t>类基金份额的认购费用按每笔</w:t>
      </w:r>
      <w:r>
        <w:rPr>
          <w:rFonts w:hint="eastAsia"/>
          <w:sz w:val="24"/>
        </w:rPr>
        <w:t>A</w:t>
      </w:r>
      <w:r>
        <w:rPr>
          <w:rFonts w:hint="eastAsia"/>
          <w:sz w:val="24"/>
        </w:rPr>
        <w:t>类基金份额的认购申请单独计算。认购申请一经受理不得撤销。</w:t>
      </w:r>
    </w:p>
    <w:p w:rsidR="0066175D" w:rsidRDefault="00C269F6">
      <w:pPr>
        <w:autoSpaceDE w:val="0"/>
        <w:autoSpaceDN w:val="0"/>
        <w:spacing w:line="360" w:lineRule="auto"/>
        <w:ind w:firstLineChars="200" w:firstLine="480"/>
        <w:textAlignment w:val="bottom"/>
        <w:rPr>
          <w:sz w:val="24"/>
        </w:rPr>
      </w:pPr>
      <w:r>
        <w:rPr>
          <w:rFonts w:hint="eastAsia"/>
          <w:sz w:val="24"/>
        </w:rPr>
        <w:t>3</w:t>
      </w:r>
      <w:r>
        <w:rPr>
          <w:sz w:val="24"/>
        </w:rPr>
        <w:t>、</w:t>
      </w:r>
      <w:r>
        <w:rPr>
          <w:rFonts w:ascii="宋体" w:cs="宋体" w:hint="eastAsia"/>
          <w:bCs/>
          <w:color w:val="000000"/>
          <w:sz w:val="24"/>
        </w:rPr>
        <w:t>认购</w:t>
      </w:r>
      <w:r>
        <w:rPr>
          <w:rFonts w:hint="eastAsia"/>
          <w:sz w:val="24"/>
        </w:rPr>
        <w:t>费率</w:t>
      </w:r>
    </w:p>
    <w:p w:rsidR="0066175D" w:rsidRDefault="00C269F6">
      <w:pPr>
        <w:snapToGrid w:val="0"/>
        <w:spacing w:line="360" w:lineRule="auto"/>
        <w:ind w:firstLineChars="200" w:firstLine="480"/>
        <w:rPr>
          <w:rFonts w:ascii="宋体" w:cs="宋体"/>
          <w:bCs/>
          <w:color w:val="000000"/>
          <w:sz w:val="24"/>
        </w:rPr>
      </w:pPr>
      <w:r>
        <w:rPr>
          <w:rFonts w:ascii="宋体" w:cs="宋体" w:hint="eastAsia"/>
          <w:bCs/>
          <w:color w:val="000000"/>
          <w:sz w:val="24"/>
        </w:rPr>
        <w:t>本基金</w:t>
      </w:r>
      <w:r>
        <w:rPr>
          <w:rFonts w:hint="eastAsia"/>
          <w:sz w:val="24"/>
        </w:rPr>
        <w:t>A</w:t>
      </w:r>
      <w:r>
        <w:rPr>
          <w:rFonts w:hint="eastAsia"/>
          <w:sz w:val="24"/>
        </w:rPr>
        <w:t>类</w:t>
      </w:r>
      <w:r>
        <w:rPr>
          <w:rFonts w:ascii="宋体" w:cs="宋体" w:hint="eastAsia"/>
          <w:bCs/>
          <w:color w:val="000000"/>
          <w:sz w:val="24"/>
        </w:rPr>
        <w:t>基金份额采用前端收费模式收取基金认购费用。基金投资人在基金募集期内可以多次认购基金份额，A类基金份额的认购费用按每笔A类基金份额的认购申请单独计算，认购申请一经受理不得撤销；本基金C类基金份额不收取认购费。A类基金份额认购费率设置如下：</w:t>
      </w:r>
    </w:p>
    <w:tbl>
      <w:tblPr>
        <w:tblW w:w="66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282"/>
        <w:gridCol w:w="3370"/>
      </w:tblGrid>
      <w:tr w:rsidR="0066175D">
        <w:trPr>
          <w:trHeight w:val="190"/>
          <w:jc w:val="center"/>
        </w:trPr>
        <w:tc>
          <w:tcPr>
            <w:tcW w:w="3282" w:type="dxa"/>
            <w:shd w:val="clear" w:color="auto" w:fill="auto"/>
          </w:tcPr>
          <w:p w:rsidR="0066175D" w:rsidRDefault="00C269F6">
            <w:pPr>
              <w:snapToGrid w:val="0"/>
              <w:spacing w:line="360" w:lineRule="auto"/>
              <w:ind w:firstLineChars="200" w:firstLine="480"/>
              <w:rPr>
                <w:rFonts w:ascii="宋体" w:cs="宋体"/>
                <w:bCs/>
                <w:color w:val="000000"/>
                <w:sz w:val="24"/>
              </w:rPr>
            </w:pPr>
            <w:r>
              <w:rPr>
                <w:rFonts w:ascii="宋体" w:cs="宋体"/>
                <w:bCs/>
                <w:color w:val="000000"/>
                <w:sz w:val="24"/>
              </w:rPr>
              <w:t>认购金额（M</w:t>
            </w:r>
            <w:r>
              <w:rPr>
                <w:rFonts w:ascii="宋体" w:cs="宋体" w:hint="eastAsia"/>
                <w:bCs/>
                <w:color w:val="000000"/>
                <w:sz w:val="24"/>
              </w:rPr>
              <w:t>，</w:t>
            </w:r>
            <w:r>
              <w:rPr>
                <w:rFonts w:ascii="宋体" w:cs="宋体"/>
                <w:bCs/>
                <w:color w:val="000000"/>
                <w:sz w:val="24"/>
              </w:rPr>
              <w:t>含认购费）</w:t>
            </w:r>
          </w:p>
        </w:tc>
        <w:tc>
          <w:tcPr>
            <w:tcW w:w="3370" w:type="dxa"/>
          </w:tcPr>
          <w:p w:rsidR="0066175D" w:rsidRDefault="00C269F6">
            <w:pPr>
              <w:snapToGrid w:val="0"/>
              <w:spacing w:line="360" w:lineRule="auto"/>
              <w:ind w:firstLineChars="200" w:firstLine="480"/>
              <w:rPr>
                <w:rFonts w:ascii="宋体" w:cs="宋体"/>
                <w:bCs/>
                <w:color w:val="000000"/>
                <w:sz w:val="24"/>
              </w:rPr>
            </w:pPr>
            <w:r>
              <w:rPr>
                <w:rFonts w:ascii="宋体" w:cs="宋体"/>
                <w:bCs/>
                <w:color w:val="000000"/>
                <w:sz w:val="24"/>
              </w:rPr>
              <w:t>认购费率</w:t>
            </w:r>
          </w:p>
        </w:tc>
      </w:tr>
      <w:tr w:rsidR="0066175D">
        <w:trPr>
          <w:trHeight w:val="190"/>
          <w:jc w:val="center"/>
        </w:trPr>
        <w:tc>
          <w:tcPr>
            <w:tcW w:w="3282" w:type="dxa"/>
            <w:shd w:val="clear" w:color="auto" w:fill="auto"/>
            <w:vAlign w:val="center"/>
          </w:tcPr>
          <w:p w:rsidR="0066175D" w:rsidRDefault="00C269F6">
            <w:pPr>
              <w:snapToGrid w:val="0"/>
              <w:spacing w:line="360" w:lineRule="auto"/>
              <w:ind w:firstLineChars="200" w:firstLine="480"/>
              <w:rPr>
                <w:rFonts w:ascii="宋体" w:cs="宋体"/>
                <w:bCs/>
                <w:color w:val="000000"/>
                <w:sz w:val="24"/>
              </w:rPr>
            </w:pPr>
            <w:r>
              <w:rPr>
                <w:rFonts w:ascii="宋体" w:cs="宋体" w:hint="eastAsia"/>
                <w:bCs/>
                <w:color w:val="000000"/>
                <w:sz w:val="24"/>
              </w:rPr>
              <w:t>M＜100万元</w:t>
            </w:r>
          </w:p>
        </w:tc>
        <w:tc>
          <w:tcPr>
            <w:tcW w:w="3370" w:type="dxa"/>
          </w:tcPr>
          <w:p w:rsidR="0066175D" w:rsidRDefault="00C269F6">
            <w:pPr>
              <w:snapToGrid w:val="0"/>
              <w:spacing w:line="360" w:lineRule="auto"/>
              <w:ind w:firstLineChars="200" w:firstLine="480"/>
              <w:rPr>
                <w:rFonts w:ascii="宋体" w:cs="宋体"/>
                <w:bCs/>
                <w:color w:val="000000"/>
                <w:sz w:val="24"/>
              </w:rPr>
            </w:pPr>
            <w:r>
              <w:rPr>
                <w:rFonts w:ascii="宋体" w:cs="宋体"/>
                <w:bCs/>
                <w:color w:val="000000"/>
                <w:sz w:val="24"/>
              </w:rPr>
              <w:t>1.2%</w:t>
            </w:r>
          </w:p>
        </w:tc>
      </w:tr>
      <w:tr w:rsidR="0066175D">
        <w:trPr>
          <w:trHeight w:val="190"/>
          <w:jc w:val="center"/>
        </w:trPr>
        <w:tc>
          <w:tcPr>
            <w:tcW w:w="3282" w:type="dxa"/>
            <w:shd w:val="clear" w:color="auto" w:fill="auto"/>
            <w:vAlign w:val="center"/>
          </w:tcPr>
          <w:p w:rsidR="0066175D" w:rsidRDefault="00C269F6">
            <w:pPr>
              <w:snapToGrid w:val="0"/>
              <w:spacing w:line="360" w:lineRule="auto"/>
              <w:ind w:firstLineChars="200" w:firstLine="480"/>
              <w:rPr>
                <w:rFonts w:ascii="宋体" w:cs="宋体"/>
                <w:bCs/>
                <w:color w:val="000000"/>
                <w:sz w:val="24"/>
              </w:rPr>
            </w:pPr>
            <w:r>
              <w:rPr>
                <w:rFonts w:ascii="宋体" w:cs="宋体" w:hint="eastAsia"/>
                <w:bCs/>
                <w:color w:val="000000"/>
                <w:sz w:val="24"/>
              </w:rPr>
              <w:t>100万元≤M＜200万元</w:t>
            </w:r>
          </w:p>
        </w:tc>
        <w:tc>
          <w:tcPr>
            <w:tcW w:w="3370" w:type="dxa"/>
          </w:tcPr>
          <w:p w:rsidR="0066175D" w:rsidRDefault="00C269F6">
            <w:pPr>
              <w:snapToGrid w:val="0"/>
              <w:spacing w:line="360" w:lineRule="auto"/>
              <w:ind w:firstLineChars="200" w:firstLine="480"/>
              <w:rPr>
                <w:rFonts w:ascii="宋体" w:cs="宋体"/>
                <w:bCs/>
                <w:color w:val="000000"/>
                <w:sz w:val="24"/>
              </w:rPr>
            </w:pPr>
            <w:r>
              <w:rPr>
                <w:rFonts w:ascii="宋体" w:cs="宋体"/>
                <w:bCs/>
                <w:color w:val="000000"/>
                <w:sz w:val="24"/>
              </w:rPr>
              <w:t>0.8%</w:t>
            </w:r>
          </w:p>
        </w:tc>
      </w:tr>
      <w:tr w:rsidR="0066175D">
        <w:trPr>
          <w:trHeight w:val="190"/>
          <w:jc w:val="center"/>
        </w:trPr>
        <w:tc>
          <w:tcPr>
            <w:tcW w:w="3282" w:type="dxa"/>
            <w:shd w:val="clear" w:color="auto" w:fill="auto"/>
            <w:vAlign w:val="center"/>
          </w:tcPr>
          <w:p w:rsidR="0066175D" w:rsidRDefault="00C269F6">
            <w:pPr>
              <w:snapToGrid w:val="0"/>
              <w:spacing w:line="360" w:lineRule="auto"/>
              <w:ind w:firstLineChars="200" w:firstLine="480"/>
              <w:rPr>
                <w:rFonts w:ascii="宋体" w:cs="宋体"/>
                <w:bCs/>
                <w:color w:val="000000"/>
                <w:sz w:val="24"/>
              </w:rPr>
            </w:pPr>
            <w:r>
              <w:rPr>
                <w:rFonts w:ascii="宋体" w:cs="宋体" w:hint="eastAsia"/>
                <w:bCs/>
                <w:color w:val="000000"/>
                <w:sz w:val="24"/>
              </w:rPr>
              <w:t>200万元≤M＜500万元</w:t>
            </w:r>
          </w:p>
        </w:tc>
        <w:tc>
          <w:tcPr>
            <w:tcW w:w="3370" w:type="dxa"/>
          </w:tcPr>
          <w:p w:rsidR="0066175D" w:rsidRDefault="00C269F6">
            <w:pPr>
              <w:snapToGrid w:val="0"/>
              <w:spacing w:line="360" w:lineRule="auto"/>
              <w:ind w:firstLineChars="200" w:firstLine="480"/>
              <w:rPr>
                <w:rFonts w:ascii="宋体" w:cs="宋体"/>
                <w:bCs/>
                <w:color w:val="000000"/>
                <w:sz w:val="24"/>
              </w:rPr>
            </w:pPr>
            <w:r>
              <w:rPr>
                <w:rFonts w:ascii="宋体" w:cs="宋体"/>
                <w:bCs/>
                <w:color w:val="000000"/>
                <w:sz w:val="24"/>
              </w:rPr>
              <w:t>0.</w:t>
            </w:r>
            <w:r>
              <w:rPr>
                <w:rFonts w:ascii="宋体" w:cs="宋体" w:hint="eastAsia"/>
                <w:bCs/>
                <w:color w:val="000000"/>
                <w:sz w:val="24"/>
              </w:rPr>
              <w:t>6</w:t>
            </w:r>
            <w:r>
              <w:rPr>
                <w:rFonts w:ascii="宋体" w:cs="宋体"/>
                <w:bCs/>
                <w:color w:val="000000"/>
                <w:sz w:val="24"/>
              </w:rPr>
              <w:t>%</w:t>
            </w:r>
          </w:p>
        </w:tc>
      </w:tr>
      <w:tr w:rsidR="0066175D">
        <w:trPr>
          <w:trHeight w:val="190"/>
          <w:jc w:val="center"/>
        </w:trPr>
        <w:tc>
          <w:tcPr>
            <w:tcW w:w="3282" w:type="dxa"/>
            <w:shd w:val="clear" w:color="auto" w:fill="auto"/>
            <w:vAlign w:val="center"/>
          </w:tcPr>
          <w:p w:rsidR="0066175D" w:rsidRDefault="00C269F6">
            <w:pPr>
              <w:snapToGrid w:val="0"/>
              <w:spacing w:line="360" w:lineRule="auto"/>
              <w:ind w:firstLineChars="200" w:firstLine="480"/>
              <w:rPr>
                <w:rFonts w:ascii="宋体" w:cs="宋体"/>
                <w:bCs/>
                <w:color w:val="000000"/>
                <w:sz w:val="24"/>
              </w:rPr>
            </w:pPr>
            <w:r>
              <w:rPr>
                <w:rFonts w:ascii="宋体" w:cs="宋体" w:hint="eastAsia"/>
                <w:bCs/>
                <w:color w:val="000000"/>
                <w:sz w:val="24"/>
              </w:rPr>
              <w:t>M≥500万元</w:t>
            </w:r>
          </w:p>
        </w:tc>
        <w:tc>
          <w:tcPr>
            <w:tcW w:w="3370" w:type="dxa"/>
          </w:tcPr>
          <w:p w:rsidR="0066175D" w:rsidRDefault="00C269F6">
            <w:pPr>
              <w:snapToGrid w:val="0"/>
              <w:spacing w:line="360" w:lineRule="auto"/>
              <w:ind w:firstLineChars="200" w:firstLine="480"/>
              <w:rPr>
                <w:rFonts w:ascii="宋体" w:cs="宋体"/>
                <w:bCs/>
                <w:color w:val="000000"/>
                <w:sz w:val="24"/>
              </w:rPr>
            </w:pPr>
            <w:r>
              <w:rPr>
                <w:rFonts w:ascii="宋体" w:cs="宋体" w:hint="eastAsia"/>
                <w:bCs/>
                <w:color w:val="000000"/>
                <w:sz w:val="24"/>
              </w:rPr>
              <w:t>按笔收取，</w:t>
            </w:r>
            <w:r>
              <w:rPr>
                <w:rFonts w:ascii="宋体" w:cs="宋体"/>
                <w:bCs/>
                <w:color w:val="000000"/>
                <w:sz w:val="24"/>
              </w:rPr>
              <w:t>每笔1000元</w:t>
            </w:r>
          </w:p>
        </w:tc>
      </w:tr>
    </w:tbl>
    <w:p w:rsidR="0066175D" w:rsidRDefault="00C269F6">
      <w:pPr>
        <w:autoSpaceDE w:val="0"/>
        <w:autoSpaceDN w:val="0"/>
        <w:spacing w:line="360" w:lineRule="auto"/>
        <w:ind w:firstLineChars="200" w:firstLine="480"/>
        <w:textAlignment w:val="bottom"/>
        <w:rPr>
          <w:sz w:val="24"/>
        </w:rPr>
      </w:pPr>
      <w:r>
        <w:rPr>
          <w:rFonts w:hint="eastAsia"/>
          <w:sz w:val="24"/>
        </w:rPr>
        <w:t>4</w:t>
      </w:r>
      <w:r>
        <w:rPr>
          <w:rFonts w:hint="eastAsia"/>
          <w:sz w:val="24"/>
        </w:rPr>
        <w:t>、投资人重复认购，须按每笔认购金额所对应的费率档次分别计费。</w:t>
      </w:r>
    </w:p>
    <w:p w:rsidR="0066175D" w:rsidRDefault="00C269F6">
      <w:pPr>
        <w:autoSpaceDE w:val="0"/>
        <w:autoSpaceDN w:val="0"/>
        <w:spacing w:line="360" w:lineRule="auto"/>
        <w:ind w:firstLineChars="200" w:firstLine="480"/>
        <w:textAlignment w:val="bottom"/>
        <w:rPr>
          <w:sz w:val="24"/>
        </w:rPr>
      </w:pPr>
      <w:r>
        <w:rPr>
          <w:rFonts w:hint="eastAsia"/>
          <w:sz w:val="24"/>
        </w:rPr>
        <w:t>5</w:t>
      </w:r>
      <w:r>
        <w:rPr>
          <w:rFonts w:hint="eastAsia"/>
          <w:sz w:val="24"/>
        </w:rPr>
        <w:t>、</w:t>
      </w:r>
      <w:r>
        <w:rPr>
          <w:rFonts w:hint="eastAsia"/>
          <w:bCs/>
          <w:sz w:val="24"/>
        </w:rPr>
        <w:t>本基金</w:t>
      </w:r>
      <w:r>
        <w:rPr>
          <w:rFonts w:hint="eastAsia"/>
          <w:bCs/>
          <w:sz w:val="24"/>
        </w:rPr>
        <w:t>A</w:t>
      </w:r>
      <w:r>
        <w:rPr>
          <w:rFonts w:hint="eastAsia"/>
          <w:bCs/>
          <w:sz w:val="24"/>
        </w:rPr>
        <w:t>类基金份额的认购费用在投资人认购</w:t>
      </w:r>
      <w:r>
        <w:rPr>
          <w:rFonts w:hint="eastAsia"/>
          <w:bCs/>
          <w:sz w:val="24"/>
        </w:rPr>
        <w:t>A</w:t>
      </w:r>
      <w:r>
        <w:rPr>
          <w:rFonts w:hint="eastAsia"/>
          <w:bCs/>
          <w:sz w:val="24"/>
        </w:rPr>
        <w:t>类基金份额时收取，不列入基金财产，主要用于基金的市场推广、销售、登记等募集期间发生的各项费用</w:t>
      </w:r>
      <w:r>
        <w:rPr>
          <w:rFonts w:hint="eastAsia"/>
          <w:sz w:val="24"/>
        </w:rPr>
        <w:t>。</w:t>
      </w:r>
    </w:p>
    <w:p w:rsidR="0066175D" w:rsidRDefault="00C269F6">
      <w:pPr>
        <w:autoSpaceDE w:val="0"/>
        <w:autoSpaceDN w:val="0"/>
        <w:spacing w:line="360" w:lineRule="auto"/>
        <w:ind w:firstLineChars="200" w:firstLine="480"/>
        <w:textAlignment w:val="bottom"/>
        <w:rPr>
          <w:rFonts w:ascii="宋体" w:cs="宋体"/>
          <w:sz w:val="24"/>
        </w:rPr>
      </w:pPr>
      <w:r>
        <w:rPr>
          <w:rFonts w:hint="eastAsia"/>
          <w:sz w:val="24"/>
        </w:rPr>
        <w:t>6</w:t>
      </w:r>
      <w:r>
        <w:rPr>
          <w:rFonts w:hint="eastAsia"/>
          <w:sz w:val="24"/>
        </w:rPr>
        <w:t>、</w:t>
      </w:r>
      <w:r>
        <w:rPr>
          <w:rFonts w:ascii="宋体" w:cs="宋体" w:hint="eastAsia"/>
          <w:sz w:val="24"/>
        </w:rPr>
        <w:t>各销售机构销售的份额类别以其业务规定为准，敬请投资者留意。</w:t>
      </w:r>
    </w:p>
    <w:p w:rsidR="0066175D" w:rsidRDefault="00C269F6">
      <w:pPr>
        <w:spacing w:line="360" w:lineRule="auto"/>
        <w:ind w:firstLineChars="200" w:firstLine="480"/>
        <w:rPr>
          <w:sz w:val="24"/>
        </w:rPr>
      </w:pPr>
      <w:r>
        <w:rPr>
          <w:rFonts w:hint="eastAsia"/>
          <w:sz w:val="24"/>
        </w:rPr>
        <w:t>7</w:t>
      </w:r>
      <w:r>
        <w:rPr>
          <w:sz w:val="24"/>
        </w:rPr>
        <w:t>、投资者的认购份额的计算方式如下：</w:t>
      </w:r>
    </w:p>
    <w:p w:rsidR="0066175D" w:rsidRDefault="00C269F6">
      <w:pPr>
        <w:spacing w:line="360" w:lineRule="auto"/>
        <w:ind w:firstLineChars="200" w:firstLine="480"/>
        <w:rPr>
          <w:rFonts w:ascii="宋体"/>
          <w:sz w:val="24"/>
        </w:rPr>
      </w:pPr>
      <w:r>
        <w:rPr>
          <w:rFonts w:ascii="宋体" w:hint="eastAsia"/>
          <w:sz w:val="24"/>
        </w:rPr>
        <w:t>本基金认购采用金额认购的方式。</w:t>
      </w:r>
    </w:p>
    <w:p w:rsidR="0066175D" w:rsidRDefault="00C269F6">
      <w:pPr>
        <w:spacing w:line="360" w:lineRule="auto"/>
        <w:ind w:firstLineChars="200" w:firstLine="480"/>
        <w:rPr>
          <w:rFonts w:ascii="宋体"/>
          <w:sz w:val="24"/>
        </w:rPr>
      </w:pPr>
      <w:r>
        <w:rPr>
          <w:rFonts w:ascii="宋体" w:hint="eastAsia"/>
          <w:sz w:val="24"/>
        </w:rPr>
        <w:t>（1）本基金</w:t>
      </w:r>
      <w:r>
        <w:rPr>
          <w:rFonts w:ascii="宋体"/>
          <w:sz w:val="24"/>
        </w:rPr>
        <w:t>A</w:t>
      </w:r>
      <w:r>
        <w:rPr>
          <w:rFonts w:ascii="宋体" w:hint="eastAsia"/>
          <w:sz w:val="24"/>
        </w:rPr>
        <w:t>类基金份额认购份额的计算方法如下：</w:t>
      </w:r>
    </w:p>
    <w:p w:rsidR="0066175D" w:rsidRDefault="00C269F6">
      <w:pPr>
        <w:spacing w:line="360" w:lineRule="auto"/>
        <w:ind w:firstLineChars="200" w:firstLine="480"/>
        <w:rPr>
          <w:rFonts w:ascii="宋体"/>
          <w:sz w:val="24"/>
        </w:rPr>
      </w:pPr>
      <w:r>
        <w:rPr>
          <w:rFonts w:ascii="宋体" w:hint="eastAsia"/>
          <w:sz w:val="24"/>
        </w:rPr>
        <w:t>1）认购费用适用比例费率时，认购份额的计算方法如下：</w:t>
      </w:r>
    </w:p>
    <w:p w:rsidR="0066175D" w:rsidRDefault="00C269F6">
      <w:pPr>
        <w:spacing w:line="360" w:lineRule="auto"/>
        <w:ind w:firstLineChars="200" w:firstLine="480"/>
        <w:rPr>
          <w:rFonts w:ascii="宋体"/>
          <w:sz w:val="24"/>
        </w:rPr>
      </w:pPr>
      <w:r>
        <w:rPr>
          <w:rFonts w:ascii="宋体" w:hint="eastAsia"/>
          <w:sz w:val="24"/>
        </w:rPr>
        <w:t>净认购金额</w:t>
      </w:r>
      <w:r>
        <w:rPr>
          <w:rFonts w:ascii="宋体"/>
          <w:sz w:val="24"/>
        </w:rPr>
        <w:t>=</w:t>
      </w:r>
      <w:r>
        <w:rPr>
          <w:rFonts w:ascii="宋体" w:hint="eastAsia"/>
          <w:sz w:val="24"/>
        </w:rPr>
        <w:t>认购金额</w:t>
      </w:r>
      <w:r>
        <w:rPr>
          <w:rFonts w:ascii="宋体"/>
          <w:sz w:val="24"/>
        </w:rPr>
        <w:t>/</w:t>
      </w:r>
      <w:r>
        <w:rPr>
          <w:rFonts w:ascii="宋体" w:hint="eastAsia"/>
          <w:sz w:val="24"/>
        </w:rPr>
        <w:t>（</w:t>
      </w:r>
      <w:r>
        <w:rPr>
          <w:rFonts w:ascii="宋体"/>
          <w:sz w:val="24"/>
        </w:rPr>
        <w:t>1</w:t>
      </w:r>
      <w:r>
        <w:rPr>
          <w:rFonts w:ascii="宋体" w:hint="eastAsia"/>
          <w:sz w:val="24"/>
        </w:rPr>
        <w:t>＋认购费率）</w:t>
      </w:r>
    </w:p>
    <w:p w:rsidR="0066175D" w:rsidRDefault="00C269F6">
      <w:pPr>
        <w:spacing w:line="360" w:lineRule="auto"/>
        <w:ind w:firstLineChars="200" w:firstLine="480"/>
        <w:rPr>
          <w:rFonts w:ascii="宋体"/>
          <w:sz w:val="24"/>
        </w:rPr>
      </w:pPr>
      <w:r>
        <w:rPr>
          <w:rFonts w:ascii="宋体" w:hint="eastAsia"/>
          <w:sz w:val="24"/>
        </w:rPr>
        <w:t>认购费用＝认购金额－净认购金额</w:t>
      </w:r>
    </w:p>
    <w:p w:rsidR="0066175D" w:rsidRDefault="00C269F6">
      <w:pPr>
        <w:spacing w:line="360" w:lineRule="auto"/>
        <w:ind w:firstLineChars="200" w:firstLine="480"/>
        <w:rPr>
          <w:rFonts w:ascii="宋体"/>
          <w:sz w:val="24"/>
        </w:rPr>
      </w:pPr>
      <w:r>
        <w:rPr>
          <w:rFonts w:ascii="宋体" w:hint="eastAsia"/>
          <w:sz w:val="24"/>
        </w:rPr>
        <w:t>认购份额＝（净认购金额＋认购资金利息）</w:t>
      </w:r>
      <w:r>
        <w:rPr>
          <w:rFonts w:ascii="宋体"/>
          <w:sz w:val="24"/>
        </w:rPr>
        <w:t>/A</w:t>
      </w:r>
      <w:r>
        <w:rPr>
          <w:rFonts w:ascii="宋体" w:hint="eastAsia"/>
          <w:sz w:val="24"/>
        </w:rPr>
        <w:t>类基金份额初始面值</w:t>
      </w:r>
    </w:p>
    <w:p w:rsidR="0066175D" w:rsidRDefault="00C269F6">
      <w:pPr>
        <w:spacing w:line="360" w:lineRule="auto"/>
        <w:ind w:firstLineChars="200" w:firstLine="480"/>
        <w:rPr>
          <w:rFonts w:ascii="宋体"/>
          <w:sz w:val="24"/>
        </w:rPr>
      </w:pPr>
      <w:r>
        <w:rPr>
          <w:rFonts w:ascii="宋体" w:hint="eastAsia"/>
          <w:sz w:val="24"/>
        </w:rPr>
        <w:t>2）认购费用为固定金额时，认购份额的计算方法如下：</w:t>
      </w:r>
    </w:p>
    <w:p w:rsidR="0066175D" w:rsidRDefault="00C269F6">
      <w:pPr>
        <w:spacing w:line="360" w:lineRule="auto"/>
        <w:ind w:firstLineChars="200" w:firstLine="480"/>
        <w:rPr>
          <w:rFonts w:ascii="宋体"/>
          <w:sz w:val="24"/>
        </w:rPr>
      </w:pPr>
      <w:r>
        <w:rPr>
          <w:rFonts w:ascii="宋体" w:hint="eastAsia"/>
          <w:sz w:val="24"/>
        </w:rPr>
        <w:t>认购费用＝固定金额</w:t>
      </w:r>
    </w:p>
    <w:p w:rsidR="0066175D" w:rsidRDefault="00C269F6">
      <w:pPr>
        <w:spacing w:line="360" w:lineRule="auto"/>
        <w:ind w:firstLineChars="200" w:firstLine="480"/>
        <w:rPr>
          <w:rFonts w:ascii="宋体"/>
          <w:sz w:val="24"/>
        </w:rPr>
      </w:pPr>
      <w:r>
        <w:rPr>
          <w:rFonts w:ascii="宋体" w:hint="eastAsia"/>
          <w:sz w:val="24"/>
        </w:rPr>
        <w:t>净认购金额</w:t>
      </w:r>
      <w:r>
        <w:rPr>
          <w:rFonts w:ascii="宋体"/>
          <w:sz w:val="24"/>
        </w:rPr>
        <w:t>=</w:t>
      </w:r>
      <w:r>
        <w:rPr>
          <w:rFonts w:ascii="宋体" w:hint="eastAsia"/>
          <w:sz w:val="24"/>
        </w:rPr>
        <w:t>认购金额－认购费用</w:t>
      </w:r>
    </w:p>
    <w:p w:rsidR="0066175D" w:rsidRDefault="00C269F6">
      <w:pPr>
        <w:spacing w:line="360" w:lineRule="auto"/>
        <w:ind w:firstLineChars="200" w:firstLine="480"/>
        <w:rPr>
          <w:rFonts w:ascii="宋体"/>
          <w:sz w:val="24"/>
        </w:rPr>
      </w:pPr>
      <w:r>
        <w:rPr>
          <w:rFonts w:ascii="宋体" w:hint="eastAsia"/>
          <w:sz w:val="24"/>
        </w:rPr>
        <w:t>认购份额＝（净认购金额＋认购资金利息）</w:t>
      </w:r>
      <w:r>
        <w:rPr>
          <w:rFonts w:ascii="宋体"/>
          <w:sz w:val="24"/>
        </w:rPr>
        <w:t>/A</w:t>
      </w:r>
      <w:r>
        <w:rPr>
          <w:rFonts w:ascii="宋体" w:hint="eastAsia"/>
          <w:sz w:val="24"/>
        </w:rPr>
        <w:t>类基金份额初始面值</w:t>
      </w:r>
    </w:p>
    <w:p w:rsidR="0066175D" w:rsidRDefault="00C269F6">
      <w:pPr>
        <w:spacing w:line="360" w:lineRule="auto"/>
        <w:ind w:firstLineChars="200" w:firstLine="480"/>
        <w:rPr>
          <w:rFonts w:ascii="宋体"/>
          <w:sz w:val="24"/>
        </w:rPr>
      </w:pPr>
      <w:r>
        <w:rPr>
          <w:rFonts w:ascii="宋体" w:hint="eastAsia"/>
          <w:sz w:val="24"/>
        </w:rPr>
        <w:t>（</w:t>
      </w:r>
      <w:r>
        <w:rPr>
          <w:rFonts w:ascii="宋体"/>
          <w:sz w:val="24"/>
        </w:rPr>
        <w:t>2</w:t>
      </w:r>
      <w:r>
        <w:rPr>
          <w:rFonts w:ascii="宋体" w:hint="eastAsia"/>
          <w:sz w:val="24"/>
        </w:rPr>
        <w:t>）本基金</w:t>
      </w:r>
      <w:r>
        <w:rPr>
          <w:rFonts w:ascii="宋体"/>
          <w:sz w:val="24"/>
        </w:rPr>
        <w:t>C</w:t>
      </w:r>
      <w:r>
        <w:rPr>
          <w:rFonts w:ascii="宋体" w:hint="eastAsia"/>
          <w:sz w:val="24"/>
        </w:rPr>
        <w:t>类基金份额认购份额的计算方法如下：</w:t>
      </w:r>
    </w:p>
    <w:p w:rsidR="0066175D" w:rsidRDefault="00C269F6">
      <w:pPr>
        <w:spacing w:line="360" w:lineRule="auto"/>
        <w:ind w:firstLineChars="200" w:firstLine="480"/>
        <w:rPr>
          <w:rFonts w:ascii="宋体"/>
          <w:sz w:val="24"/>
        </w:rPr>
      </w:pPr>
      <w:r>
        <w:rPr>
          <w:rFonts w:ascii="宋体" w:hint="eastAsia"/>
          <w:sz w:val="24"/>
        </w:rPr>
        <w:t>认购份额＝（认购金额＋认购利息）</w:t>
      </w:r>
      <w:r>
        <w:rPr>
          <w:rFonts w:ascii="宋体"/>
          <w:sz w:val="24"/>
        </w:rPr>
        <w:t>/C</w:t>
      </w:r>
      <w:r>
        <w:rPr>
          <w:rFonts w:ascii="宋体" w:hint="eastAsia"/>
          <w:sz w:val="24"/>
        </w:rPr>
        <w:t>类基金份额初始面值</w:t>
      </w:r>
    </w:p>
    <w:p w:rsidR="0066175D" w:rsidRDefault="00C269F6">
      <w:pPr>
        <w:spacing w:line="360" w:lineRule="auto"/>
        <w:ind w:firstLineChars="200" w:firstLine="480"/>
        <w:rPr>
          <w:rFonts w:ascii="宋体"/>
          <w:sz w:val="24"/>
        </w:rPr>
      </w:pPr>
      <w:r>
        <w:rPr>
          <w:rFonts w:ascii="宋体" w:hint="eastAsia"/>
          <w:sz w:val="24"/>
        </w:rPr>
        <w:t>（3）认购费用以人民币元为单位，计算结果按照四舍五入方法，保留到小数点后两位；认购份额计算结果按照四舍五入方法，保留到小数点后两位</w:t>
      </w:r>
      <w:r>
        <w:rPr>
          <w:rFonts w:ascii="宋体"/>
          <w:sz w:val="24"/>
        </w:rPr>
        <w:t>,</w:t>
      </w:r>
      <w:r>
        <w:rPr>
          <w:rFonts w:ascii="宋体" w:hint="eastAsia"/>
          <w:sz w:val="24"/>
        </w:rPr>
        <w:t>由此误差产生的收益或损失由基金财产承担。</w:t>
      </w:r>
    </w:p>
    <w:p w:rsidR="0066175D" w:rsidRDefault="00C269F6">
      <w:pPr>
        <w:spacing w:line="360" w:lineRule="auto"/>
        <w:ind w:firstLineChars="200" w:firstLine="480"/>
        <w:rPr>
          <w:rFonts w:ascii="宋体"/>
          <w:sz w:val="24"/>
        </w:rPr>
      </w:pPr>
      <w:r>
        <w:rPr>
          <w:rFonts w:ascii="宋体" w:hint="eastAsia"/>
          <w:sz w:val="24"/>
        </w:rPr>
        <w:t>例</w:t>
      </w:r>
      <w:r>
        <w:rPr>
          <w:rFonts w:ascii="宋体"/>
          <w:sz w:val="24"/>
        </w:rPr>
        <w:t>1</w:t>
      </w:r>
      <w:r>
        <w:rPr>
          <w:rFonts w:ascii="宋体" w:hint="eastAsia"/>
          <w:sz w:val="24"/>
        </w:rPr>
        <w:t xml:space="preserve">：某投资人投资10,000元认购本基金的A类基金份额，如果认购期内认购资金获得的利息为5元，则其可得到的A类基金份额计算如下： </w:t>
      </w:r>
    </w:p>
    <w:p w:rsidR="0066175D" w:rsidRDefault="00C269F6">
      <w:pPr>
        <w:spacing w:line="360" w:lineRule="auto"/>
        <w:ind w:firstLineChars="200" w:firstLine="480"/>
        <w:rPr>
          <w:rFonts w:ascii="宋体"/>
          <w:sz w:val="24"/>
        </w:rPr>
      </w:pPr>
      <w:r>
        <w:rPr>
          <w:rFonts w:ascii="宋体" w:hint="eastAsia"/>
          <w:sz w:val="24"/>
        </w:rPr>
        <w:t>净认购金额=10,000/（1+1.2%）＝9,881.42元</w:t>
      </w:r>
    </w:p>
    <w:p w:rsidR="0066175D" w:rsidRDefault="00C269F6">
      <w:pPr>
        <w:spacing w:line="360" w:lineRule="auto"/>
        <w:ind w:firstLineChars="200" w:firstLine="480"/>
        <w:rPr>
          <w:rFonts w:ascii="宋体"/>
          <w:sz w:val="24"/>
        </w:rPr>
      </w:pPr>
      <w:r>
        <w:rPr>
          <w:rFonts w:ascii="宋体" w:hint="eastAsia"/>
          <w:sz w:val="24"/>
        </w:rPr>
        <w:t>认购费用=10,000－9,881.42＝118.58元</w:t>
      </w:r>
    </w:p>
    <w:p w:rsidR="0066175D" w:rsidRDefault="00C269F6">
      <w:pPr>
        <w:spacing w:line="360" w:lineRule="auto"/>
        <w:ind w:firstLineChars="200" w:firstLine="480"/>
        <w:rPr>
          <w:rFonts w:ascii="宋体"/>
          <w:sz w:val="24"/>
        </w:rPr>
      </w:pPr>
      <w:r>
        <w:rPr>
          <w:rFonts w:ascii="宋体" w:hint="eastAsia"/>
          <w:sz w:val="24"/>
        </w:rPr>
        <w:t>认购份额=（9,881.42＋5）/1.00＝9,886.42份</w:t>
      </w:r>
    </w:p>
    <w:p w:rsidR="0066175D" w:rsidRDefault="00C269F6">
      <w:pPr>
        <w:spacing w:line="360" w:lineRule="auto"/>
        <w:ind w:firstLineChars="200" w:firstLine="480"/>
        <w:rPr>
          <w:rFonts w:ascii="宋体"/>
          <w:sz w:val="24"/>
        </w:rPr>
      </w:pPr>
      <w:r>
        <w:rPr>
          <w:rFonts w:ascii="宋体" w:hint="eastAsia"/>
          <w:sz w:val="24"/>
        </w:rPr>
        <w:t>即投资人投资10,000元认购本基金A类基金份额，加上认购资金在认购期内获得的利息元，可得到9,886.42份A类基金份额（含利息折份额部分）。</w:t>
      </w:r>
      <w:bookmarkStart w:id="57" w:name="_Hlk92320194"/>
    </w:p>
    <w:bookmarkEnd w:id="57"/>
    <w:p w:rsidR="0066175D" w:rsidRDefault="00C269F6">
      <w:pPr>
        <w:spacing w:line="360" w:lineRule="auto"/>
        <w:ind w:firstLineChars="200" w:firstLine="480"/>
        <w:rPr>
          <w:rFonts w:ascii="宋体"/>
          <w:sz w:val="24"/>
        </w:rPr>
      </w:pPr>
      <w:r>
        <w:rPr>
          <w:rFonts w:ascii="宋体" w:hint="eastAsia"/>
          <w:sz w:val="24"/>
        </w:rPr>
        <w:t>例</w:t>
      </w:r>
      <w:r>
        <w:rPr>
          <w:rFonts w:ascii="宋体"/>
          <w:sz w:val="24"/>
        </w:rPr>
        <w:t>2</w:t>
      </w:r>
      <w:r>
        <w:rPr>
          <w:rFonts w:ascii="宋体" w:hint="eastAsia"/>
          <w:sz w:val="24"/>
        </w:rPr>
        <w:t>：某投资人投资</w:t>
      </w:r>
      <w:r>
        <w:rPr>
          <w:rFonts w:ascii="宋体"/>
          <w:sz w:val="24"/>
        </w:rPr>
        <w:t>100,000</w:t>
      </w:r>
      <w:r>
        <w:rPr>
          <w:rFonts w:ascii="宋体" w:hint="eastAsia"/>
          <w:sz w:val="24"/>
        </w:rPr>
        <w:t>元认购本基金的</w:t>
      </w:r>
      <w:r>
        <w:rPr>
          <w:rFonts w:ascii="宋体"/>
          <w:sz w:val="24"/>
        </w:rPr>
        <w:t>C</w:t>
      </w:r>
      <w:r>
        <w:rPr>
          <w:rFonts w:ascii="宋体" w:hint="eastAsia"/>
          <w:sz w:val="24"/>
        </w:rPr>
        <w:t>类基金份额，假设该笔认购产生利息</w:t>
      </w:r>
      <w:r>
        <w:rPr>
          <w:rFonts w:ascii="宋体"/>
          <w:sz w:val="24"/>
        </w:rPr>
        <w:t>50</w:t>
      </w:r>
      <w:r>
        <w:rPr>
          <w:rFonts w:ascii="宋体" w:hint="eastAsia"/>
          <w:sz w:val="24"/>
        </w:rPr>
        <w:t>元，则其可得到的认购份额为：</w:t>
      </w:r>
    </w:p>
    <w:p w:rsidR="0066175D" w:rsidRDefault="00C269F6">
      <w:pPr>
        <w:spacing w:line="360" w:lineRule="auto"/>
        <w:ind w:firstLineChars="200" w:firstLine="480"/>
        <w:rPr>
          <w:rFonts w:ascii="宋体"/>
          <w:sz w:val="24"/>
        </w:rPr>
      </w:pPr>
      <w:r>
        <w:rPr>
          <w:rFonts w:ascii="宋体" w:hint="eastAsia"/>
          <w:sz w:val="24"/>
        </w:rPr>
        <w:t>认购份额</w:t>
      </w:r>
      <w:r>
        <w:rPr>
          <w:rFonts w:ascii="宋体"/>
          <w:sz w:val="24"/>
        </w:rPr>
        <w:t>=</w:t>
      </w:r>
      <w:r>
        <w:rPr>
          <w:rFonts w:ascii="宋体" w:hint="eastAsia"/>
          <w:sz w:val="24"/>
        </w:rPr>
        <w:t>（</w:t>
      </w:r>
      <w:r>
        <w:rPr>
          <w:rFonts w:ascii="宋体"/>
          <w:sz w:val="24"/>
        </w:rPr>
        <w:t>100,000</w:t>
      </w:r>
      <w:r>
        <w:rPr>
          <w:rFonts w:ascii="宋体" w:hint="eastAsia"/>
          <w:sz w:val="24"/>
        </w:rPr>
        <w:t>＋</w:t>
      </w:r>
      <w:r>
        <w:rPr>
          <w:rFonts w:ascii="宋体"/>
          <w:sz w:val="24"/>
        </w:rPr>
        <w:t>50</w:t>
      </w:r>
      <w:r>
        <w:rPr>
          <w:rFonts w:ascii="宋体" w:hint="eastAsia"/>
          <w:sz w:val="24"/>
        </w:rPr>
        <w:t>）</w:t>
      </w:r>
      <w:r>
        <w:rPr>
          <w:rFonts w:ascii="宋体"/>
          <w:sz w:val="24"/>
        </w:rPr>
        <w:t>/1.00=100,050.00</w:t>
      </w:r>
      <w:r>
        <w:rPr>
          <w:rFonts w:ascii="宋体" w:hint="eastAsia"/>
          <w:sz w:val="24"/>
        </w:rPr>
        <w:t>份</w:t>
      </w:r>
    </w:p>
    <w:p w:rsidR="0066175D" w:rsidRDefault="00C269F6">
      <w:pPr>
        <w:spacing w:line="360" w:lineRule="auto"/>
        <w:ind w:firstLineChars="200" w:firstLine="480"/>
        <w:rPr>
          <w:rFonts w:ascii="宋体"/>
          <w:sz w:val="24"/>
        </w:rPr>
      </w:pPr>
      <w:r>
        <w:rPr>
          <w:rFonts w:ascii="宋体" w:hint="eastAsia"/>
          <w:sz w:val="24"/>
        </w:rPr>
        <w:t>即投资人投资</w:t>
      </w:r>
      <w:r>
        <w:rPr>
          <w:rFonts w:ascii="宋体"/>
          <w:sz w:val="24"/>
        </w:rPr>
        <w:t>100,000</w:t>
      </w:r>
      <w:r>
        <w:rPr>
          <w:rFonts w:ascii="宋体" w:hint="eastAsia"/>
          <w:sz w:val="24"/>
        </w:rPr>
        <w:t>元认购本基金的</w:t>
      </w:r>
      <w:r>
        <w:rPr>
          <w:rFonts w:ascii="宋体"/>
          <w:sz w:val="24"/>
        </w:rPr>
        <w:t>C</w:t>
      </w:r>
      <w:r>
        <w:rPr>
          <w:rFonts w:ascii="宋体" w:hint="eastAsia"/>
          <w:sz w:val="24"/>
        </w:rPr>
        <w:t>类基金份额，加上认购资金在募集期内获得的利息，可得到</w:t>
      </w:r>
      <w:r>
        <w:rPr>
          <w:rFonts w:ascii="宋体"/>
          <w:sz w:val="24"/>
        </w:rPr>
        <w:t>100,050.00</w:t>
      </w:r>
      <w:r>
        <w:rPr>
          <w:rFonts w:ascii="宋体" w:hint="eastAsia"/>
          <w:sz w:val="24"/>
        </w:rPr>
        <w:t>份</w:t>
      </w:r>
      <w:r>
        <w:rPr>
          <w:rFonts w:ascii="宋体"/>
          <w:sz w:val="24"/>
        </w:rPr>
        <w:t>C</w:t>
      </w:r>
      <w:r>
        <w:rPr>
          <w:rFonts w:ascii="宋体" w:hint="eastAsia"/>
          <w:sz w:val="24"/>
        </w:rPr>
        <w:t>类基金份额（含利息折份额部分）。</w:t>
      </w:r>
    </w:p>
    <w:p w:rsidR="0066175D" w:rsidRDefault="00C269F6">
      <w:pPr>
        <w:spacing w:line="360" w:lineRule="auto"/>
        <w:ind w:firstLineChars="200" w:firstLine="562"/>
        <w:rPr>
          <w:b/>
          <w:bCs/>
          <w:sz w:val="28"/>
        </w:rPr>
      </w:pPr>
      <w:r>
        <w:rPr>
          <w:b/>
          <w:bCs/>
          <w:sz w:val="28"/>
        </w:rPr>
        <w:t>（三）认购的金额限制</w:t>
      </w:r>
    </w:p>
    <w:p w:rsidR="0066175D" w:rsidRDefault="00C269F6">
      <w:pPr>
        <w:spacing w:line="360" w:lineRule="auto"/>
        <w:ind w:firstLineChars="200" w:firstLine="480"/>
        <w:rPr>
          <w:sz w:val="24"/>
        </w:rPr>
      </w:pPr>
      <w:bookmarkStart w:id="58" w:name="_Toc109560370"/>
      <w:bookmarkStart w:id="59" w:name="_Toc105317277"/>
      <w:bookmarkStart w:id="60" w:name="_Toc110138497"/>
      <w:bookmarkStart w:id="61" w:name="_Toc113428981"/>
      <w:bookmarkStart w:id="62" w:name="_Toc496550323"/>
      <w:bookmarkEnd w:id="54"/>
      <w:bookmarkEnd w:id="55"/>
      <w:bookmarkEnd w:id="56"/>
      <w:r>
        <w:rPr>
          <w:sz w:val="24"/>
        </w:rPr>
        <w:t>1</w:t>
      </w:r>
      <w:r>
        <w:rPr>
          <w:rFonts w:hint="eastAsia"/>
          <w:sz w:val="24"/>
        </w:rPr>
        <w:t>、投资人通过本基金的直销机构单个基金账户首次认购本基金单笔最低金额为人民币</w:t>
      </w:r>
      <w:r>
        <w:rPr>
          <w:sz w:val="24"/>
        </w:rPr>
        <w:t>1.00</w:t>
      </w:r>
      <w:r>
        <w:rPr>
          <w:rFonts w:hint="eastAsia"/>
          <w:sz w:val="24"/>
        </w:rPr>
        <w:t>元（含认购费），追加认购的单笔最低金额为人民币</w:t>
      </w:r>
      <w:r>
        <w:rPr>
          <w:sz w:val="24"/>
        </w:rPr>
        <w:t>1.00</w:t>
      </w:r>
      <w:r>
        <w:rPr>
          <w:rFonts w:hint="eastAsia"/>
          <w:sz w:val="24"/>
        </w:rPr>
        <w:t>元（含认购费）；通过其他销售机构单个基金账户首次认购本基金单笔最低金额为人民币</w:t>
      </w:r>
      <w:r>
        <w:rPr>
          <w:sz w:val="24"/>
        </w:rPr>
        <w:t>1.00</w:t>
      </w:r>
      <w:r>
        <w:rPr>
          <w:rFonts w:hint="eastAsia"/>
          <w:sz w:val="24"/>
        </w:rPr>
        <w:t>元（含认购费），追加认购的单笔最低金额为人民币</w:t>
      </w:r>
      <w:r>
        <w:rPr>
          <w:sz w:val="24"/>
        </w:rPr>
        <w:t>1.00</w:t>
      </w:r>
      <w:r>
        <w:rPr>
          <w:rFonts w:hint="eastAsia"/>
          <w:sz w:val="24"/>
        </w:rPr>
        <w:t>元（含认购费），其他销售机构另有规定的，从其规定。</w:t>
      </w:r>
    </w:p>
    <w:p w:rsidR="0066175D" w:rsidRDefault="00C269F6">
      <w:pPr>
        <w:spacing w:line="360" w:lineRule="auto"/>
        <w:ind w:firstLineChars="200" w:firstLine="480"/>
        <w:rPr>
          <w:sz w:val="24"/>
        </w:rPr>
      </w:pPr>
      <w:r>
        <w:rPr>
          <w:rFonts w:hint="eastAsia"/>
          <w:sz w:val="24"/>
        </w:rPr>
        <w:t>2</w:t>
      </w:r>
      <w:r>
        <w:rPr>
          <w:rFonts w:hint="eastAsia"/>
          <w:sz w:val="24"/>
        </w:rPr>
        <w:t>、按照本基金各类基金份额合并计算，如本基金单个投资人（基金管理人、基金管理人高级管理人员或基金经理等人员作为发起资金提供方除外）累计认购的基金份额数达到或者超过基金总份额的</w:t>
      </w:r>
      <w:r>
        <w:rPr>
          <w:sz w:val="24"/>
        </w:rPr>
        <w:t>50%</w:t>
      </w:r>
      <w:r>
        <w:rPr>
          <w:rFonts w:hint="eastAsia"/>
          <w:sz w:val="24"/>
        </w:rPr>
        <w:t>，基金管理人可以采取比例确认等方式对该投资人的认购申请进行限制。基金管理人接受某笔或者某些认购申请有可能导致投资者变相规避前述</w:t>
      </w:r>
      <w:r>
        <w:rPr>
          <w:sz w:val="24"/>
        </w:rPr>
        <w:t>50%</w:t>
      </w:r>
      <w:r>
        <w:rPr>
          <w:rFonts w:hint="eastAsia"/>
          <w:sz w:val="24"/>
        </w:rPr>
        <w:t>比例要求的，基金管理人有权拒绝该等全部或者部分认购申请。投资人认购的基金份额数以基金合同生效后登记机构的确认为准。</w:t>
      </w:r>
    </w:p>
    <w:p w:rsidR="0066175D" w:rsidRDefault="00C269F6">
      <w:pPr>
        <w:spacing w:line="360" w:lineRule="auto"/>
        <w:ind w:firstLineChars="200" w:firstLine="480"/>
        <w:rPr>
          <w:sz w:val="24"/>
        </w:rPr>
      </w:pPr>
      <w:r>
        <w:rPr>
          <w:rFonts w:hint="eastAsia"/>
          <w:sz w:val="24"/>
        </w:rPr>
        <w:t>3</w:t>
      </w:r>
      <w:r>
        <w:rPr>
          <w:rFonts w:hint="eastAsia"/>
          <w:sz w:val="24"/>
        </w:rPr>
        <w:t>、基金管理人可根据市场情况，在法律法规允许的情况下，调整上述对认购的金额限制，基金管理人必须在调整生效前依照《信息披露办法》的有关规定在规定媒介公告。</w:t>
      </w:r>
    </w:p>
    <w:p w:rsidR="0066175D" w:rsidRDefault="00C269F6">
      <w:pPr>
        <w:pStyle w:val="1"/>
        <w:spacing w:line="360" w:lineRule="auto"/>
        <w:ind w:firstLineChars="200" w:firstLine="602"/>
        <w:rPr>
          <w:rFonts w:eastAsia="宋体"/>
          <w:sz w:val="30"/>
          <w:szCs w:val="30"/>
        </w:rPr>
      </w:pPr>
      <w:bookmarkStart w:id="63" w:name="_Toc73026662"/>
      <w:r>
        <w:rPr>
          <w:rFonts w:eastAsia="宋体" w:hint="eastAsia"/>
          <w:sz w:val="30"/>
          <w:szCs w:val="30"/>
        </w:rPr>
        <w:t>三</w:t>
      </w:r>
      <w:r>
        <w:rPr>
          <w:rFonts w:eastAsia="宋体"/>
          <w:sz w:val="30"/>
          <w:szCs w:val="30"/>
        </w:rPr>
        <w:t>、清算与交割</w:t>
      </w:r>
      <w:bookmarkEnd w:id="58"/>
      <w:bookmarkEnd w:id="59"/>
      <w:bookmarkEnd w:id="60"/>
      <w:bookmarkEnd w:id="61"/>
      <w:bookmarkEnd w:id="62"/>
      <w:bookmarkEnd w:id="63"/>
    </w:p>
    <w:p w:rsidR="0066175D" w:rsidRDefault="00C269F6">
      <w:pPr>
        <w:pStyle w:val="a7"/>
        <w:ind w:firstLine="480"/>
        <w:rPr>
          <w:rFonts w:ascii="Times New Roman"/>
        </w:rPr>
      </w:pPr>
      <w:r>
        <w:rPr>
          <w:rFonts w:ascii="Times New Roman"/>
        </w:rPr>
        <w:t>本基金基金合同生效前，</w:t>
      </w:r>
      <w:bookmarkStart w:id="64" w:name="OLE_LINK7"/>
      <w:bookmarkStart w:id="65" w:name="OLE_LINK8"/>
      <w:r>
        <w:rPr>
          <w:rFonts w:ascii="Times New Roman"/>
        </w:rPr>
        <w:t>全部有效认购资金</w:t>
      </w:r>
      <w:bookmarkEnd w:id="64"/>
      <w:bookmarkEnd w:id="65"/>
      <w:r>
        <w:rPr>
          <w:rFonts w:ascii="Times New Roman"/>
        </w:rPr>
        <w:t>将被冻结在基金募集专户中，有效认购资金冻结期间的利息在基金合同生效后折成基金份额，归基金份额持有人所有，</w:t>
      </w:r>
      <w:r>
        <w:rPr>
          <w:rFonts w:hint="eastAsia"/>
        </w:rPr>
        <w:t>利息转份额的具体数额</w:t>
      </w:r>
      <w:r>
        <w:rPr>
          <w:rFonts w:ascii="Times New Roman"/>
        </w:rPr>
        <w:t>以基金份额登记机构计算的利息为准。</w:t>
      </w:r>
    </w:p>
    <w:p w:rsidR="0066175D" w:rsidRDefault="00C269F6">
      <w:pPr>
        <w:spacing w:line="360" w:lineRule="auto"/>
        <w:ind w:firstLineChars="200" w:firstLine="480"/>
        <w:rPr>
          <w:sz w:val="24"/>
        </w:rPr>
      </w:pPr>
      <w:r>
        <w:rPr>
          <w:sz w:val="24"/>
        </w:rPr>
        <w:t>本基金基金份额登记机构在募集结束后对基金权益进行登记。</w:t>
      </w:r>
    </w:p>
    <w:p w:rsidR="0066175D" w:rsidRDefault="00C269F6">
      <w:pPr>
        <w:spacing w:line="360" w:lineRule="auto"/>
        <w:ind w:firstLineChars="200" w:firstLine="480"/>
        <w:rPr>
          <w:sz w:val="24"/>
        </w:rPr>
      </w:pPr>
      <w:r>
        <w:rPr>
          <w:sz w:val="24"/>
        </w:rPr>
        <w:t>基金合同生效之前发生的与基金募集活动有关的费用，包括信息披露费、会计师费、律师费以及其他费用，不得从基金财产中列支。</w:t>
      </w:r>
    </w:p>
    <w:p w:rsidR="0066175D" w:rsidRDefault="00C269F6">
      <w:pPr>
        <w:pStyle w:val="1"/>
        <w:spacing w:line="360" w:lineRule="auto"/>
        <w:ind w:firstLineChars="200" w:firstLine="602"/>
        <w:rPr>
          <w:rFonts w:eastAsia="宋体"/>
          <w:sz w:val="30"/>
          <w:szCs w:val="30"/>
        </w:rPr>
      </w:pPr>
      <w:bookmarkStart w:id="66" w:name="_Toc105317279"/>
      <w:bookmarkStart w:id="67" w:name="_Toc110138498"/>
      <w:bookmarkStart w:id="68" w:name="_Toc496550324"/>
      <w:bookmarkStart w:id="69" w:name="_Toc73026663"/>
      <w:bookmarkStart w:id="70" w:name="_Toc109560371"/>
      <w:bookmarkStart w:id="71" w:name="_Toc113428982"/>
      <w:r>
        <w:rPr>
          <w:rFonts w:eastAsia="宋体" w:hint="eastAsia"/>
          <w:sz w:val="30"/>
          <w:szCs w:val="30"/>
        </w:rPr>
        <w:t>四</w:t>
      </w:r>
      <w:r>
        <w:rPr>
          <w:rFonts w:eastAsia="宋体"/>
          <w:sz w:val="30"/>
          <w:szCs w:val="30"/>
        </w:rPr>
        <w:t>、基金的验资与基金合同的生效</w:t>
      </w:r>
      <w:bookmarkEnd w:id="66"/>
      <w:bookmarkEnd w:id="67"/>
      <w:bookmarkEnd w:id="68"/>
      <w:bookmarkEnd w:id="69"/>
      <w:bookmarkEnd w:id="70"/>
      <w:bookmarkEnd w:id="71"/>
    </w:p>
    <w:p w:rsidR="0066175D" w:rsidRDefault="00C269F6">
      <w:pPr>
        <w:spacing w:line="360" w:lineRule="auto"/>
        <w:ind w:firstLineChars="200" w:firstLine="480"/>
        <w:rPr>
          <w:sz w:val="24"/>
        </w:rPr>
      </w:pPr>
      <w:r>
        <w:rPr>
          <w:rFonts w:hint="eastAsia"/>
          <w:bCs/>
          <w:sz w:val="24"/>
        </w:rPr>
        <w:t>本基金自基金份额发售之日起</w:t>
      </w:r>
      <w:r>
        <w:rPr>
          <w:rFonts w:hint="eastAsia"/>
          <w:bCs/>
          <w:sz w:val="24"/>
        </w:rPr>
        <w:t>3</w:t>
      </w:r>
      <w:r>
        <w:rPr>
          <w:rFonts w:hint="eastAsia"/>
          <w:bCs/>
          <w:sz w:val="24"/>
        </w:rPr>
        <w:t>个月内，在发起资金提供方使用发起资金认购本基金的金额不少于</w:t>
      </w:r>
      <w:r>
        <w:rPr>
          <w:rFonts w:hint="eastAsia"/>
          <w:bCs/>
          <w:sz w:val="24"/>
        </w:rPr>
        <w:t>1,000</w:t>
      </w:r>
      <w:r>
        <w:rPr>
          <w:rFonts w:hint="eastAsia"/>
          <w:bCs/>
          <w:sz w:val="24"/>
        </w:rPr>
        <w:t>万元，且发起资金提供方承诺其认购的基金份额持有期限自基金合同生效之日起不少于</w:t>
      </w:r>
      <w:r>
        <w:rPr>
          <w:rFonts w:hint="eastAsia"/>
          <w:bCs/>
          <w:sz w:val="24"/>
        </w:rPr>
        <w:t>3</w:t>
      </w:r>
      <w:r>
        <w:rPr>
          <w:rFonts w:hint="eastAsia"/>
          <w:bCs/>
          <w:sz w:val="24"/>
        </w:rPr>
        <w:t>年的条件下，基金募集期届满或基金管理人依据法律法规及招募说明书可以决定停止基金发售，并在</w:t>
      </w:r>
      <w:r>
        <w:rPr>
          <w:rFonts w:hint="eastAsia"/>
          <w:bCs/>
          <w:sz w:val="24"/>
        </w:rPr>
        <w:t>10</w:t>
      </w:r>
      <w:r>
        <w:rPr>
          <w:rFonts w:hint="eastAsia"/>
          <w:bCs/>
          <w:sz w:val="24"/>
        </w:rPr>
        <w:t>日内聘请法定验资机构验资，验资报告需对发起资金提供方及其持有的基金份额进行专门说明。基金管理人自收到验资报告之日起</w:t>
      </w:r>
      <w:r>
        <w:rPr>
          <w:rFonts w:hint="eastAsia"/>
          <w:bCs/>
          <w:sz w:val="24"/>
        </w:rPr>
        <w:t>10</w:t>
      </w:r>
      <w:r>
        <w:rPr>
          <w:rFonts w:hint="eastAsia"/>
          <w:bCs/>
          <w:sz w:val="24"/>
        </w:rPr>
        <w:t>日内，向中国证监会办理基金备案手续。</w:t>
      </w:r>
    </w:p>
    <w:p w:rsidR="0066175D" w:rsidRDefault="00C269F6">
      <w:pPr>
        <w:spacing w:line="360" w:lineRule="auto"/>
        <w:ind w:firstLineChars="200" w:firstLine="480"/>
        <w:rPr>
          <w:sz w:val="24"/>
        </w:rPr>
      </w:pPr>
      <w:r>
        <w:rPr>
          <w:rFonts w:hint="eastAsia"/>
          <w:sz w:val="24"/>
        </w:rPr>
        <w:t>基金募集达到基金备案条件的，自基金管理人办理完毕基金备案手续并取得中国证监会书面确认之日起，《基金合同》生效；否则《基金合同》不生效。基金管理人在收到中国证监会确认文件的次日对《基金合同》生效事宜予以公告。基金管理人应将基金募集期间募集的资金存入专门账户，在基金募集行为结束前，任何人不得动用。</w:t>
      </w:r>
    </w:p>
    <w:p w:rsidR="0066175D" w:rsidRDefault="00C269F6">
      <w:pPr>
        <w:pStyle w:val="1"/>
        <w:spacing w:line="360" w:lineRule="auto"/>
        <w:ind w:firstLineChars="200" w:firstLine="602"/>
        <w:rPr>
          <w:szCs w:val="30"/>
        </w:rPr>
      </w:pPr>
      <w:bookmarkStart w:id="72" w:name="_Toc113428983"/>
      <w:bookmarkStart w:id="73" w:name="_Toc105317280"/>
      <w:bookmarkStart w:id="74" w:name="_Toc110138499"/>
      <w:bookmarkStart w:id="75" w:name="_Toc73026664"/>
      <w:bookmarkStart w:id="76" w:name="_Toc496550325"/>
      <w:bookmarkStart w:id="77" w:name="_Toc109560372"/>
      <w:r>
        <w:rPr>
          <w:rFonts w:eastAsia="宋体" w:hint="eastAsia"/>
          <w:sz w:val="30"/>
          <w:szCs w:val="30"/>
        </w:rPr>
        <w:t>五</w:t>
      </w:r>
      <w:r>
        <w:rPr>
          <w:rFonts w:eastAsia="宋体"/>
          <w:sz w:val="30"/>
          <w:szCs w:val="30"/>
        </w:rPr>
        <w:t>、</w:t>
      </w:r>
      <w:r>
        <w:rPr>
          <w:rFonts w:eastAsia="宋体" w:hint="eastAsia"/>
          <w:sz w:val="30"/>
          <w:szCs w:val="30"/>
        </w:rPr>
        <w:t>本次基金发售</w:t>
      </w:r>
      <w:r>
        <w:rPr>
          <w:rFonts w:eastAsia="宋体"/>
          <w:sz w:val="30"/>
          <w:szCs w:val="30"/>
        </w:rPr>
        <w:t>当事人或中介机构</w:t>
      </w:r>
      <w:bookmarkEnd w:id="72"/>
      <w:bookmarkEnd w:id="73"/>
      <w:bookmarkEnd w:id="74"/>
      <w:bookmarkEnd w:id="75"/>
      <w:bookmarkEnd w:id="76"/>
      <w:bookmarkEnd w:id="77"/>
    </w:p>
    <w:p w:rsidR="0066175D" w:rsidRDefault="00C269F6">
      <w:pPr>
        <w:spacing w:line="360" w:lineRule="auto"/>
        <w:ind w:firstLineChars="200" w:firstLine="562"/>
        <w:rPr>
          <w:b/>
          <w:bCs/>
          <w:sz w:val="28"/>
        </w:rPr>
      </w:pPr>
      <w:bookmarkStart w:id="78" w:name="_Toc109560373"/>
      <w:r>
        <w:rPr>
          <w:b/>
          <w:bCs/>
          <w:sz w:val="28"/>
        </w:rPr>
        <w:t>（一）基金管理人</w:t>
      </w:r>
      <w:bookmarkEnd w:id="78"/>
    </w:p>
    <w:p w:rsidR="0066175D" w:rsidRDefault="00C269F6">
      <w:pPr>
        <w:spacing w:line="360" w:lineRule="auto"/>
        <w:ind w:firstLineChars="200" w:firstLine="480"/>
        <w:rPr>
          <w:kern w:val="0"/>
          <w:sz w:val="24"/>
        </w:rPr>
      </w:pPr>
      <w:r>
        <w:rPr>
          <w:kern w:val="0"/>
          <w:sz w:val="24"/>
        </w:rPr>
        <w:t>名称：太平基金管理有限公司</w:t>
      </w:r>
    </w:p>
    <w:p w:rsidR="0066175D" w:rsidRDefault="00C269F6">
      <w:pPr>
        <w:spacing w:line="360" w:lineRule="auto"/>
        <w:ind w:firstLineChars="200" w:firstLine="480"/>
        <w:rPr>
          <w:kern w:val="0"/>
          <w:sz w:val="24"/>
        </w:rPr>
      </w:pPr>
      <w:r>
        <w:rPr>
          <w:kern w:val="0"/>
          <w:sz w:val="24"/>
        </w:rPr>
        <w:t>住所：</w:t>
      </w:r>
      <w:r>
        <w:rPr>
          <w:rFonts w:ascii="宋体" w:hint="eastAsia"/>
          <w:sz w:val="24"/>
        </w:rPr>
        <w:t>中国上海市虹口区邯郸路</w:t>
      </w:r>
      <w:r>
        <w:rPr>
          <w:bCs/>
          <w:kern w:val="0"/>
          <w:sz w:val="24"/>
        </w:rPr>
        <w:t>135</w:t>
      </w:r>
      <w:r>
        <w:rPr>
          <w:rFonts w:ascii="宋体" w:hint="eastAsia"/>
          <w:sz w:val="24"/>
        </w:rPr>
        <w:t>号</w:t>
      </w:r>
      <w:r>
        <w:rPr>
          <w:bCs/>
          <w:kern w:val="0"/>
          <w:sz w:val="24"/>
        </w:rPr>
        <w:t>5</w:t>
      </w:r>
      <w:r>
        <w:rPr>
          <w:rFonts w:ascii="宋体" w:hint="eastAsia"/>
          <w:sz w:val="24"/>
        </w:rPr>
        <w:t>幢</w:t>
      </w:r>
      <w:r>
        <w:rPr>
          <w:bCs/>
          <w:kern w:val="0"/>
          <w:sz w:val="24"/>
        </w:rPr>
        <w:t>101</w:t>
      </w:r>
      <w:r>
        <w:rPr>
          <w:rFonts w:ascii="宋体" w:hint="eastAsia"/>
          <w:sz w:val="24"/>
        </w:rPr>
        <w:t>室</w:t>
      </w:r>
    </w:p>
    <w:p w:rsidR="0066175D" w:rsidRDefault="00C269F6">
      <w:pPr>
        <w:spacing w:line="360" w:lineRule="auto"/>
        <w:ind w:firstLineChars="200" w:firstLine="480"/>
        <w:rPr>
          <w:kern w:val="0"/>
          <w:sz w:val="24"/>
        </w:rPr>
      </w:pPr>
      <w:r>
        <w:rPr>
          <w:kern w:val="0"/>
          <w:sz w:val="24"/>
        </w:rPr>
        <w:t>办公地址：</w:t>
      </w:r>
      <w:r>
        <w:rPr>
          <w:rFonts w:ascii="宋体" w:hint="eastAsia"/>
          <w:sz w:val="24"/>
        </w:rPr>
        <w:t>中国上海市浦东新区银城中路488号7楼</w:t>
      </w:r>
    </w:p>
    <w:p w:rsidR="0066175D" w:rsidRDefault="00C269F6">
      <w:pPr>
        <w:spacing w:line="360" w:lineRule="auto"/>
        <w:ind w:firstLineChars="200" w:firstLine="480"/>
        <w:rPr>
          <w:rFonts w:ascii="宋体"/>
          <w:sz w:val="24"/>
        </w:rPr>
      </w:pPr>
      <w:r>
        <w:rPr>
          <w:kern w:val="0"/>
          <w:sz w:val="24"/>
        </w:rPr>
        <w:t>法定代表人：</w:t>
      </w:r>
      <w:r w:rsidR="00010060">
        <w:rPr>
          <w:rFonts w:ascii="宋体" w:hint="eastAsia"/>
          <w:sz w:val="24"/>
        </w:rPr>
        <w:t>刘冬</w:t>
      </w:r>
    </w:p>
    <w:p w:rsidR="0066175D" w:rsidRDefault="00C269F6">
      <w:pPr>
        <w:spacing w:line="360" w:lineRule="auto"/>
        <w:ind w:firstLineChars="200" w:firstLine="480"/>
        <w:rPr>
          <w:kern w:val="0"/>
          <w:sz w:val="24"/>
        </w:rPr>
      </w:pPr>
      <w:r>
        <w:rPr>
          <w:rFonts w:hint="eastAsia"/>
          <w:kern w:val="0"/>
          <w:sz w:val="24"/>
        </w:rPr>
        <w:t>设立日期：</w:t>
      </w:r>
      <w:r>
        <w:rPr>
          <w:rFonts w:hint="eastAsia"/>
          <w:kern w:val="0"/>
          <w:sz w:val="24"/>
        </w:rPr>
        <w:t>2013</w:t>
      </w:r>
      <w:r>
        <w:rPr>
          <w:rFonts w:hint="eastAsia"/>
          <w:kern w:val="0"/>
          <w:sz w:val="24"/>
        </w:rPr>
        <w:t>年</w:t>
      </w:r>
      <w:r>
        <w:rPr>
          <w:rFonts w:hint="eastAsia"/>
          <w:kern w:val="0"/>
          <w:sz w:val="24"/>
        </w:rPr>
        <w:t>1</w:t>
      </w:r>
      <w:r>
        <w:rPr>
          <w:rFonts w:hint="eastAsia"/>
          <w:kern w:val="0"/>
          <w:sz w:val="24"/>
        </w:rPr>
        <w:t>月</w:t>
      </w:r>
      <w:r>
        <w:rPr>
          <w:rFonts w:hint="eastAsia"/>
          <w:kern w:val="0"/>
          <w:sz w:val="24"/>
        </w:rPr>
        <w:t>23</w:t>
      </w:r>
      <w:r>
        <w:rPr>
          <w:rFonts w:hint="eastAsia"/>
          <w:kern w:val="0"/>
          <w:sz w:val="24"/>
        </w:rPr>
        <w:t>日</w:t>
      </w:r>
    </w:p>
    <w:p w:rsidR="0066175D" w:rsidRDefault="00C269F6">
      <w:pPr>
        <w:spacing w:line="360" w:lineRule="auto"/>
        <w:ind w:firstLineChars="200" w:firstLine="480"/>
        <w:rPr>
          <w:kern w:val="0"/>
          <w:sz w:val="24"/>
        </w:rPr>
      </w:pPr>
      <w:r>
        <w:rPr>
          <w:rFonts w:hint="eastAsia"/>
          <w:kern w:val="0"/>
          <w:sz w:val="24"/>
        </w:rPr>
        <w:t>批准设立机关及批准设立文号：中国证监会证监许可</w:t>
      </w:r>
      <w:r>
        <w:rPr>
          <w:rFonts w:hint="eastAsia"/>
          <w:kern w:val="0"/>
          <w:sz w:val="24"/>
        </w:rPr>
        <w:t>[2012]1719</w:t>
      </w:r>
      <w:r>
        <w:rPr>
          <w:rFonts w:hint="eastAsia"/>
          <w:kern w:val="0"/>
          <w:sz w:val="24"/>
        </w:rPr>
        <w:t>号</w:t>
      </w:r>
    </w:p>
    <w:p w:rsidR="0066175D" w:rsidRDefault="00C269F6">
      <w:pPr>
        <w:spacing w:line="360" w:lineRule="auto"/>
        <w:ind w:firstLineChars="200" w:firstLine="480"/>
        <w:rPr>
          <w:kern w:val="0"/>
          <w:sz w:val="24"/>
        </w:rPr>
      </w:pPr>
      <w:r>
        <w:rPr>
          <w:rFonts w:hint="eastAsia"/>
          <w:kern w:val="0"/>
          <w:sz w:val="24"/>
        </w:rPr>
        <w:t>组织形式：有限责任公司</w:t>
      </w:r>
    </w:p>
    <w:p w:rsidR="0066175D" w:rsidRDefault="00C269F6">
      <w:pPr>
        <w:spacing w:line="360" w:lineRule="auto"/>
        <w:ind w:firstLineChars="200" w:firstLine="480"/>
        <w:rPr>
          <w:rFonts w:ascii="宋体"/>
          <w:sz w:val="24"/>
        </w:rPr>
      </w:pPr>
      <w:r>
        <w:rPr>
          <w:kern w:val="0"/>
          <w:sz w:val="24"/>
        </w:rPr>
        <w:t>注册资本：</w:t>
      </w:r>
      <w:r>
        <w:rPr>
          <w:rFonts w:ascii="宋体" w:hint="eastAsia"/>
          <w:sz w:val="24"/>
        </w:rPr>
        <w:t>人民币</w:t>
      </w:r>
      <w:r>
        <w:rPr>
          <w:rFonts w:hint="eastAsia"/>
          <w:bCs/>
          <w:kern w:val="0"/>
          <w:sz w:val="24"/>
        </w:rPr>
        <w:t>65</w:t>
      </w:r>
      <w:r>
        <w:rPr>
          <w:bCs/>
          <w:kern w:val="0"/>
          <w:sz w:val="24"/>
        </w:rPr>
        <w:t>000</w:t>
      </w:r>
      <w:r>
        <w:rPr>
          <w:rFonts w:ascii="宋体" w:hint="eastAsia"/>
          <w:sz w:val="24"/>
        </w:rPr>
        <w:t>万元</w:t>
      </w:r>
    </w:p>
    <w:p w:rsidR="0066175D" w:rsidRDefault="00C269F6">
      <w:pPr>
        <w:spacing w:line="360" w:lineRule="auto"/>
        <w:ind w:firstLineChars="200" w:firstLine="480"/>
        <w:rPr>
          <w:kern w:val="0"/>
          <w:sz w:val="24"/>
        </w:rPr>
      </w:pPr>
      <w:r>
        <w:rPr>
          <w:rFonts w:hint="eastAsia"/>
          <w:kern w:val="0"/>
          <w:sz w:val="24"/>
        </w:rPr>
        <w:t>存续期限：持续经营</w:t>
      </w:r>
    </w:p>
    <w:p w:rsidR="0066175D" w:rsidRDefault="00C269F6">
      <w:pPr>
        <w:spacing w:line="360" w:lineRule="auto"/>
        <w:ind w:firstLineChars="200" w:firstLine="562"/>
        <w:rPr>
          <w:b/>
          <w:bCs/>
          <w:sz w:val="28"/>
        </w:rPr>
      </w:pPr>
      <w:bookmarkStart w:id="79" w:name="_Toc109560374"/>
      <w:r>
        <w:rPr>
          <w:rFonts w:hint="eastAsia"/>
          <w:b/>
          <w:bCs/>
          <w:sz w:val="28"/>
        </w:rPr>
        <w:t>（二）基金托管人</w:t>
      </w:r>
      <w:bookmarkEnd w:id="79"/>
    </w:p>
    <w:p w:rsidR="00010060" w:rsidRPr="00010060" w:rsidRDefault="00010060" w:rsidP="00010060">
      <w:pPr>
        <w:spacing w:line="360" w:lineRule="auto"/>
        <w:ind w:firstLineChars="200" w:firstLine="480"/>
        <w:rPr>
          <w:rFonts w:ascii="宋体"/>
          <w:bCs/>
          <w:color w:val="000000"/>
          <w:sz w:val="24"/>
        </w:rPr>
      </w:pPr>
      <w:bookmarkStart w:id="80" w:name="_Toc109560379"/>
      <w:r w:rsidRPr="00010060">
        <w:rPr>
          <w:rFonts w:ascii="宋体" w:hint="eastAsia"/>
          <w:bCs/>
          <w:color w:val="000000"/>
          <w:sz w:val="24"/>
        </w:rPr>
        <w:t>名称：上海银行股份有限公司（以下简称“上海银行”）</w:t>
      </w:r>
    </w:p>
    <w:p w:rsidR="00010060" w:rsidRPr="00010060" w:rsidRDefault="00010060" w:rsidP="00010060">
      <w:pPr>
        <w:spacing w:line="360" w:lineRule="auto"/>
        <w:ind w:firstLineChars="200" w:firstLine="480"/>
        <w:rPr>
          <w:rFonts w:ascii="宋体"/>
          <w:bCs/>
          <w:color w:val="000000"/>
          <w:sz w:val="24"/>
        </w:rPr>
      </w:pPr>
      <w:r w:rsidRPr="00010060">
        <w:rPr>
          <w:rFonts w:ascii="宋体" w:hint="eastAsia"/>
          <w:bCs/>
          <w:color w:val="000000"/>
          <w:sz w:val="24"/>
        </w:rPr>
        <w:t>住所：中国（上海）自由贸易试验区银城中路168号</w:t>
      </w:r>
    </w:p>
    <w:p w:rsidR="00010060" w:rsidRPr="00010060" w:rsidRDefault="00010060" w:rsidP="00010060">
      <w:pPr>
        <w:spacing w:line="360" w:lineRule="auto"/>
        <w:ind w:firstLineChars="200" w:firstLine="480"/>
        <w:rPr>
          <w:rFonts w:ascii="宋体"/>
          <w:bCs/>
          <w:color w:val="000000"/>
          <w:sz w:val="24"/>
        </w:rPr>
      </w:pPr>
      <w:r w:rsidRPr="00010060">
        <w:rPr>
          <w:rFonts w:ascii="宋体" w:hint="eastAsia"/>
          <w:bCs/>
          <w:color w:val="000000"/>
          <w:sz w:val="24"/>
        </w:rPr>
        <w:t>办公地址：中国（上海）自由贸易试验区银城中路168号</w:t>
      </w:r>
    </w:p>
    <w:p w:rsidR="00010060" w:rsidRPr="00010060" w:rsidRDefault="00010060" w:rsidP="00010060">
      <w:pPr>
        <w:spacing w:line="360" w:lineRule="auto"/>
        <w:ind w:firstLineChars="200" w:firstLine="480"/>
        <w:rPr>
          <w:rFonts w:ascii="宋体"/>
          <w:bCs/>
          <w:color w:val="000000"/>
          <w:sz w:val="24"/>
        </w:rPr>
      </w:pPr>
      <w:r w:rsidRPr="00010060">
        <w:rPr>
          <w:rFonts w:ascii="宋体" w:hint="eastAsia"/>
          <w:bCs/>
          <w:color w:val="000000"/>
          <w:sz w:val="24"/>
        </w:rPr>
        <w:t>法定代表人：金煜</w:t>
      </w:r>
    </w:p>
    <w:p w:rsidR="00010060" w:rsidRPr="00010060" w:rsidRDefault="00010060" w:rsidP="00010060">
      <w:pPr>
        <w:spacing w:line="360" w:lineRule="auto"/>
        <w:ind w:firstLineChars="200" w:firstLine="480"/>
        <w:rPr>
          <w:rFonts w:ascii="宋体"/>
          <w:bCs/>
          <w:color w:val="000000"/>
          <w:sz w:val="24"/>
        </w:rPr>
      </w:pPr>
      <w:r w:rsidRPr="00010060">
        <w:rPr>
          <w:rFonts w:ascii="宋体" w:hint="eastAsia"/>
          <w:bCs/>
          <w:color w:val="000000"/>
          <w:sz w:val="24"/>
        </w:rPr>
        <w:t>成立时间：1995年12月29日</w:t>
      </w:r>
    </w:p>
    <w:p w:rsidR="00010060" w:rsidRPr="00010060" w:rsidRDefault="00010060" w:rsidP="00010060">
      <w:pPr>
        <w:spacing w:line="360" w:lineRule="auto"/>
        <w:ind w:firstLineChars="200" w:firstLine="480"/>
        <w:rPr>
          <w:rFonts w:ascii="宋体"/>
          <w:bCs/>
          <w:color w:val="000000"/>
          <w:sz w:val="24"/>
        </w:rPr>
      </w:pPr>
      <w:r w:rsidRPr="00010060">
        <w:rPr>
          <w:rFonts w:ascii="宋体" w:hint="eastAsia"/>
          <w:bCs/>
          <w:color w:val="000000"/>
          <w:sz w:val="24"/>
        </w:rPr>
        <w:t>组织形式：股份有限公司（中外合资、上市）</w:t>
      </w:r>
    </w:p>
    <w:p w:rsidR="00010060" w:rsidRPr="00010060" w:rsidRDefault="00010060" w:rsidP="00010060">
      <w:pPr>
        <w:spacing w:line="360" w:lineRule="auto"/>
        <w:ind w:firstLineChars="200" w:firstLine="480"/>
        <w:rPr>
          <w:rFonts w:ascii="宋体"/>
          <w:bCs/>
          <w:color w:val="000000"/>
          <w:sz w:val="24"/>
        </w:rPr>
      </w:pPr>
      <w:r w:rsidRPr="00010060">
        <w:rPr>
          <w:rFonts w:ascii="宋体" w:hint="eastAsia"/>
          <w:bCs/>
          <w:color w:val="000000"/>
          <w:sz w:val="24"/>
        </w:rPr>
        <w:t>注册资本：人民币142.065287亿元</w:t>
      </w:r>
    </w:p>
    <w:p w:rsidR="00010060" w:rsidRDefault="00010060">
      <w:pPr>
        <w:spacing w:line="360" w:lineRule="auto"/>
        <w:ind w:firstLineChars="234" w:firstLine="562"/>
        <w:rPr>
          <w:rFonts w:ascii="宋体"/>
          <w:bCs/>
          <w:color w:val="000000"/>
          <w:sz w:val="24"/>
        </w:rPr>
      </w:pPr>
      <w:r w:rsidRPr="00010060">
        <w:rPr>
          <w:rFonts w:ascii="宋体" w:hint="eastAsia"/>
          <w:bCs/>
          <w:color w:val="000000"/>
          <w:sz w:val="24"/>
        </w:rPr>
        <w:t>存续期间：持续经营</w:t>
      </w:r>
    </w:p>
    <w:p w:rsidR="0066175D" w:rsidRDefault="00010060" w:rsidP="00010060">
      <w:pPr>
        <w:spacing w:line="360" w:lineRule="auto"/>
        <w:ind w:firstLineChars="234" w:firstLine="562"/>
        <w:rPr>
          <w:rFonts w:ascii="宋体"/>
          <w:bCs/>
          <w:color w:val="000000"/>
          <w:sz w:val="24"/>
        </w:rPr>
      </w:pPr>
      <w:r w:rsidRPr="00010060">
        <w:rPr>
          <w:rFonts w:ascii="宋体" w:hint="eastAsia"/>
          <w:bCs/>
          <w:color w:val="000000"/>
          <w:sz w:val="24"/>
        </w:rPr>
        <w:t>基金托管业务批准文号：中国证监会 证监许可[2009]814号</w:t>
      </w:r>
    </w:p>
    <w:p w:rsidR="0066175D" w:rsidRDefault="00C269F6">
      <w:pPr>
        <w:spacing w:line="360" w:lineRule="auto"/>
        <w:ind w:firstLineChars="200" w:firstLine="562"/>
        <w:rPr>
          <w:b/>
          <w:bCs/>
          <w:sz w:val="28"/>
        </w:rPr>
      </w:pPr>
      <w:r>
        <w:rPr>
          <w:b/>
          <w:bCs/>
          <w:sz w:val="28"/>
        </w:rPr>
        <w:t>（</w:t>
      </w:r>
      <w:r>
        <w:rPr>
          <w:rFonts w:hint="eastAsia"/>
          <w:b/>
          <w:bCs/>
          <w:sz w:val="28"/>
        </w:rPr>
        <w:t>三</w:t>
      </w:r>
      <w:r>
        <w:rPr>
          <w:b/>
          <w:bCs/>
          <w:sz w:val="28"/>
        </w:rPr>
        <w:t>）基金份额登记机构</w:t>
      </w:r>
    </w:p>
    <w:p w:rsidR="0066175D" w:rsidRDefault="00C269F6">
      <w:pPr>
        <w:spacing w:line="360" w:lineRule="auto"/>
        <w:ind w:firstLineChars="200" w:firstLine="480"/>
        <w:rPr>
          <w:sz w:val="24"/>
        </w:rPr>
      </w:pPr>
      <w:r>
        <w:rPr>
          <w:sz w:val="24"/>
        </w:rPr>
        <w:t>名称：太平基金管理有限公司</w:t>
      </w:r>
    </w:p>
    <w:p w:rsidR="0066175D" w:rsidRDefault="00C269F6">
      <w:pPr>
        <w:spacing w:line="360" w:lineRule="auto"/>
        <w:ind w:firstLineChars="200" w:firstLine="480"/>
        <w:rPr>
          <w:sz w:val="24"/>
        </w:rPr>
      </w:pPr>
      <w:r>
        <w:rPr>
          <w:sz w:val="24"/>
        </w:rPr>
        <w:t>住所：</w:t>
      </w:r>
      <w:r>
        <w:rPr>
          <w:rFonts w:hint="eastAsia"/>
          <w:sz w:val="24"/>
        </w:rPr>
        <w:t>中国上海市虹口区邯郸路</w:t>
      </w:r>
      <w:r>
        <w:rPr>
          <w:rFonts w:hint="eastAsia"/>
          <w:sz w:val="24"/>
        </w:rPr>
        <w:t>135</w:t>
      </w:r>
      <w:r>
        <w:rPr>
          <w:rFonts w:hint="eastAsia"/>
          <w:sz w:val="24"/>
        </w:rPr>
        <w:t>号</w:t>
      </w:r>
      <w:r>
        <w:rPr>
          <w:rFonts w:hint="eastAsia"/>
          <w:sz w:val="24"/>
        </w:rPr>
        <w:t>5</w:t>
      </w:r>
      <w:r>
        <w:rPr>
          <w:rFonts w:hint="eastAsia"/>
          <w:sz w:val="24"/>
        </w:rPr>
        <w:t>幢</w:t>
      </w:r>
      <w:r>
        <w:rPr>
          <w:rFonts w:hint="eastAsia"/>
          <w:sz w:val="24"/>
        </w:rPr>
        <w:t>101</w:t>
      </w:r>
      <w:r>
        <w:rPr>
          <w:rFonts w:hint="eastAsia"/>
          <w:sz w:val="24"/>
        </w:rPr>
        <w:t>室</w:t>
      </w:r>
    </w:p>
    <w:p w:rsidR="0066175D" w:rsidRDefault="00C269F6">
      <w:pPr>
        <w:spacing w:line="360" w:lineRule="auto"/>
        <w:ind w:firstLineChars="200" w:firstLine="480"/>
        <w:rPr>
          <w:sz w:val="24"/>
        </w:rPr>
      </w:pPr>
      <w:r>
        <w:rPr>
          <w:rFonts w:hint="eastAsia"/>
          <w:sz w:val="24"/>
        </w:rPr>
        <w:t>办公地址：</w:t>
      </w:r>
      <w:r>
        <w:rPr>
          <w:rFonts w:ascii="宋体" w:hint="eastAsia"/>
          <w:sz w:val="24"/>
        </w:rPr>
        <w:t>中国上海浦东新</w:t>
      </w:r>
      <w:r>
        <w:rPr>
          <w:rFonts w:hint="eastAsia"/>
          <w:sz w:val="24"/>
        </w:rPr>
        <w:t>区银城中路</w:t>
      </w:r>
      <w:r>
        <w:rPr>
          <w:rFonts w:hint="eastAsia"/>
          <w:sz w:val="24"/>
        </w:rPr>
        <w:t>488</w:t>
      </w:r>
      <w:r>
        <w:rPr>
          <w:rFonts w:hint="eastAsia"/>
          <w:sz w:val="24"/>
        </w:rPr>
        <w:t>号</w:t>
      </w:r>
      <w:r>
        <w:rPr>
          <w:rFonts w:hint="eastAsia"/>
          <w:sz w:val="24"/>
        </w:rPr>
        <w:t>7</w:t>
      </w:r>
      <w:r>
        <w:rPr>
          <w:rFonts w:hint="eastAsia"/>
          <w:sz w:val="24"/>
        </w:rPr>
        <w:t>楼</w:t>
      </w:r>
    </w:p>
    <w:p w:rsidR="0066175D" w:rsidRDefault="00C269F6">
      <w:pPr>
        <w:spacing w:line="360" w:lineRule="auto"/>
        <w:ind w:firstLineChars="200" w:firstLine="480"/>
        <w:rPr>
          <w:sz w:val="24"/>
        </w:rPr>
      </w:pPr>
      <w:r>
        <w:rPr>
          <w:sz w:val="24"/>
        </w:rPr>
        <w:t>法定</w:t>
      </w:r>
      <w:r>
        <w:rPr>
          <w:rFonts w:ascii="宋体"/>
          <w:bCs/>
          <w:kern w:val="0"/>
          <w:sz w:val="24"/>
        </w:rPr>
        <w:t>代表</w:t>
      </w:r>
      <w:r>
        <w:rPr>
          <w:sz w:val="24"/>
        </w:rPr>
        <w:t>人：</w:t>
      </w:r>
      <w:r w:rsidR="00010060">
        <w:rPr>
          <w:rFonts w:hint="eastAsia"/>
          <w:sz w:val="24"/>
        </w:rPr>
        <w:t>刘冬</w:t>
      </w:r>
    </w:p>
    <w:p w:rsidR="0066175D" w:rsidRDefault="00C269F6">
      <w:pPr>
        <w:spacing w:line="360" w:lineRule="auto"/>
        <w:ind w:firstLineChars="200" w:firstLine="480"/>
        <w:rPr>
          <w:sz w:val="24"/>
          <w:szCs w:val="20"/>
        </w:rPr>
      </w:pPr>
      <w:r>
        <w:rPr>
          <w:rFonts w:hint="eastAsia"/>
          <w:sz w:val="24"/>
          <w:szCs w:val="20"/>
        </w:rPr>
        <w:t>联系人：王瑞瑾</w:t>
      </w:r>
    </w:p>
    <w:p w:rsidR="0066175D" w:rsidRDefault="00C269F6">
      <w:pPr>
        <w:spacing w:line="360" w:lineRule="auto"/>
        <w:ind w:firstLineChars="200" w:firstLine="480"/>
        <w:rPr>
          <w:sz w:val="24"/>
          <w:szCs w:val="20"/>
        </w:rPr>
      </w:pPr>
      <w:r>
        <w:rPr>
          <w:rFonts w:hint="eastAsia"/>
          <w:sz w:val="24"/>
          <w:szCs w:val="20"/>
        </w:rPr>
        <w:t>联系电话：</w:t>
      </w:r>
      <w:r>
        <w:rPr>
          <w:rFonts w:hint="eastAsia"/>
          <w:sz w:val="24"/>
          <w:szCs w:val="20"/>
        </w:rPr>
        <w:t>021-38556651</w:t>
      </w:r>
    </w:p>
    <w:p w:rsidR="0066175D" w:rsidRDefault="00C269F6">
      <w:pPr>
        <w:spacing w:line="360" w:lineRule="auto"/>
        <w:ind w:firstLineChars="200" w:firstLine="562"/>
        <w:rPr>
          <w:b/>
          <w:bCs/>
          <w:sz w:val="28"/>
        </w:rPr>
      </w:pPr>
      <w:r>
        <w:rPr>
          <w:b/>
          <w:bCs/>
          <w:sz w:val="28"/>
        </w:rPr>
        <w:t>（</w:t>
      </w:r>
      <w:r>
        <w:rPr>
          <w:rFonts w:hint="eastAsia"/>
          <w:b/>
          <w:bCs/>
          <w:sz w:val="28"/>
        </w:rPr>
        <w:t>四</w:t>
      </w:r>
      <w:r>
        <w:rPr>
          <w:b/>
          <w:bCs/>
          <w:sz w:val="28"/>
        </w:rPr>
        <w:t>）律师事务所</w:t>
      </w:r>
    </w:p>
    <w:p w:rsidR="0066175D" w:rsidRDefault="00C269F6">
      <w:pPr>
        <w:spacing w:line="360" w:lineRule="auto"/>
        <w:ind w:firstLineChars="200" w:firstLine="480"/>
        <w:rPr>
          <w:bCs/>
          <w:kern w:val="0"/>
          <w:sz w:val="24"/>
          <w:szCs w:val="20"/>
        </w:rPr>
      </w:pPr>
      <w:r>
        <w:rPr>
          <w:rFonts w:hint="eastAsia"/>
          <w:bCs/>
          <w:kern w:val="0"/>
          <w:sz w:val="24"/>
          <w:szCs w:val="20"/>
        </w:rPr>
        <w:t>名称：上海市通力律师事务所</w:t>
      </w:r>
    </w:p>
    <w:p w:rsidR="0066175D" w:rsidRDefault="00C269F6">
      <w:pPr>
        <w:spacing w:line="360" w:lineRule="auto"/>
        <w:ind w:firstLineChars="200" w:firstLine="480"/>
        <w:rPr>
          <w:bCs/>
          <w:kern w:val="0"/>
          <w:sz w:val="24"/>
          <w:szCs w:val="20"/>
        </w:rPr>
      </w:pPr>
      <w:r>
        <w:rPr>
          <w:rFonts w:hint="eastAsia"/>
          <w:bCs/>
          <w:kern w:val="0"/>
          <w:sz w:val="24"/>
          <w:szCs w:val="20"/>
        </w:rPr>
        <w:t>住所：上海市银城中路</w:t>
      </w:r>
      <w:r>
        <w:rPr>
          <w:rFonts w:hint="eastAsia"/>
          <w:bCs/>
          <w:kern w:val="0"/>
          <w:sz w:val="24"/>
          <w:szCs w:val="20"/>
        </w:rPr>
        <w:t>68</w:t>
      </w:r>
      <w:r>
        <w:rPr>
          <w:rFonts w:hint="eastAsia"/>
          <w:bCs/>
          <w:kern w:val="0"/>
          <w:sz w:val="24"/>
          <w:szCs w:val="20"/>
        </w:rPr>
        <w:t>号时代金融中心</w:t>
      </w:r>
      <w:r>
        <w:rPr>
          <w:rFonts w:hint="eastAsia"/>
          <w:bCs/>
          <w:kern w:val="0"/>
          <w:sz w:val="24"/>
          <w:szCs w:val="20"/>
        </w:rPr>
        <w:t>19</w:t>
      </w:r>
      <w:r>
        <w:rPr>
          <w:rFonts w:hint="eastAsia"/>
          <w:bCs/>
          <w:kern w:val="0"/>
          <w:sz w:val="24"/>
          <w:szCs w:val="20"/>
        </w:rPr>
        <w:t>楼</w:t>
      </w:r>
    </w:p>
    <w:p w:rsidR="0066175D" w:rsidRDefault="00C269F6">
      <w:pPr>
        <w:spacing w:line="360" w:lineRule="auto"/>
        <w:ind w:firstLineChars="200" w:firstLine="480"/>
        <w:rPr>
          <w:bCs/>
          <w:kern w:val="0"/>
          <w:sz w:val="24"/>
          <w:szCs w:val="20"/>
        </w:rPr>
      </w:pPr>
      <w:r>
        <w:rPr>
          <w:rFonts w:hint="eastAsia"/>
          <w:bCs/>
          <w:kern w:val="0"/>
          <w:sz w:val="24"/>
          <w:szCs w:val="20"/>
        </w:rPr>
        <w:t>办公地址：上海市银城中路</w:t>
      </w:r>
      <w:r>
        <w:rPr>
          <w:rFonts w:hint="eastAsia"/>
          <w:bCs/>
          <w:kern w:val="0"/>
          <w:sz w:val="24"/>
          <w:szCs w:val="20"/>
        </w:rPr>
        <w:t>68</w:t>
      </w:r>
      <w:r>
        <w:rPr>
          <w:rFonts w:hint="eastAsia"/>
          <w:bCs/>
          <w:kern w:val="0"/>
          <w:sz w:val="24"/>
          <w:szCs w:val="20"/>
        </w:rPr>
        <w:t>号时代金融中心</w:t>
      </w:r>
      <w:r>
        <w:rPr>
          <w:rFonts w:hint="eastAsia"/>
          <w:bCs/>
          <w:kern w:val="0"/>
          <w:sz w:val="24"/>
          <w:szCs w:val="20"/>
        </w:rPr>
        <w:t>19</w:t>
      </w:r>
      <w:r>
        <w:rPr>
          <w:rFonts w:hint="eastAsia"/>
          <w:bCs/>
          <w:kern w:val="0"/>
          <w:sz w:val="24"/>
          <w:szCs w:val="20"/>
        </w:rPr>
        <w:t>楼</w:t>
      </w:r>
    </w:p>
    <w:p w:rsidR="0066175D" w:rsidRDefault="00C269F6">
      <w:pPr>
        <w:spacing w:line="360" w:lineRule="auto"/>
        <w:ind w:firstLineChars="200" w:firstLine="480"/>
        <w:rPr>
          <w:bCs/>
          <w:kern w:val="0"/>
          <w:sz w:val="24"/>
          <w:szCs w:val="20"/>
        </w:rPr>
      </w:pPr>
      <w:r>
        <w:rPr>
          <w:rFonts w:hint="eastAsia"/>
          <w:bCs/>
          <w:kern w:val="0"/>
          <w:sz w:val="24"/>
          <w:szCs w:val="20"/>
        </w:rPr>
        <w:t>负责人：韩炯</w:t>
      </w:r>
    </w:p>
    <w:p w:rsidR="0066175D" w:rsidRDefault="00C269F6">
      <w:pPr>
        <w:spacing w:line="360" w:lineRule="auto"/>
        <w:ind w:firstLineChars="200" w:firstLine="480"/>
        <w:rPr>
          <w:bCs/>
          <w:kern w:val="0"/>
          <w:sz w:val="24"/>
          <w:szCs w:val="20"/>
        </w:rPr>
      </w:pPr>
      <w:r>
        <w:rPr>
          <w:rFonts w:hint="eastAsia"/>
          <w:bCs/>
          <w:kern w:val="0"/>
          <w:sz w:val="24"/>
          <w:szCs w:val="20"/>
        </w:rPr>
        <w:t>电话：（</w:t>
      </w:r>
      <w:r>
        <w:rPr>
          <w:rFonts w:hint="eastAsia"/>
          <w:bCs/>
          <w:kern w:val="0"/>
          <w:sz w:val="24"/>
          <w:szCs w:val="20"/>
        </w:rPr>
        <w:t>021</w:t>
      </w:r>
      <w:r>
        <w:rPr>
          <w:rFonts w:hint="eastAsia"/>
          <w:bCs/>
          <w:kern w:val="0"/>
          <w:sz w:val="24"/>
          <w:szCs w:val="20"/>
        </w:rPr>
        <w:t>）</w:t>
      </w:r>
      <w:r>
        <w:rPr>
          <w:rFonts w:hint="eastAsia"/>
          <w:bCs/>
          <w:kern w:val="0"/>
          <w:sz w:val="24"/>
          <w:szCs w:val="20"/>
        </w:rPr>
        <w:t>31358666</w:t>
      </w:r>
    </w:p>
    <w:p w:rsidR="0066175D" w:rsidRDefault="00C269F6">
      <w:pPr>
        <w:spacing w:line="360" w:lineRule="auto"/>
        <w:ind w:firstLineChars="200" w:firstLine="480"/>
        <w:rPr>
          <w:bCs/>
          <w:kern w:val="0"/>
          <w:sz w:val="24"/>
          <w:szCs w:val="20"/>
        </w:rPr>
      </w:pPr>
      <w:r>
        <w:rPr>
          <w:rFonts w:hint="eastAsia"/>
          <w:bCs/>
          <w:kern w:val="0"/>
          <w:sz w:val="24"/>
          <w:szCs w:val="20"/>
        </w:rPr>
        <w:t>传真：（</w:t>
      </w:r>
      <w:r>
        <w:rPr>
          <w:rFonts w:hint="eastAsia"/>
          <w:bCs/>
          <w:kern w:val="0"/>
          <w:sz w:val="24"/>
          <w:szCs w:val="20"/>
        </w:rPr>
        <w:t>021</w:t>
      </w:r>
      <w:r>
        <w:rPr>
          <w:rFonts w:hint="eastAsia"/>
          <w:bCs/>
          <w:kern w:val="0"/>
          <w:sz w:val="24"/>
          <w:szCs w:val="20"/>
        </w:rPr>
        <w:t>）</w:t>
      </w:r>
      <w:r>
        <w:rPr>
          <w:rFonts w:hint="eastAsia"/>
          <w:bCs/>
          <w:kern w:val="0"/>
          <w:sz w:val="24"/>
          <w:szCs w:val="20"/>
        </w:rPr>
        <w:t>31358600</w:t>
      </w:r>
    </w:p>
    <w:p w:rsidR="0066175D" w:rsidRDefault="00C269F6">
      <w:pPr>
        <w:spacing w:line="360" w:lineRule="auto"/>
        <w:ind w:firstLineChars="200" w:firstLine="480"/>
        <w:rPr>
          <w:bCs/>
          <w:kern w:val="0"/>
          <w:sz w:val="24"/>
          <w:szCs w:val="20"/>
        </w:rPr>
      </w:pPr>
      <w:r>
        <w:rPr>
          <w:rFonts w:hint="eastAsia"/>
          <w:bCs/>
          <w:kern w:val="0"/>
          <w:sz w:val="24"/>
          <w:szCs w:val="20"/>
        </w:rPr>
        <w:t>经办律师：黎明、陈颖华</w:t>
      </w:r>
    </w:p>
    <w:p w:rsidR="0066175D" w:rsidRDefault="00C269F6">
      <w:pPr>
        <w:spacing w:line="360" w:lineRule="auto"/>
        <w:ind w:firstLineChars="200" w:firstLine="480"/>
        <w:rPr>
          <w:bCs/>
          <w:color w:val="000000"/>
          <w:sz w:val="24"/>
        </w:rPr>
      </w:pPr>
      <w:r>
        <w:rPr>
          <w:rFonts w:hint="eastAsia"/>
          <w:bCs/>
          <w:kern w:val="0"/>
          <w:sz w:val="24"/>
          <w:szCs w:val="20"/>
        </w:rPr>
        <w:t>联系人：陈颖华</w:t>
      </w:r>
    </w:p>
    <w:p w:rsidR="0066175D" w:rsidRDefault="00C269F6">
      <w:pPr>
        <w:spacing w:line="360" w:lineRule="auto"/>
        <w:ind w:firstLineChars="200" w:firstLine="562"/>
        <w:rPr>
          <w:b/>
          <w:bCs/>
          <w:sz w:val="28"/>
        </w:rPr>
      </w:pPr>
      <w:r>
        <w:rPr>
          <w:b/>
          <w:bCs/>
          <w:sz w:val="28"/>
        </w:rPr>
        <w:t>（</w:t>
      </w:r>
      <w:r>
        <w:rPr>
          <w:rFonts w:hint="eastAsia"/>
          <w:b/>
          <w:bCs/>
          <w:sz w:val="28"/>
        </w:rPr>
        <w:t>五</w:t>
      </w:r>
      <w:r>
        <w:rPr>
          <w:b/>
          <w:bCs/>
          <w:sz w:val="28"/>
        </w:rPr>
        <w:t>）会计师事务所</w:t>
      </w:r>
      <w:bookmarkEnd w:id="80"/>
    </w:p>
    <w:p w:rsidR="00010060" w:rsidRPr="00010060" w:rsidRDefault="00010060" w:rsidP="00010060">
      <w:pPr>
        <w:spacing w:line="360" w:lineRule="auto"/>
        <w:ind w:firstLineChars="200" w:firstLine="480"/>
        <w:rPr>
          <w:bCs/>
          <w:kern w:val="0"/>
          <w:sz w:val="24"/>
          <w:szCs w:val="20"/>
        </w:rPr>
      </w:pPr>
      <w:r w:rsidRPr="00010060">
        <w:rPr>
          <w:rFonts w:hint="eastAsia"/>
          <w:bCs/>
          <w:kern w:val="0"/>
          <w:sz w:val="24"/>
          <w:szCs w:val="20"/>
        </w:rPr>
        <w:t>名称：毕马威华振会计师事务所</w:t>
      </w:r>
      <w:r w:rsidRPr="00010060">
        <w:rPr>
          <w:rFonts w:hint="eastAsia"/>
          <w:bCs/>
          <w:kern w:val="0"/>
          <w:sz w:val="24"/>
          <w:szCs w:val="20"/>
        </w:rPr>
        <w:t>(</w:t>
      </w:r>
      <w:r w:rsidRPr="00010060">
        <w:rPr>
          <w:rFonts w:hint="eastAsia"/>
          <w:bCs/>
          <w:kern w:val="0"/>
          <w:sz w:val="24"/>
          <w:szCs w:val="20"/>
        </w:rPr>
        <w:t>特殊普通合伙</w:t>
      </w:r>
      <w:r w:rsidRPr="00010060">
        <w:rPr>
          <w:rFonts w:hint="eastAsia"/>
          <w:bCs/>
          <w:kern w:val="0"/>
          <w:sz w:val="24"/>
          <w:szCs w:val="20"/>
        </w:rPr>
        <w:t>)</w:t>
      </w:r>
    </w:p>
    <w:p w:rsidR="00010060" w:rsidRPr="00010060" w:rsidRDefault="00010060" w:rsidP="00010060">
      <w:pPr>
        <w:spacing w:line="360" w:lineRule="auto"/>
        <w:ind w:firstLineChars="200" w:firstLine="480"/>
        <w:rPr>
          <w:bCs/>
          <w:kern w:val="0"/>
          <w:sz w:val="24"/>
          <w:szCs w:val="20"/>
        </w:rPr>
      </w:pPr>
      <w:r w:rsidRPr="00010060">
        <w:rPr>
          <w:rFonts w:hint="eastAsia"/>
          <w:bCs/>
          <w:kern w:val="0"/>
          <w:sz w:val="24"/>
          <w:szCs w:val="20"/>
        </w:rPr>
        <w:t>住所：北京市东长安街</w:t>
      </w:r>
      <w:r w:rsidRPr="00010060">
        <w:rPr>
          <w:rFonts w:hint="eastAsia"/>
          <w:bCs/>
          <w:kern w:val="0"/>
          <w:sz w:val="24"/>
          <w:szCs w:val="20"/>
        </w:rPr>
        <w:t>1</w:t>
      </w:r>
      <w:r w:rsidRPr="00010060">
        <w:rPr>
          <w:rFonts w:hint="eastAsia"/>
          <w:bCs/>
          <w:kern w:val="0"/>
          <w:sz w:val="24"/>
          <w:szCs w:val="20"/>
        </w:rPr>
        <w:t>号东方广场毕马威大楼</w:t>
      </w:r>
      <w:r w:rsidRPr="00010060">
        <w:rPr>
          <w:rFonts w:hint="eastAsia"/>
          <w:bCs/>
          <w:kern w:val="0"/>
          <w:sz w:val="24"/>
          <w:szCs w:val="20"/>
        </w:rPr>
        <w:t>8</w:t>
      </w:r>
      <w:r w:rsidRPr="00010060">
        <w:rPr>
          <w:rFonts w:hint="eastAsia"/>
          <w:bCs/>
          <w:kern w:val="0"/>
          <w:sz w:val="24"/>
          <w:szCs w:val="20"/>
        </w:rPr>
        <w:t>层</w:t>
      </w:r>
    </w:p>
    <w:p w:rsidR="00010060" w:rsidRPr="00010060" w:rsidRDefault="00010060" w:rsidP="00010060">
      <w:pPr>
        <w:spacing w:line="360" w:lineRule="auto"/>
        <w:ind w:firstLineChars="200" w:firstLine="480"/>
        <w:rPr>
          <w:bCs/>
          <w:kern w:val="0"/>
          <w:sz w:val="24"/>
          <w:szCs w:val="20"/>
        </w:rPr>
      </w:pPr>
      <w:r w:rsidRPr="00010060">
        <w:rPr>
          <w:rFonts w:hint="eastAsia"/>
          <w:bCs/>
          <w:kern w:val="0"/>
          <w:sz w:val="24"/>
          <w:szCs w:val="20"/>
        </w:rPr>
        <w:t>办公地址：上海市南京西路</w:t>
      </w:r>
      <w:r w:rsidRPr="00010060">
        <w:rPr>
          <w:rFonts w:hint="eastAsia"/>
          <w:bCs/>
          <w:kern w:val="0"/>
          <w:sz w:val="24"/>
          <w:szCs w:val="20"/>
        </w:rPr>
        <w:t>1266</w:t>
      </w:r>
      <w:r w:rsidRPr="00010060">
        <w:rPr>
          <w:rFonts w:hint="eastAsia"/>
          <w:bCs/>
          <w:kern w:val="0"/>
          <w:sz w:val="24"/>
          <w:szCs w:val="20"/>
        </w:rPr>
        <w:t>号恒隆广场</w:t>
      </w:r>
      <w:r w:rsidRPr="00010060">
        <w:rPr>
          <w:rFonts w:hint="eastAsia"/>
          <w:bCs/>
          <w:kern w:val="0"/>
          <w:sz w:val="24"/>
          <w:szCs w:val="20"/>
        </w:rPr>
        <w:t>50</w:t>
      </w:r>
      <w:r w:rsidRPr="00010060">
        <w:rPr>
          <w:rFonts w:hint="eastAsia"/>
          <w:bCs/>
          <w:kern w:val="0"/>
          <w:sz w:val="24"/>
          <w:szCs w:val="20"/>
        </w:rPr>
        <w:t>楼</w:t>
      </w:r>
    </w:p>
    <w:p w:rsidR="00010060" w:rsidRPr="00010060" w:rsidRDefault="00010060" w:rsidP="00010060">
      <w:pPr>
        <w:spacing w:line="360" w:lineRule="auto"/>
        <w:ind w:firstLineChars="200" w:firstLine="480"/>
        <w:rPr>
          <w:bCs/>
          <w:kern w:val="0"/>
          <w:sz w:val="24"/>
          <w:szCs w:val="20"/>
        </w:rPr>
      </w:pPr>
      <w:r w:rsidRPr="00010060">
        <w:rPr>
          <w:rFonts w:hint="eastAsia"/>
          <w:bCs/>
          <w:kern w:val="0"/>
          <w:sz w:val="24"/>
          <w:szCs w:val="20"/>
        </w:rPr>
        <w:t>法定代表人：邹俊</w:t>
      </w:r>
    </w:p>
    <w:p w:rsidR="00010060" w:rsidRPr="00010060" w:rsidRDefault="00010060" w:rsidP="00010060">
      <w:pPr>
        <w:spacing w:line="360" w:lineRule="auto"/>
        <w:ind w:firstLineChars="200" w:firstLine="480"/>
        <w:rPr>
          <w:bCs/>
          <w:kern w:val="0"/>
          <w:sz w:val="24"/>
          <w:szCs w:val="20"/>
        </w:rPr>
      </w:pPr>
      <w:r w:rsidRPr="00010060">
        <w:rPr>
          <w:rFonts w:hint="eastAsia"/>
          <w:bCs/>
          <w:kern w:val="0"/>
          <w:sz w:val="24"/>
          <w:szCs w:val="20"/>
        </w:rPr>
        <w:t>联系电话：（</w:t>
      </w:r>
      <w:r w:rsidRPr="00010060">
        <w:rPr>
          <w:rFonts w:hint="eastAsia"/>
          <w:bCs/>
          <w:kern w:val="0"/>
          <w:sz w:val="24"/>
          <w:szCs w:val="20"/>
        </w:rPr>
        <w:t>021</w:t>
      </w:r>
      <w:r w:rsidRPr="00010060">
        <w:rPr>
          <w:rFonts w:hint="eastAsia"/>
          <w:bCs/>
          <w:kern w:val="0"/>
          <w:sz w:val="24"/>
          <w:szCs w:val="20"/>
        </w:rPr>
        <w:t>）</w:t>
      </w:r>
      <w:r w:rsidRPr="00010060">
        <w:rPr>
          <w:rFonts w:hint="eastAsia"/>
          <w:bCs/>
          <w:kern w:val="0"/>
          <w:sz w:val="24"/>
          <w:szCs w:val="20"/>
        </w:rPr>
        <w:t>2212 2888</w:t>
      </w:r>
    </w:p>
    <w:p w:rsidR="00010060" w:rsidRPr="00010060" w:rsidRDefault="00010060" w:rsidP="00010060">
      <w:pPr>
        <w:spacing w:line="360" w:lineRule="auto"/>
        <w:ind w:firstLineChars="200" w:firstLine="480"/>
        <w:rPr>
          <w:bCs/>
          <w:kern w:val="0"/>
          <w:sz w:val="24"/>
          <w:szCs w:val="20"/>
        </w:rPr>
      </w:pPr>
      <w:r w:rsidRPr="00010060">
        <w:rPr>
          <w:rFonts w:hint="eastAsia"/>
          <w:bCs/>
          <w:kern w:val="0"/>
          <w:sz w:val="24"/>
          <w:szCs w:val="20"/>
        </w:rPr>
        <w:t>传真：（</w:t>
      </w:r>
      <w:r w:rsidRPr="00010060">
        <w:rPr>
          <w:rFonts w:hint="eastAsia"/>
          <w:bCs/>
          <w:kern w:val="0"/>
          <w:sz w:val="24"/>
          <w:szCs w:val="20"/>
        </w:rPr>
        <w:t>021</w:t>
      </w:r>
      <w:r w:rsidRPr="00010060">
        <w:rPr>
          <w:rFonts w:hint="eastAsia"/>
          <w:bCs/>
          <w:kern w:val="0"/>
          <w:sz w:val="24"/>
          <w:szCs w:val="20"/>
        </w:rPr>
        <w:t>）</w:t>
      </w:r>
      <w:r w:rsidRPr="00010060">
        <w:rPr>
          <w:rFonts w:hint="eastAsia"/>
          <w:bCs/>
          <w:kern w:val="0"/>
          <w:sz w:val="24"/>
          <w:szCs w:val="20"/>
        </w:rPr>
        <w:t>6288 1889</w:t>
      </w:r>
    </w:p>
    <w:p w:rsidR="00010060" w:rsidRPr="00010060" w:rsidRDefault="00010060" w:rsidP="00010060">
      <w:pPr>
        <w:spacing w:line="360" w:lineRule="auto"/>
        <w:ind w:firstLineChars="200" w:firstLine="480"/>
        <w:rPr>
          <w:bCs/>
          <w:kern w:val="0"/>
          <w:sz w:val="24"/>
          <w:szCs w:val="20"/>
        </w:rPr>
      </w:pPr>
      <w:r w:rsidRPr="00010060">
        <w:rPr>
          <w:rFonts w:hint="eastAsia"/>
          <w:bCs/>
          <w:kern w:val="0"/>
          <w:sz w:val="24"/>
          <w:szCs w:val="20"/>
        </w:rPr>
        <w:t>联系人：黄小熠</w:t>
      </w:r>
    </w:p>
    <w:p w:rsidR="0066175D" w:rsidRDefault="00010060">
      <w:pPr>
        <w:pStyle w:val="a0"/>
        <w:rPr>
          <w:bCs/>
          <w:kern w:val="0"/>
          <w:sz w:val="24"/>
        </w:rPr>
      </w:pPr>
      <w:r w:rsidRPr="00010060">
        <w:rPr>
          <w:rFonts w:hint="eastAsia"/>
          <w:bCs/>
          <w:kern w:val="0"/>
          <w:sz w:val="24"/>
        </w:rPr>
        <w:t>经办注册会计师：黄小熠、张楠</w:t>
      </w:r>
    </w:p>
    <w:p w:rsidR="0066175D" w:rsidRDefault="0066175D">
      <w:pPr>
        <w:pStyle w:val="a0"/>
        <w:autoSpaceDE w:val="0"/>
        <w:autoSpaceDN w:val="0"/>
        <w:adjustRightInd w:val="0"/>
        <w:rPr>
          <w:sz w:val="24"/>
        </w:rPr>
      </w:pPr>
    </w:p>
    <w:p w:rsidR="0066175D" w:rsidRDefault="0066175D">
      <w:pPr>
        <w:pStyle w:val="a0"/>
        <w:autoSpaceDE w:val="0"/>
        <w:autoSpaceDN w:val="0"/>
        <w:adjustRightInd w:val="0"/>
        <w:ind w:firstLineChars="200" w:firstLine="480"/>
        <w:rPr>
          <w:sz w:val="24"/>
        </w:rPr>
      </w:pPr>
    </w:p>
    <w:p w:rsidR="00010060" w:rsidRDefault="00010060">
      <w:pPr>
        <w:pStyle w:val="a0"/>
        <w:autoSpaceDE w:val="0"/>
        <w:autoSpaceDN w:val="0"/>
        <w:adjustRightInd w:val="0"/>
        <w:ind w:firstLineChars="200" w:firstLine="480"/>
        <w:rPr>
          <w:sz w:val="24"/>
        </w:rPr>
      </w:pPr>
    </w:p>
    <w:p w:rsidR="00010060" w:rsidRDefault="00010060">
      <w:pPr>
        <w:pStyle w:val="a0"/>
        <w:autoSpaceDE w:val="0"/>
        <w:autoSpaceDN w:val="0"/>
        <w:adjustRightInd w:val="0"/>
        <w:ind w:firstLineChars="200" w:firstLine="480"/>
        <w:rPr>
          <w:sz w:val="24"/>
        </w:rPr>
      </w:pPr>
    </w:p>
    <w:p w:rsidR="0066175D" w:rsidRDefault="0066175D">
      <w:pPr>
        <w:pStyle w:val="a0"/>
        <w:autoSpaceDE w:val="0"/>
        <w:autoSpaceDN w:val="0"/>
        <w:adjustRightInd w:val="0"/>
        <w:ind w:firstLineChars="200" w:firstLine="480"/>
        <w:rPr>
          <w:sz w:val="24"/>
        </w:rPr>
      </w:pPr>
    </w:p>
    <w:p w:rsidR="0066175D" w:rsidRDefault="00C269F6">
      <w:pPr>
        <w:pStyle w:val="a0"/>
        <w:autoSpaceDE w:val="0"/>
        <w:autoSpaceDN w:val="0"/>
        <w:adjustRightInd w:val="0"/>
        <w:ind w:right="240" w:firstLineChars="200" w:firstLine="482"/>
        <w:jc w:val="right"/>
        <w:rPr>
          <w:b/>
          <w:sz w:val="24"/>
        </w:rPr>
      </w:pPr>
      <w:r>
        <w:rPr>
          <w:b/>
          <w:sz w:val="24"/>
        </w:rPr>
        <w:t>太平基金管理有限公司</w:t>
      </w:r>
    </w:p>
    <w:p w:rsidR="0066175D" w:rsidRDefault="00010060">
      <w:pPr>
        <w:pStyle w:val="a0"/>
        <w:wordWrap w:val="0"/>
        <w:autoSpaceDE w:val="0"/>
        <w:autoSpaceDN w:val="0"/>
        <w:adjustRightInd w:val="0"/>
        <w:ind w:right="241" w:firstLineChars="200" w:firstLine="482"/>
        <w:jc w:val="right"/>
        <w:rPr>
          <w:b/>
          <w:sz w:val="24"/>
        </w:rPr>
      </w:pPr>
      <w:r>
        <w:rPr>
          <w:rFonts w:hint="eastAsia"/>
          <w:b/>
          <w:sz w:val="24"/>
        </w:rPr>
        <w:t>2025</w:t>
      </w:r>
      <w:r>
        <w:rPr>
          <w:rFonts w:hint="eastAsia"/>
          <w:b/>
          <w:sz w:val="24"/>
        </w:rPr>
        <w:t>年</w:t>
      </w:r>
      <w:r>
        <w:rPr>
          <w:rFonts w:hint="eastAsia"/>
          <w:b/>
          <w:sz w:val="24"/>
        </w:rPr>
        <w:t>3</w:t>
      </w:r>
      <w:r>
        <w:rPr>
          <w:rFonts w:hint="eastAsia"/>
          <w:b/>
          <w:sz w:val="24"/>
        </w:rPr>
        <w:t>月</w:t>
      </w:r>
      <w:r>
        <w:rPr>
          <w:rFonts w:hint="eastAsia"/>
          <w:b/>
          <w:sz w:val="24"/>
        </w:rPr>
        <w:t>12</w:t>
      </w:r>
      <w:r>
        <w:rPr>
          <w:rFonts w:hint="eastAsia"/>
          <w:b/>
          <w:sz w:val="24"/>
        </w:rPr>
        <w:t>日</w:t>
      </w:r>
    </w:p>
    <w:p w:rsidR="0066175D" w:rsidRDefault="0066175D">
      <w:pPr>
        <w:pStyle w:val="a0"/>
        <w:autoSpaceDE w:val="0"/>
        <w:autoSpaceDN w:val="0"/>
        <w:adjustRightInd w:val="0"/>
        <w:ind w:firstLineChars="200" w:firstLine="560"/>
        <w:jc w:val="right"/>
      </w:pPr>
    </w:p>
    <w:sectPr w:rsidR="0066175D" w:rsidSect="002D12D9">
      <w:footerReference w:type="default" r:id="rId12"/>
      <w:headerReference w:type="first" r:id="rId13"/>
      <w:footerReference w:type="first" r:id="rId14"/>
      <w:pgSz w:w="11906" w:h="16838"/>
      <w:pgMar w:top="1440" w:right="1797" w:bottom="1440" w:left="1797" w:header="851" w:footer="992" w:gutter="567"/>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269F6" w:rsidRDefault="00C269F6">
      <w:r>
        <w:separator/>
      </w:r>
    </w:p>
  </w:endnote>
  <w:endnote w:type="continuationSeparator" w:id="0">
    <w:p w:rsidR="00C269F6" w:rsidRDefault="00C269F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Arial Unicode MS">
    <w:panose1 w:val="020B0604020202020204"/>
    <w:charset w:val="86"/>
    <w:family w:val="swiss"/>
    <w:pitch w:val="variable"/>
    <w:sig w:usb0="F7FFAFFF" w:usb1="E9DFFFFF" w:usb2="0000003F" w:usb3="00000000" w:csb0="003F01FF"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175D" w:rsidRDefault="002D12D9">
    <w:pPr>
      <w:pStyle w:val="aa"/>
      <w:framePr w:wrap="around" w:vAnchor="text" w:hAnchor="margin" w:xAlign="center" w:y="1"/>
      <w:rPr>
        <w:rStyle w:val="af"/>
      </w:rPr>
    </w:pPr>
    <w:r>
      <w:rPr>
        <w:rStyle w:val="af"/>
      </w:rPr>
      <w:fldChar w:fldCharType="begin"/>
    </w:r>
    <w:r w:rsidR="00C269F6">
      <w:rPr>
        <w:rStyle w:val="af"/>
      </w:rPr>
      <w:instrText xml:space="preserve">PAGE  </w:instrText>
    </w:r>
    <w:r>
      <w:rPr>
        <w:rStyle w:val="af"/>
      </w:rPr>
      <w:fldChar w:fldCharType="end"/>
    </w:r>
  </w:p>
  <w:p w:rsidR="0066175D" w:rsidRDefault="0066175D">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175D" w:rsidRDefault="0066175D">
    <w:pPr>
      <w:pStyle w:val="aa"/>
      <w:ind w:right="360"/>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175D" w:rsidRDefault="002D12D9">
    <w:pPr>
      <w:pStyle w:val="aa"/>
      <w:jc w:val="center"/>
    </w:pPr>
    <w:r>
      <w:rPr>
        <w:rStyle w:val="af"/>
      </w:rPr>
      <w:fldChar w:fldCharType="begin"/>
    </w:r>
    <w:r w:rsidR="00C269F6">
      <w:rPr>
        <w:rStyle w:val="af"/>
      </w:rPr>
      <w:instrText xml:space="preserve"> PAGE </w:instrText>
    </w:r>
    <w:r>
      <w:rPr>
        <w:rStyle w:val="af"/>
      </w:rPr>
      <w:fldChar w:fldCharType="separate"/>
    </w:r>
    <w:r w:rsidR="00D35805">
      <w:rPr>
        <w:rStyle w:val="af"/>
        <w:noProof/>
      </w:rPr>
      <w:t>14</w:t>
    </w:r>
    <w:r>
      <w:rPr>
        <w:rStyle w:val="af"/>
      </w:rPr>
      <w:fldChar w:fldCharType="end"/>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175D" w:rsidRDefault="002D12D9">
    <w:pPr>
      <w:pStyle w:val="aa"/>
      <w:framePr w:wrap="around" w:vAnchor="text" w:hAnchor="margin" w:xAlign="right" w:y="1"/>
      <w:rPr>
        <w:rStyle w:val="af"/>
      </w:rPr>
    </w:pPr>
    <w:r>
      <w:rPr>
        <w:rStyle w:val="af"/>
      </w:rPr>
      <w:fldChar w:fldCharType="begin"/>
    </w:r>
    <w:r w:rsidR="00C269F6">
      <w:rPr>
        <w:rStyle w:val="af"/>
      </w:rPr>
      <w:instrText xml:space="preserve">PAGE  </w:instrText>
    </w:r>
    <w:r>
      <w:rPr>
        <w:rStyle w:val="af"/>
      </w:rPr>
      <w:fldChar w:fldCharType="separate"/>
    </w:r>
    <w:r w:rsidR="00C269F6">
      <w:rPr>
        <w:rStyle w:val="af"/>
      </w:rPr>
      <w:t>1</w:t>
    </w:r>
    <w:r>
      <w:rPr>
        <w:rStyle w:val="af"/>
      </w:rPr>
      <w:fldChar w:fldCharType="end"/>
    </w:r>
  </w:p>
  <w:p w:rsidR="0066175D" w:rsidRDefault="00C269F6">
    <w:pPr>
      <w:pStyle w:val="aa"/>
      <w:ind w:right="360"/>
      <w:jc w:val="center"/>
    </w:pPr>
    <w:r>
      <w:rPr>
        <w:rFonts w:hint="eastAsia"/>
      </w:rPr>
      <w:t>11-2-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269F6" w:rsidRDefault="00C269F6">
      <w:r>
        <w:separator/>
      </w:r>
    </w:p>
  </w:footnote>
  <w:footnote w:type="continuationSeparator" w:id="0">
    <w:p w:rsidR="00C269F6" w:rsidRDefault="00C269F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175D" w:rsidRDefault="0066175D">
    <w:pPr>
      <w:pStyle w:val="ab"/>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175D" w:rsidRDefault="00C269F6">
    <w:pPr>
      <w:pStyle w:val="ab"/>
      <w:pBdr>
        <w:bottom w:val="single" w:sz="4" w:space="1" w:color="auto"/>
      </w:pBdr>
      <w:tabs>
        <w:tab w:val="clear" w:pos="4153"/>
        <w:tab w:val="clear" w:pos="8306"/>
        <w:tab w:val="right" w:pos="7745"/>
      </w:tabs>
      <w:jc w:val="both"/>
    </w:pPr>
    <w:r>
      <w:rPr>
        <w:rFonts w:hint="eastAsia"/>
      </w:rPr>
      <w:t>太平</w:t>
    </w:r>
    <w:r w:rsidR="00092622">
      <w:rPr>
        <w:rFonts w:hint="eastAsia"/>
      </w:rPr>
      <w:t>科技先锋</w:t>
    </w:r>
    <w:r>
      <w:rPr>
        <w:rFonts w:hint="eastAsia"/>
      </w:rPr>
      <w:t>混合型发起式证券投资基金基金份额发售公告</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175D" w:rsidRDefault="00C269F6">
    <w:pPr>
      <w:pStyle w:val="ab"/>
    </w:pPr>
    <w:r>
      <w:rPr>
        <w:rFonts w:hint="eastAsia"/>
      </w:rPr>
      <w:t>建信恒久价值股票型证券投资基金募集申请材料发售公告</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A86290"/>
    <w:multiLevelType w:val="multilevel"/>
    <w:tmpl w:val="79A86290"/>
    <w:lvl w:ilvl="0">
      <w:start w:val="1"/>
      <w:numFmt w:val="decimal"/>
      <w:lvlText w:val="%1."/>
      <w:legacy w:legacy="1" w:legacySpace="0" w:legacyIndent="420"/>
      <w:lvlJc w:val="left"/>
      <w:pPr>
        <w:ind w:left="780" w:hanging="420"/>
      </w:pPr>
      <w:rPr>
        <w:color w:val="000000"/>
      </w:rPr>
    </w:lvl>
    <w:lvl w:ilvl="1">
      <w:start w:val="1"/>
      <w:numFmt w:val="lowerLetter"/>
      <w:lvlText w:val="%2)"/>
      <w:legacy w:legacy="1" w:legacySpace="0" w:legacyIndent="420"/>
      <w:lvlJc w:val="left"/>
      <w:pPr>
        <w:ind w:left="1320" w:hanging="420"/>
      </w:pPr>
    </w:lvl>
    <w:lvl w:ilvl="2">
      <w:start w:val="1"/>
      <w:numFmt w:val="lowerRoman"/>
      <w:lvlText w:val="%3."/>
      <w:legacy w:legacy="1" w:legacySpace="0" w:legacyIndent="420"/>
      <w:lvlJc w:val="right"/>
      <w:pPr>
        <w:ind w:left="1740" w:hanging="420"/>
      </w:pPr>
    </w:lvl>
    <w:lvl w:ilvl="3">
      <w:start w:val="1"/>
      <w:numFmt w:val="decimal"/>
      <w:lvlText w:val="%4."/>
      <w:legacy w:legacy="1" w:legacySpace="0" w:legacyIndent="420"/>
      <w:lvlJc w:val="left"/>
      <w:pPr>
        <w:ind w:left="2160" w:hanging="420"/>
      </w:pPr>
    </w:lvl>
    <w:lvl w:ilvl="4">
      <w:start w:val="1"/>
      <w:numFmt w:val="lowerLetter"/>
      <w:lvlText w:val="%5)"/>
      <w:legacy w:legacy="1" w:legacySpace="0" w:legacyIndent="420"/>
      <w:lvlJc w:val="left"/>
      <w:pPr>
        <w:ind w:left="2580" w:hanging="420"/>
      </w:pPr>
    </w:lvl>
    <w:lvl w:ilvl="5">
      <w:start w:val="1"/>
      <w:numFmt w:val="lowerRoman"/>
      <w:lvlText w:val="%6."/>
      <w:legacy w:legacy="1" w:legacySpace="0" w:legacyIndent="420"/>
      <w:lvlJc w:val="right"/>
      <w:pPr>
        <w:ind w:left="3000" w:hanging="420"/>
      </w:pPr>
    </w:lvl>
    <w:lvl w:ilvl="6">
      <w:start w:val="1"/>
      <w:numFmt w:val="decimal"/>
      <w:lvlText w:val="%7."/>
      <w:legacy w:legacy="1" w:legacySpace="0" w:legacyIndent="420"/>
      <w:lvlJc w:val="left"/>
      <w:pPr>
        <w:ind w:left="3420" w:hanging="420"/>
      </w:pPr>
    </w:lvl>
    <w:lvl w:ilvl="7">
      <w:start w:val="1"/>
      <w:numFmt w:val="lowerLetter"/>
      <w:lvlText w:val="%8)"/>
      <w:legacy w:legacy="1" w:legacySpace="0" w:legacyIndent="420"/>
      <w:lvlJc w:val="left"/>
      <w:pPr>
        <w:ind w:left="3840" w:hanging="420"/>
      </w:pPr>
    </w:lvl>
    <w:lvl w:ilvl="8">
      <w:start w:val="1"/>
      <w:numFmt w:val="lowerRoman"/>
      <w:lvlText w:val="%9."/>
      <w:legacy w:legacy="1" w:legacySpace="0" w:legacyIndent="420"/>
      <w:lvlJc w:val="right"/>
      <w:pPr>
        <w:ind w:left="426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ulTrailSpace/>
    <w:doNotExpandShiftReturn/>
    <w:adjustLineHeightInTable/>
    <w:useFELayout/>
  </w:compat>
  <w:docVars>
    <w:docVar w:name="commondata" w:val="eyJoZGlkIjoiZWNjNTUxZWUzMjc1ZThhZTA2MTNiNGRmOTBmMjI5YTQifQ=="/>
  </w:docVars>
  <w:rsids>
    <w:rsidRoot w:val="00013227"/>
    <w:rsid w:val="00010060"/>
    <w:rsid w:val="00013227"/>
    <w:rsid w:val="00023101"/>
    <w:rsid w:val="00086AC8"/>
    <w:rsid w:val="00092622"/>
    <w:rsid w:val="001608C6"/>
    <w:rsid w:val="001E6419"/>
    <w:rsid w:val="00256270"/>
    <w:rsid w:val="00295254"/>
    <w:rsid w:val="002D12D9"/>
    <w:rsid w:val="00346AED"/>
    <w:rsid w:val="003C4480"/>
    <w:rsid w:val="0066175D"/>
    <w:rsid w:val="00803070"/>
    <w:rsid w:val="00863ADB"/>
    <w:rsid w:val="00881973"/>
    <w:rsid w:val="00942692"/>
    <w:rsid w:val="00A12114"/>
    <w:rsid w:val="00AF660D"/>
    <w:rsid w:val="00C269F6"/>
    <w:rsid w:val="00D35805"/>
    <w:rsid w:val="00DC56C7"/>
    <w:rsid w:val="00DF4748"/>
    <w:rsid w:val="00E43E9C"/>
    <w:rsid w:val="0D441024"/>
    <w:rsid w:val="0EA931F6"/>
    <w:rsid w:val="0FDA6FBB"/>
    <w:rsid w:val="1A58059A"/>
    <w:rsid w:val="26C1038D"/>
    <w:rsid w:val="45FB2D2C"/>
    <w:rsid w:val="503E30D6"/>
    <w:rsid w:val="595F7936"/>
    <w:rsid w:val="6AC02C0D"/>
    <w:rsid w:val="7A8772A3"/>
    <w:rsid w:val="7BB340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uiPriority="0" w:qFormat="1"/>
    <w:lsdException w:name="annotation text" w:uiPriority="0" w:qFormat="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semiHidden="1" w:unhideWhenUsed="1"/>
    <w:lsdException w:name="Body Text Indent 2" w:semiHidden="1" w:unhideWhenUsed="1"/>
    <w:lsdException w:name="Body Text Indent 3" w:uiPriority="0" w:qFormat="1"/>
    <w:lsdException w:name="Block Text" w:semiHidden="1" w:unhideWhenUsed="1"/>
    <w:lsdException w:name="Hyperlink" w:uiPriority="0" w:qFormat="1"/>
    <w:lsdException w:name="FollowedHyperlink" w:uiPriority="0" w:qFormat="1"/>
    <w:lsdException w:name="Strong" w:uiPriority="22" w:qFormat="1"/>
    <w:lsdException w:name="Emphasis" w:uiPriority="20" w:qFormat="1"/>
    <w:lsdException w:name="Document Map" w:uiPriority="0"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Default"/>
    <w:autoRedefine/>
    <w:qFormat/>
    <w:rsid w:val="002D12D9"/>
    <w:pPr>
      <w:widowControl w:val="0"/>
      <w:jc w:val="both"/>
    </w:pPr>
    <w:rPr>
      <w:rFonts w:eastAsia="宋体"/>
      <w:kern w:val="2"/>
      <w:sz w:val="21"/>
      <w:szCs w:val="24"/>
    </w:rPr>
  </w:style>
  <w:style w:type="paragraph" w:styleId="1">
    <w:name w:val="heading 1"/>
    <w:basedOn w:val="a"/>
    <w:next w:val="a"/>
    <w:autoRedefine/>
    <w:qFormat/>
    <w:rsid w:val="002D12D9"/>
    <w:pPr>
      <w:keepNext/>
      <w:keepLines/>
      <w:spacing w:before="340" w:after="330" w:line="576" w:lineRule="auto"/>
      <w:outlineLvl w:val="0"/>
    </w:pPr>
    <w:rPr>
      <w:rFonts w:eastAsia="Arial Unicode MS"/>
      <w:b/>
      <w:bCs/>
      <w:kern w:val="44"/>
      <w:sz w:val="44"/>
      <w:szCs w:val="44"/>
    </w:rPr>
  </w:style>
  <w:style w:type="paragraph" w:styleId="2">
    <w:name w:val="heading 2"/>
    <w:basedOn w:val="a"/>
    <w:next w:val="a"/>
    <w:autoRedefine/>
    <w:qFormat/>
    <w:rsid w:val="002D12D9"/>
    <w:pPr>
      <w:keepNext/>
      <w:keepLines/>
      <w:spacing w:before="260" w:after="260" w:line="415" w:lineRule="auto"/>
      <w:outlineLvl w:val="1"/>
    </w:pPr>
    <w:rPr>
      <w:rFonts w:ascii="Arial" w:eastAsia="黑体" w:hAnsi="Arial"/>
      <w:b/>
      <w:bCs/>
      <w:sz w:val="32"/>
      <w:szCs w:val="32"/>
    </w:rPr>
  </w:style>
  <w:style w:type="paragraph" w:styleId="3">
    <w:name w:val="heading 3"/>
    <w:basedOn w:val="a"/>
    <w:next w:val="a"/>
    <w:autoRedefine/>
    <w:qFormat/>
    <w:rsid w:val="002D12D9"/>
    <w:pPr>
      <w:keepNext/>
      <w:keepLines/>
      <w:spacing w:before="260" w:after="260" w:line="415" w:lineRule="auto"/>
      <w:outlineLvl w:val="2"/>
    </w:pPr>
    <w:rPr>
      <w:rFonts w:eastAsia="Arial Unicode MS"/>
      <w:b/>
      <w:bCs/>
      <w:szCs w:val="32"/>
    </w:rPr>
  </w:style>
  <w:style w:type="paragraph" w:styleId="4">
    <w:name w:val="heading 4"/>
    <w:basedOn w:val="a"/>
    <w:next w:val="a"/>
    <w:rsid w:val="002D12D9"/>
    <w:pPr>
      <w:keepNext/>
      <w:keepLines/>
      <w:spacing w:before="280" w:after="290" w:line="374" w:lineRule="auto"/>
      <w:outlineLvl w:val="3"/>
    </w:pPr>
    <w:rPr>
      <w:rFonts w:ascii="Arial" w:eastAsia="黑体" w:hAnsi="Arial"/>
      <w:bCs/>
      <w:sz w:val="28"/>
      <w:szCs w:val="28"/>
    </w:rPr>
  </w:style>
  <w:style w:type="paragraph" w:styleId="5">
    <w:name w:val="heading 5"/>
    <w:basedOn w:val="a"/>
    <w:next w:val="a"/>
    <w:autoRedefine/>
    <w:qFormat/>
    <w:rsid w:val="002D12D9"/>
    <w:pPr>
      <w:keepNext/>
      <w:keepLines/>
      <w:spacing w:before="280" w:after="290" w:line="374" w:lineRule="auto"/>
      <w:outlineLvl w:val="4"/>
    </w:pPr>
    <w:rPr>
      <w:rFonts w:eastAsia="黑体"/>
      <w:bCs/>
      <w:sz w:val="24"/>
      <w:szCs w:val="28"/>
    </w:rPr>
  </w:style>
  <w:style w:type="paragraph" w:styleId="6">
    <w:name w:val="heading 6"/>
    <w:basedOn w:val="a"/>
    <w:next w:val="a0"/>
    <w:autoRedefine/>
    <w:qFormat/>
    <w:rsid w:val="002D12D9"/>
    <w:pPr>
      <w:spacing w:line="360" w:lineRule="auto"/>
      <w:jc w:val="left"/>
      <w:outlineLvl w:val="5"/>
    </w:pPr>
    <w:rPr>
      <w:rFonts w:eastAsia="Arial Unicode MS" w:cs="Arial"/>
      <w:bCs/>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autoRedefine/>
    <w:qFormat/>
    <w:rsid w:val="002D12D9"/>
    <w:pPr>
      <w:widowControl w:val="0"/>
      <w:autoSpaceDE w:val="0"/>
      <w:autoSpaceDN w:val="0"/>
      <w:adjustRightInd w:val="0"/>
    </w:pPr>
    <w:rPr>
      <w:rFonts w:ascii="宋体" w:eastAsia="宋体"/>
      <w:color w:val="000000"/>
      <w:sz w:val="24"/>
      <w:szCs w:val="24"/>
    </w:rPr>
  </w:style>
  <w:style w:type="paragraph" w:styleId="a0">
    <w:name w:val="Normal Indent"/>
    <w:basedOn w:val="a"/>
    <w:autoRedefine/>
    <w:qFormat/>
    <w:rsid w:val="002D12D9"/>
    <w:pPr>
      <w:snapToGrid w:val="0"/>
      <w:spacing w:line="360" w:lineRule="auto"/>
      <w:ind w:firstLine="420"/>
    </w:pPr>
    <w:rPr>
      <w:sz w:val="28"/>
      <w:szCs w:val="20"/>
    </w:rPr>
  </w:style>
  <w:style w:type="paragraph" w:styleId="7">
    <w:name w:val="toc 7"/>
    <w:basedOn w:val="a"/>
    <w:next w:val="a"/>
    <w:autoRedefine/>
    <w:qFormat/>
    <w:rsid w:val="002D12D9"/>
    <w:pPr>
      <w:ind w:leftChars="1200" w:left="1200"/>
    </w:pPr>
  </w:style>
  <w:style w:type="paragraph" w:styleId="a4">
    <w:name w:val="Document Map"/>
    <w:basedOn w:val="a"/>
    <w:autoRedefine/>
    <w:qFormat/>
    <w:rsid w:val="002D12D9"/>
    <w:pPr>
      <w:shd w:val="clear" w:color="auto" w:fill="000080"/>
    </w:pPr>
  </w:style>
  <w:style w:type="paragraph" w:styleId="a5">
    <w:name w:val="annotation text"/>
    <w:basedOn w:val="a"/>
    <w:autoRedefine/>
    <w:qFormat/>
    <w:rsid w:val="002D12D9"/>
    <w:pPr>
      <w:jc w:val="left"/>
    </w:pPr>
  </w:style>
  <w:style w:type="paragraph" w:styleId="a6">
    <w:name w:val="Body Text"/>
    <w:basedOn w:val="a"/>
    <w:autoRedefine/>
    <w:qFormat/>
    <w:rsid w:val="002D12D9"/>
    <w:pPr>
      <w:spacing w:after="120"/>
    </w:pPr>
  </w:style>
  <w:style w:type="paragraph" w:styleId="a7">
    <w:name w:val="Body Text Indent"/>
    <w:basedOn w:val="a"/>
    <w:autoRedefine/>
    <w:qFormat/>
    <w:rsid w:val="002D12D9"/>
    <w:pPr>
      <w:spacing w:line="360" w:lineRule="auto"/>
      <w:ind w:firstLineChars="200" w:firstLine="200"/>
    </w:pPr>
    <w:rPr>
      <w:rFonts w:ascii="宋体"/>
      <w:sz w:val="24"/>
    </w:rPr>
  </w:style>
  <w:style w:type="paragraph" w:styleId="50">
    <w:name w:val="toc 5"/>
    <w:basedOn w:val="a"/>
    <w:next w:val="a"/>
    <w:autoRedefine/>
    <w:qFormat/>
    <w:rsid w:val="002D12D9"/>
    <w:pPr>
      <w:ind w:leftChars="800" w:left="800"/>
    </w:pPr>
  </w:style>
  <w:style w:type="paragraph" w:styleId="30">
    <w:name w:val="toc 3"/>
    <w:basedOn w:val="a"/>
    <w:next w:val="a"/>
    <w:autoRedefine/>
    <w:qFormat/>
    <w:rsid w:val="002D12D9"/>
    <w:pPr>
      <w:tabs>
        <w:tab w:val="right" w:leader="dot" w:pos="8296"/>
      </w:tabs>
    </w:pPr>
  </w:style>
  <w:style w:type="paragraph" w:styleId="8">
    <w:name w:val="toc 8"/>
    <w:basedOn w:val="a"/>
    <w:next w:val="a"/>
    <w:autoRedefine/>
    <w:qFormat/>
    <w:rsid w:val="002D12D9"/>
    <w:pPr>
      <w:ind w:leftChars="1400" w:left="1400"/>
    </w:pPr>
  </w:style>
  <w:style w:type="paragraph" w:styleId="a8">
    <w:name w:val="Date"/>
    <w:basedOn w:val="a"/>
    <w:next w:val="a"/>
    <w:autoRedefine/>
    <w:qFormat/>
    <w:rsid w:val="002D12D9"/>
    <w:rPr>
      <w:rFonts w:ascii="宋体"/>
      <w:b/>
      <w:color w:val="000000"/>
      <w:spacing w:val="20"/>
      <w:kern w:val="0"/>
      <w:sz w:val="30"/>
      <w:szCs w:val="20"/>
    </w:rPr>
  </w:style>
  <w:style w:type="paragraph" w:styleId="a9">
    <w:name w:val="Balloon Text"/>
    <w:basedOn w:val="a"/>
    <w:autoRedefine/>
    <w:qFormat/>
    <w:rsid w:val="002D12D9"/>
    <w:rPr>
      <w:sz w:val="18"/>
      <w:szCs w:val="18"/>
    </w:rPr>
  </w:style>
  <w:style w:type="paragraph" w:styleId="aa">
    <w:name w:val="footer"/>
    <w:basedOn w:val="a"/>
    <w:autoRedefine/>
    <w:qFormat/>
    <w:rsid w:val="002D12D9"/>
    <w:pPr>
      <w:tabs>
        <w:tab w:val="center" w:pos="4153"/>
        <w:tab w:val="right" w:pos="8306"/>
      </w:tabs>
      <w:snapToGrid w:val="0"/>
      <w:jc w:val="left"/>
    </w:pPr>
    <w:rPr>
      <w:sz w:val="18"/>
      <w:szCs w:val="18"/>
    </w:rPr>
  </w:style>
  <w:style w:type="paragraph" w:styleId="ab">
    <w:name w:val="header"/>
    <w:basedOn w:val="a"/>
    <w:autoRedefine/>
    <w:qFormat/>
    <w:rsid w:val="002D12D9"/>
    <w:pPr>
      <w:pBdr>
        <w:bottom w:val="single" w:sz="6" w:space="1" w:color="auto"/>
      </w:pBdr>
      <w:tabs>
        <w:tab w:val="center" w:pos="4153"/>
        <w:tab w:val="right" w:pos="8306"/>
      </w:tabs>
      <w:snapToGrid w:val="0"/>
      <w:jc w:val="center"/>
    </w:pPr>
    <w:rPr>
      <w:sz w:val="18"/>
      <w:szCs w:val="18"/>
    </w:rPr>
  </w:style>
  <w:style w:type="paragraph" w:styleId="10">
    <w:name w:val="toc 1"/>
    <w:basedOn w:val="a"/>
    <w:next w:val="a"/>
    <w:autoRedefine/>
    <w:qFormat/>
    <w:rsid w:val="002D12D9"/>
    <w:pPr>
      <w:spacing w:beforeLines="100" w:afterLines="100"/>
    </w:pPr>
    <w:rPr>
      <w:sz w:val="24"/>
    </w:rPr>
  </w:style>
  <w:style w:type="paragraph" w:styleId="40">
    <w:name w:val="toc 4"/>
    <w:basedOn w:val="a"/>
    <w:next w:val="a"/>
    <w:autoRedefine/>
    <w:qFormat/>
    <w:rsid w:val="002D12D9"/>
    <w:pPr>
      <w:ind w:leftChars="600" w:left="600"/>
    </w:pPr>
  </w:style>
  <w:style w:type="paragraph" w:styleId="ac">
    <w:name w:val="footnote text"/>
    <w:basedOn w:val="a"/>
    <w:autoRedefine/>
    <w:qFormat/>
    <w:rsid w:val="002D12D9"/>
    <w:pPr>
      <w:snapToGrid w:val="0"/>
      <w:jc w:val="left"/>
    </w:pPr>
    <w:rPr>
      <w:sz w:val="18"/>
      <w:szCs w:val="18"/>
    </w:rPr>
  </w:style>
  <w:style w:type="paragraph" w:styleId="60">
    <w:name w:val="toc 6"/>
    <w:basedOn w:val="a"/>
    <w:next w:val="a"/>
    <w:autoRedefine/>
    <w:qFormat/>
    <w:rsid w:val="002D12D9"/>
    <w:pPr>
      <w:ind w:leftChars="1000" w:left="1000"/>
    </w:pPr>
  </w:style>
  <w:style w:type="paragraph" w:styleId="31">
    <w:name w:val="Body Text Indent 3"/>
    <w:basedOn w:val="a"/>
    <w:autoRedefine/>
    <w:qFormat/>
    <w:rsid w:val="002D12D9"/>
    <w:pPr>
      <w:spacing w:after="120"/>
      <w:ind w:leftChars="200" w:left="200"/>
    </w:pPr>
    <w:rPr>
      <w:sz w:val="16"/>
      <w:szCs w:val="16"/>
    </w:rPr>
  </w:style>
  <w:style w:type="paragraph" w:styleId="20">
    <w:name w:val="toc 2"/>
    <w:basedOn w:val="a"/>
    <w:next w:val="a"/>
    <w:autoRedefine/>
    <w:qFormat/>
    <w:rsid w:val="002D12D9"/>
    <w:pPr>
      <w:ind w:leftChars="200" w:left="200"/>
    </w:pPr>
  </w:style>
  <w:style w:type="paragraph" w:styleId="9">
    <w:name w:val="toc 9"/>
    <w:basedOn w:val="a"/>
    <w:next w:val="a"/>
    <w:autoRedefine/>
    <w:qFormat/>
    <w:rsid w:val="002D12D9"/>
    <w:pPr>
      <w:ind w:leftChars="1600" w:left="1600"/>
    </w:pPr>
  </w:style>
  <w:style w:type="paragraph" w:styleId="21">
    <w:name w:val="Body Text 2"/>
    <w:basedOn w:val="a"/>
    <w:autoRedefine/>
    <w:qFormat/>
    <w:rsid w:val="002D12D9"/>
    <w:pPr>
      <w:spacing w:after="120" w:line="480" w:lineRule="auto"/>
    </w:pPr>
  </w:style>
  <w:style w:type="paragraph" w:styleId="HTML">
    <w:name w:val="HTML Preformatted"/>
    <w:basedOn w:val="a"/>
    <w:autoRedefine/>
    <w:qFormat/>
    <w:rsid w:val="002D12D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cs="宋体"/>
      <w:color w:val="000000"/>
      <w:kern w:val="0"/>
      <w:sz w:val="24"/>
    </w:rPr>
  </w:style>
  <w:style w:type="paragraph" w:styleId="ad">
    <w:name w:val="Normal (Web)"/>
    <w:basedOn w:val="a"/>
    <w:autoRedefine/>
    <w:qFormat/>
    <w:rsid w:val="002D12D9"/>
    <w:pPr>
      <w:widowControl/>
      <w:spacing w:before="100" w:beforeAutospacing="1" w:after="100" w:afterAutospacing="1"/>
      <w:jc w:val="left"/>
    </w:pPr>
    <w:rPr>
      <w:rFonts w:ascii="宋体" w:cs="宋体"/>
      <w:kern w:val="0"/>
      <w:sz w:val="24"/>
    </w:rPr>
  </w:style>
  <w:style w:type="paragraph" w:styleId="ae">
    <w:name w:val="annotation subject"/>
    <w:basedOn w:val="a5"/>
    <w:next w:val="a5"/>
    <w:autoRedefine/>
    <w:qFormat/>
    <w:rsid w:val="002D12D9"/>
    <w:rPr>
      <w:b/>
      <w:bCs/>
    </w:rPr>
  </w:style>
  <w:style w:type="character" w:styleId="af">
    <w:name w:val="page number"/>
    <w:basedOn w:val="a1"/>
    <w:autoRedefine/>
    <w:qFormat/>
    <w:rsid w:val="002D12D9"/>
  </w:style>
  <w:style w:type="character" w:styleId="af0">
    <w:name w:val="FollowedHyperlink"/>
    <w:basedOn w:val="a1"/>
    <w:autoRedefine/>
    <w:qFormat/>
    <w:rsid w:val="002D12D9"/>
    <w:rPr>
      <w:color w:val="800080"/>
      <w:u w:val="single"/>
    </w:rPr>
  </w:style>
  <w:style w:type="character" w:styleId="af1">
    <w:name w:val="Hyperlink"/>
    <w:autoRedefine/>
    <w:qFormat/>
    <w:rsid w:val="002D12D9"/>
    <w:rPr>
      <w:color w:val="0000FF"/>
      <w:u w:val="single"/>
    </w:rPr>
  </w:style>
  <w:style w:type="character" w:styleId="af2">
    <w:name w:val="annotation reference"/>
    <w:autoRedefine/>
    <w:qFormat/>
    <w:rsid w:val="002D12D9"/>
    <w:rPr>
      <w:sz w:val="21"/>
      <w:szCs w:val="21"/>
    </w:rPr>
  </w:style>
  <w:style w:type="character" w:styleId="af3">
    <w:name w:val="footnote reference"/>
    <w:autoRedefine/>
    <w:qFormat/>
    <w:rsid w:val="002D12D9"/>
    <w:rPr>
      <w:vertAlign w:val="superscript"/>
    </w:rPr>
  </w:style>
  <w:style w:type="character" w:customStyle="1" w:styleId="md2">
    <w:name w:val="md2"/>
    <w:autoRedefine/>
    <w:qFormat/>
    <w:rsid w:val="002D12D9"/>
    <w:rPr>
      <w:spacing w:val="300"/>
      <w:sz w:val="21"/>
      <w:szCs w:val="21"/>
    </w:rPr>
  </w:style>
  <w:style w:type="character" w:customStyle="1" w:styleId="3Char1">
    <w:name w:val="标题 3 Char1"/>
    <w:autoRedefine/>
    <w:qFormat/>
    <w:rsid w:val="002D12D9"/>
    <w:rPr>
      <w:rFonts w:eastAsia="Arial Unicode MS"/>
      <w:b/>
      <w:bCs/>
      <w:kern w:val="2"/>
      <w:sz w:val="21"/>
      <w:szCs w:val="32"/>
      <w:lang w:val="en-US" w:eastAsia="zh-CN" w:bidi="ar-SA"/>
    </w:rPr>
  </w:style>
  <w:style w:type="paragraph" w:customStyle="1" w:styleId="BalloonText1">
    <w:name w:val="Balloon Text1"/>
    <w:basedOn w:val="a"/>
    <w:autoRedefine/>
    <w:qFormat/>
    <w:rsid w:val="002D12D9"/>
    <w:rPr>
      <w:rFonts w:ascii="宋体"/>
      <w:sz w:val="18"/>
      <w:szCs w:val="18"/>
    </w:rPr>
  </w:style>
  <w:style w:type="paragraph" w:customStyle="1" w:styleId="xl23">
    <w:name w:val="xl23"/>
    <w:basedOn w:val="a"/>
    <w:autoRedefine/>
    <w:qFormat/>
    <w:rsid w:val="002D12D9"/>
    <w:pPr>
      <w:widowControl/>
      <w:pBdr>
        <w:bottom w:val="single" w:sz="4" w:space="0" w:color="auto"/>
        <w:right w:val="single" w:sz="4" w:space="0" w:color="auto"/>
      </w:pBdr>
      <w:spacing w:before="100" w:beforeAutospacing="1" w:after="100" w:afterAutospacing="1"/>
      <w:jc w:val="center"/>
    </w:pPr>
    <w:rPr>
      <w:rFonts w:ascii="宋体"/>
      <w:b/>
      <w:bCs/>
      <w:kern w:val="0"/>
      <w:sz w:val="18"/>
      <w:szCs w:val="18"/>
    </w:rPr>
  </w:style>
  <w:style w:type="character" w:customStyle="1" w:styleId="3CharChar1">
    <w:name w:val="标题 3 Char Char1"/>
    <w:autoRedefine/>
    <w:qFormat/>
    <w:rsid w:val="002D12D9"/>
    <w:rPr>
      <w:rFonts w:eastAsia="Arial Unicode MS"/>
      <w:b/>
      <w:bCs/>
      <w:kern w:val="2"/>
      <w:sz w:val="21"/>
      <w:szCs w:val="32"/>
      <w:lang w:val="en-US" w:eastAsia="zh-CN" w:bidi="ar-SA"/>
    </w:rPr>
  </w:style>
  <w:style w:type="paragraph" w:customStyle="1" w:styleId="af4">
    <w:name w:val=".."/>
    <w:basedOn w:val="Default"/>
    <w:next w:val="Default"/>
    <w:autoRedefine/>
    <w:qFormat/>
    <w:rsid w:val="002D12D9"/>
    <w:rPr>
      <w:color w:val="auto"/>
    </w:rPr>
  </w:style>
  <w:style w:type="character" w:customStyle="1" w:styleId="hangju3">
    <w:name w:val="hangju3"/>
    <w:autoRedefine/>
    <w:qFormat/>
    <w:rsid w:val="002D12D9"/>
    <w:rPr>
      <w:sz w:val="21"/>
      <w:szCs w:val="21"/>
    </w:rPr>
  </w:style>
  <w:style w:type="paragraph" w:customStyle="1" w:styleId="11">
    <w:name w:val="批注框文本1"/>
    <w:basedOn w:val="a"/>
    <w:autoRedefine/>
    <w:qFormat/>
    <w:rsid w:val="002D12D9"/>
    <w:rPr>
      <w:sz w:val="16"/>
      <w:szCs w:val="16"/>
    </w:rPr>
  </w:style>
  <w:style w:type="paragraph" w:customStyle="1" w:styleId="CharCharCharCharCharCharChar">
    <w:name w:val="Char Char Char Char Char Char Char"/>
    <w:basedOn w:val="a"/>
    <w:autoRedefine/>
    <w:qFormat/>
    <w:rsid w:val="002D12D9"/>
  </w:style>
  <w:style w:type="paragraph" w:customStyle="1" w:styleId="af5">
    <w:name w:val="正文正文"/>
    <w:basedOn w:val="a"/>
    <w:autoRedefine/>
    <w:qFormat/>
    <w:rsid w:val="002D12D9"/>
    <w:pPr>
      <w:spacing w:afterLines="25" w:line="360" w:lineRule="auto"/>
      <w:ind w:firstLineChars="200" w:firstLine="200"/>
    </w:pPr>
    <w:rPr>
      <w:sz w:val="24"/>
    </w:rPr>
  </w:style>
  <w:style w:type="paragraph" w:customStyle="1" w:styleId="12">
    <w:name w:val="修订1"/>
    <w:autoRedefine/>
    <w:qFormat/>
    <w:rsid w:val="002D12D9"/>
    <w:rPr>
      <w:rFonts w:eastAsia="宋体"/>
      <w:kern w:val="2"/>
      <w:sz w:val="21"/>
      <w:szCs w:val="24"/>
    </w:rPr>
  </w:style>
  <w:style w:type="paragraph" w:customStyle="1" w:styleId="22">
    <w:name w:val="修订2"/>
    <w:autoRedefine/>
    <w:qFormat/>
    <w:rsid w:val="002D12D9"/>
    <w:rPr>
      <w:rFonts w:eastAsia="宋体"/>
      <w:kern w:val="2"/>
      <w:sz w:val="21"/>
      <w:szCs w:val="24"/>
    </w:rPr>
  </w:style>
  <w:style w:type="paragraph" w:styleId="af6">
    <w:name w:val="Revision"/>
    <w:hidden/>
    <w:uiPriority w:val="99"/>
    <w:unhideWhenUsed/>
    <w:rsid w:val="00092622"/>
    <w:rPr>
      <w:rFonts w:eastAsia="宋体"/>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uiPriority="0" w:qFormat="1"/>
    <w:lsdException w:name="annotation text" w:uiPriority="0" w:qFormat="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semiHidden="1" w:unhideWhenUsed="1"/>
    <w:lsdException w:name="Body Text Indent 2" w:semiHidden="1" w:unhideWhenUsed="1"/>
    <w:lsdException w:name="Body Text Indent 3" w:uiPriority="0" w:qFormat="1"/>
    <w:lsdException w:name="Block Text" w:semiHidden="1" w:unhideWhenUsed="1"/>
    <w:lsdException w:name="Hyperlink" w:uiPriority="0" w:qFormat="1"/>
    <w:lsdException w:name="FollowedHyperlink" w:uiPriority="0" w:qFormat="1"/>
    <w:lsdException w:name="Strong" w:uiPriority="22" w:qFormat="1"/>
    <w:lsdException w:name="Emphasis" w:uiPriority="20" w:qFormat="1"/>
    <w:lsdException w:name="Document Map" w:uiPriority="0"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Default"/>
    <w:autoRedefine/>
    <w:qFormat/>
    <w:pPr>
      <w:widowControl w:val="0"/>
      <w:jc w:val="both"/>
    </w:pPr>
    <w:rPr>
      <w:rFonts w:eastAsia="宋体"/>
      <w:kern w:val="2"/>
      <w:sz w:val="21"/>
      <w:szCs w:val="24"/>
    </w:rPr>
  </w:style>
  <w:style w:type="paragraph" w:styleId="1">
    <w:name w:val="heading 1"/>
    <w:basedOn w:val="a"/>
    <w:next w:val="a"/>
    <w:autoRedefine/>
    <w:qFormat/>
    <w:pPr>
      <w:keepNext/>
      <w:keepLines/>
      <w:spacing w:before="340" w:after="330" w:line="576" w:lineRule="auto"/>
      <w:outlineLvl w:val="0"/>
    </w:pPr>
    <w:rPr>
      <w:rFonts w:eastAsia="Arial Unicode MS"/>
      <w:b/>
      <w:bCs/>
      <w:kern w:val="44"/>
      <w:sz w:val="44"/>
      <w:szCs w:val="44"/>
    </w:rPr>
  </w:style>
  <w:style w:type="paragraph" w:styleId="2">
    <w:name w:val="heading 2"/>
    <w:basedOn w:val="a"/>
    <w:next w:val="a"/>
    <w:autoRedefine/>
    <w:qFormat/>
    <w:pPr>
      <w:keepNext/>
      <w:keepLines/>
      <w:spacing w:before="260" w:after="260" w:line="415" w:lineRule="auto"/>
      <w:outlineLvl w:val="1"/>
    </w:pPr>
    <w:rPr>
      <w:rFonts w:ascii="Arial" w:eastAsia="黑体" w:hAnsi="Arial"/>
      <w:b/>
      <w:bCs/>
      <w:sz w:val="32"/>
      <w:szCs w:val="32"/>
    </w:rPr>
  </w:style>
  <w:style w:type="paragraph" w:styleId="3">
    <w:name w:val="heading 3"/>
    <w:basedOn w:val="a"/>
    <w:next w:val="a"/>
    <w:autoRedefine/>
    <w:qFormat/>
    <w:pPr>
      <w:keepNext/>
      <w:keepLines/>
      <w:spacing w:before="260" w:after="260" w:line="415" w:lineRule="auto"/>
      <w:outlineLvl w:val="2"/>
    </w:pPr>
    <w:rPr>
      <w:rFonts w:eastAsia="Arial Unicode MS"/>
      <w:b/>
      <w:bCs/>
      <w:szCs w:val="32"/>
    </w:rPr>
  </w:style>
  <w:style w:type="paragraph" w:styleId="4">
    <w:name w:val="heading 4"/>
    <w:basedOn w:val="a"/>
    <w:next w:val="a"/>
    <w:pPr>
      <w:keepNext/>
      <w:keepLines/>
      <w:spacing w:before="280" w:after="290" w:line="374" w:lineRule="auto"/>
      <w:outlineLvl w:val="3"/>
    </w:pPr>
    <w:rPr>
      <w:rFonts w:ascii="Arial" w:eastAsia="黑体" w:hAnsi="Arial"/>
      <w:bCs/>
      <w:sz w:val="28"/>
      <w:szCs w:val="28"/>
    </w:rPr>
  </w:style>
  <w:style w:type="paragraph" w:styleId="5">
    <w:name w:val="heading 5"/>
    <w:basedOn w:val="a"/>
    <w:next w:val="a"/>
    <w:autoRedefine/>
    <w:qFormat/>
    <w:pPr>
      <w:keepNext/>
      <w:keepLines/>
      <w:spacing w:before="280" w:after="290" w:line="374" w:lineRule="auto"/>
      <w:outlineLvl w:val="4"/>
    </w:pPr>
    <w:rPr>
      <w:rFonts w:eastAsia="黑体"/>
      <w:bCs/>
      <w:sz w:val="24"/>
      <w:szCs w:val="28"/>
    </w:rPr>
  </w:style>
  <w:style w:type="paragraph" w:styleId="6">
    <w:name w:val="heading 6"/>
    <w:basedOn w:val="a"/>
    <w:next w:val="a0"/>
    <w:autoRedefine/>
    <w:qFormat/>
    <w:pPr>
      <w:spacing w:line="360" w:lineRule="auto"/>
      <w:jc w:val="left"/>
      <w:outlineLvl w:val="5"/>
    </w:pPr>
    <w:rPr>
      <w:rFonts w:eastAsia="Arial Unicode MS" w:cs="Arial"/>
      <w:bCs/>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autoRedefine/>
    <w:qFormat/>
    <w:pPr>
      <w:widowControl w:val="0"/>
      <w:autoSpaceDE w:val="0"/>
      <w:autoSpaceDN w:val="0"/>
      <w:adjustRightInd w:val="0"/>
    </w:pPr>
    <w:rPr>
      <w:rFonts w:ascii="宋体" w:eastAsia="宋体"/>
      <w:color w:val="000000"/>
      <w:sz w:val="24"/>
      <w:szCs w:val="24"/>
    </w:rPr>
  </w:style>
  <w:style w:type="paragraph" w:styleId="a0">
    <w:name w:val="Normal Indent"/>
    <w:basedOn w:val="a"/>
    <w:autoRedefine/>
    <w:qFormat/>
    <w:pPr>
      <w:snapToGrid w:val="0"/>
      <w:spacing w:line="360" w:lineRule="auto"/>
      <w:ind w:firstLine="420"/>
    </w:pPr>
    <w:rPr>
      <w:sz w:val="28"/>
      <w:szCs w:val="20"/>
    </w:rPr>
  </w:style>
  <w:style w:type="paragraph" w:styleId="7">
    <w:name w:val="toc 7"/>
    <w:basedOn w:val="a"/>
    <w:next w:val="a"/>
    <w:autoRedefine/>
    <w:qFormat/>
    <w:pPr>
      <w:ind w:leftChars="1200" w:left="1200"/>
    </w:pPr>
  </w:style>
  <w:style w:type="paragraph" w:styleId="a4">
    <w:name w:val="Document Map"/>
    <w:basedOn w:val="a"/>
    <w:autoRedefine/>
    <w:qFormat/>
    <w:pPr>
      <w:shd w:val="clear" w:color="auto" w:fill="000080"/>
    </w:pPr>
  </w:style>
  <w:style w:type="paragraph" w:styleId="a5">
    <w:name w:val="annotation text"/>
    <w:basedOn w:val="a"/>
    <w:autoRedefine/>
    <w:qFormat/>
    <w:pPr>
      <w:jc w:val="left"/>
    </w:pPr>
  </w:style>
  <w:style w:type="paragraph" w:styleId="a6">
    <w:name w:val="Body Text"/>
    <w:basedOn w:val="a"/>
    <w:autoRedefine/>
    <w:qFormat/>
    <w:pPr>
      <w:spacing w:after="120"/>
    </w:pPr>
  </w:style>
  <w:style w:type="paragraph" w:styleId="a7">
    <w:name w:val="Body Text Indent"/>
    <w:basedOn w:val="a"/>
    <w:autoRedefine/>
    <w:qFormat/>
    <w:pPr>
      <w:spacing w:line="360" w:lineRule="auto"/>
      <w:ind w:firstLineChars="200" w:firstLine="200"/>
    </w:pPr>
    <w:rPr>
      <w:rFonts w:ascii="宋体"/>
      <w:sz w:val="24"/>
    </w:rPr>
  </w:style>
  <w:style w:type="paragraph" w:styleId="50">
    <w:name w:val="toc 5"/>
    <w:basedOn w:val="a"/>
    <w:next w:val="a"/>
    <w:autoRedefine/>
    <w:qFormat/>
    <w:pPr>
      <w:ind w:leftChars="800" w:left="800"/>
    </w:pPr>
  </w:style>
  <w:style w:type="paragraph" w:styleId="30">
    <w:name w:val="toc 3"/>
    <w:basedOn w:val="a"/>
    <w:next w:val="a"/>
    <w:autoRedefine/>
    <w:qFormat/>
    <w:pPr>
      <w:tabs>
        <w:tab w:val="right" w:leader="dot" w:pos="8296"/>
      </w:tabs>
    </w:pPr>
  </w:style>
  <w:style w:type="paragraph" w:styleId="8">
    <w:name w:val="toc 8"/>
    <w:basedOn w:val="a"/>
    <w:next w:val="a"/>
    <w:autoRedefine/>
    <w:qFormat/>
    <w:pPr>
      <w:ind w:leftChars="1400" w:left="1400"/>
    </w:pPr>
  </w:style>
  <w:style w:type="paragraph" w:styleId="a8">
    <w:name w:val="Date"/>
    <w:basedOn w:val="a"/>
    <w:next w:val="a"/>
    <w:autoRedefine/>
    <w:qFormat/>
    <w:rPr>
      <w:rFonts w:ascii="宋体"/>
      <w:b/>
      <w:color w:val="000000"/>
      <w:spacing w:val="20"/>
      <w:kern w:val="0"/>
      <w:sz w:val="30"/>
      <w:szCs w:val="20"/>
    </w:rPr>
  </w:style>
  <w:style w:type="paragraph" w:styleId="a9">
    <w:name w:val="Balloon Text"/>
    <w:basedOn w:val="a"/>
    <w:autoRedefine/>
    <w:qFormat/>
    <w:rPr>
      <w:sz w:val="18"/>
      <w:szCs w:val="18"/>
    </w:rPr>
  </w:style>
  <w:style w:type="paragraph" w:styleId="aa">
    <w:name w:val="footer"/>
    <w:basedOn w:val="a"/>
    <w:autoRedefine/>
    <w:qFormat/>
    <w:pPr>
      <w:tabs>
        <w:tab w:val="center" w:pos="4153"/>
        <w:tab w:val="right" w:pos="8306"/>
      </w:tabs>
      <w:snapToGrid w:val="0"/>
      <w:jc w:val="left"/>
    </w:pPr>
    <w:rPr>
      <w:sz w:val="18"/>
      <w:szCs w:val="18"/>
    </w:rPr>
  </w:style>
  <w:style w:type="paragraph" w:styleId="ab">
    <w:name w:val="header"/>
    <w:basedOn w:val="a"/>
    <w:autoRedefine/>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autoRedefine/>
    <w:qFormat/>
    <w:pPr>
      <w:spacing w:beforeLines="100" w:before="100" w:afterLines="100" w:after="100"/>
    </w:pPr>
    <w:rPr>
      <w:sz w:val="24"/>
    </w:rPr>
  </w:style>
  <w:style w:type="paragraph" w:styleId="40">
    <w:name w:val="toc 4"/>
    <w:basedOn w:val="a"/>
    <w:next w:val="a"/>
    <w:autoRedefine/>
    <w:qFormat/>
    <w:pPr>
      <w:ind w:leftChars="600" w:left="600"/>
    </w:pPr>
  </w:style>
  <w:style w:type="paragraph" w:styleId="ac">
    <w:name w:val="footnote text"/>
    <w:basedOn w:val="a"/>
    <w:autoRedefine/>
    <w:qFormat/>
    <w:pPr>
      <w:snapToGrid w:val="0"/>
      <w:jc w:val="left"/>
    </w:pPr>
    <w:rPr>
      <w:sz w:val="18"/>
      <w:szCs w:val="18"/>
    </w:rPr>
  </w:style>
  <w:style w:type="paragraph" w:styleId="60">
    <w:name w:val="toc 6"/>
    <w:basedOn w:val="a"/>
    <w:next w:val="a"/>
    <w:autoRedefine/>
    <w:qFormat/>
    <w:pPr>
      <w:ind w:leftChars="1000" w:left="1000"/>
    </w:pPr>
  </w:style>
  <w:style w:type="paragraph" w:styleId="31">
    <w:name w:val="Body Text Indent 3"/>
    <w:basedOn w:val="a"/>
    <w:autoRedefine/>
    <w:qFormat/>
    <w:pPr>
      <w:spacing w:after="120"/>
      <w:ind w:leftChars="200" w:left="200"/>
    </w:pPr>
    <w:rPr>
      <w:sz w:val="16"/>
      <w:szCs w:val="16"/>
    </w:rPr>
  </w:style>
  <w:style w:type="paragraph" w:styleId="20">
    <w:name w:val="toc 2"/>
    <w:basedOn w:val="a"/>
    <w:next w:val="a"/>
    <w:autoRedefine/>
    <w:qFormat/>
    <w:pPr>
      <w:ind w:leftChars="200" w:left="200"/>
    </w:pPr>
  </w:style>
  <w:style w:type="paragraph" w:styleId="9">
    <w:name w:val="toc 9"/>
    <w:basedOn w:val="a"/>
    <w:next w:val="a"/>
    <w:autoRedefine/>
    <w:qFormat/>
    <w:pPr>
      <w:ind w:leftChars="1600" w:left="1600"/>
    </w:pPr>
  </w:style>
  <w:style w:type="paragraph" w:styleId="21">
    <w:name w:val="Body Text 2"/>
    <w:basedOn w:val="a"/>
    <w:autoRedefine/>
    <w:qFormat/>
    <w:pPr>
      <w:spacing w:after="120" w:line="480" w:lineRule="auto"/>
    </w:pPr>
  </w:style>
  <w:style w:type="paragraph" w:styleId="HTML">
    <w:name w:val="HTML Preformatted"/>
    <w:basedOn w:val="a"/>
    <w:autoRedefine/>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cs="宋体"/>
      <w:color w:val="000000"/>
      <w:kern w:val="0"/>
      <w:sz w:val="24"/>
    </w:rPr>
  </w:style>
  <w:style w:type="paragraph" w:styleId="ad">
    <w:name w:val="Normal (Web)"/>
    <w:basedOn w:val="a"/>
    <w:autoRedefine/>
    <w:qFormat/>
    <w:pPr>
      <w:widowControl/>
      <w:spacing w:before="100" w:beforeAutospacing="1" w:after="100" w:afterAutospacing="1"/>
      <w:jc w:val="left"/>
    </w:pPr>
    <w:rPr>
      <w:rFonts w:ascii="宋体" w:cs="宋体"/>
      <w:kern w:val="0"/>
      <w:sz w:val="24"/>
    </w:rPr>
  </w:style>
  <w:style w:type="paragraph" w:styleId="ae">
    <w:name w:val="annotation subject"/>
    <w:basedOn w:val="a5"/>
    <w:next w:val="a5"/>
    <w:autoRedefine/>
    <w:qFormat/>
    <w:rPr>
      <w:b/>
      <w:bCs/>
    </w:rPr>
  </w:style>
  <w:style w:type="character" w:styleId="af">
    <w:name w:val="page number"/>
    <w:basedOn w:val="a1"/>
    <w:autoRedefine/>
    <w:qFormat/>
  </w:style>
  <w:style w:type="character" w:styleId="af0">
    <w:name w:val="FollowedHyperlink"/>
    <w:basedOn w:val="a1"/>
    <w:autoRedefine/>
    <w:qFormat/>
    <w:rPr>
      <w:color w:val="800080"/>
      <w:u w:val="single"/>
    </w:rPr>
  </w:style>
  <w:style w:type="character" w:styleId="af1">
    <w:name w:val="Hyperlink"/>
    <w:autoRedefine/>
    <w:qFormat/>
    <w:rPr>
      <w:color w:val="0000FF"/>
      <w:u w:val="single"/>
    </w:rPr>
  </w:style>
  <w:style w:type="character" w:styleId="af2">
    <w:name w:val="annotation reference"/>
    <w:autoRedefine/>
    <w:qFormat/>
    <w:rPr>
      <w:sz w:val="21"/>
      <w:szCs w:val="21"/>
    </w:rPr>
  </w:style>
  <w:style w:type="character" w:styleId="af3">
    <w:name w:val="footnote reference"/>
    <w:autoRedefine/>
    <w:qFormat/>
    <w:rPr>
      <w:vertAlign w:val="superscript"/>
    </w:rPr>
  </w:style>
  <w:style w:type="character" w:customStyle="1" w:styleId="md2">
    <w:name w:val="md2"/>
    <w:autoRedefine/>
    <w:qFormat/>
    <w:rPr>
      <w:spacing w:val="300"/>
      <w:sz w:val="21"/>
      <w:szCs w:val="21"/>
    </w:rPr>
  </w:style>
  <w:style w:type="character" w:customStyle="1" w:styleId="3Char1">
    <w:name w:val="标题 3 Char1"/>
    <w:autoRedefine/>
    <w:qFormat/>
    <w:rPr>
      <w:rFonts w:eastAsia="Arial Unicode MS"/>
      <w:b/>
      <w:bCs/>
      <w:kern w:val="2"/>
      <w:sz w:val="21"/>
      <w:szCs w:val="32"/>
      <w:lang w:val="en-US" w:eastAsia="zh-CN" w:bidi="ar-SA"/>
    </w:rPr>
  </w:style>
  <w:style w:type="paragraph" w:customStyle="1" w:styleId="BalloonText1">
    <w:name w:val="Balloon Text1"/>
    <w:basedOn w:val="a"/>
    <w:autoRedefine/>
    <w:qFormat/>
    <w:rPr>
      <w:rFonts w:ascii="宋体"/>
      <w:sz w:val="18"/>
      <w:szCs w:val="18"/>
    </w:rPr>
  </w:style>
  <w:style w:type="paragraph" w:customStyle="1" w:styleId="xl23">
    <w:name w:val="xl23"/>
    <w:basedOn w:val="a"/>
    <w:autoRedefine/>
    <w:qFormat/>
    <w:pPr>
      <w:widowControl/>
      <w:pBdr>
        <w:bottom w:val="single" w:sz="4" w:space="0" w:color="auto"/>
        <w:right w:val="single" w:sz="4" w:space="0" w:color="auto"/>
      </w:pBdr>
      <w:spacing w:before="100" w:beforeAutospacing="1" w:after="100" w:afterAutospacing="1"/>
      <w:jc w:val="center"/>
    </w:pPr>
    <w:rPr>
      <w:rFonts w:ascii="宋体"/>
      <w:b/>
      <w:bCs/>
      <w:kern w:val="0"/>
      <w:sz w:val="18"/>
      <w:szCs w:val="18"/>
    </w:rPr>
  </w:style>
  <w:style w:type="character" w:customStyle="1" w:styleId="3CharChar1">
    <w:name w:val="标题 3 Char Char1"/>
    <w:autoRedefine/>
    <w:qFormat/>
    <w:rPr>
      <w:rFonts w:eastAsia="Arial Unicode MS"/>
      <w:b/>
      <w:bCs/>
      <w:kern w:val="2"/>
      <w:sz w:val="21"/>
      <w:szCs w:val="32"/>
      <w:lang w:val="en-US" w:eastAsia="zh-CN" w:bidi="ar-SA"/>
    </w:rPr>
  </w:style>
  <w:style w:type="paragraph" w:customStyle="1" w:styleId="af4">
    <w:name w:val=".."/>
    <w:basedOn w:val="Default"/>
    <w:next w:val="Default"/>
    <w:autoRedefine/>
    <w:qFormat/>
    <w:rPr>
      <w:color w:val="auto"/>
    </w:rPr>
  </w:style>
  <w:style w:type="character" w:customStyle="1" w:styleId="hangju3">
    <w:name w:val="hangju3"/>
    <w:autoRedefine/>
    <w:qFormat/>
    <w:rPr>
      <w:sz w:val="21"/>
      <w:szCs w:val="21"/>
    </w:rPr>
  </w:style>
  <w:style w:type="paragraph" w:customStyle="1" w:styleId="11">
    <w:name w:val="批注框文本1"/>
    <w:basedOn w:val="a"/>
    <w:autoRedefine/>
    <w:qFormat/>
    <w:rPr>
      <w:sz w:val="16"/>
      <w:szCs w:val="16"/>
    </w:rPr>
  </w:style>
  <w:style w:type="paragraph" w:customStyle="1" w:styleId="CharCharCharCharCharCharChar">
    <w:name w:val="Char Char Char Char Char Char Char"/>
    <w:basedOn w:val="a"/>
    <w:autoRedefine/>
    <w:qFormat/>
  </w:style>
  <w:style w:type="paragraph" w:customStyle="1" w:styleId="af5">
    <w:name w:val="正文正文"/>
    <w:basedOn w:val="a"/>
    <w:autoRedefine/>
    <w:qFormat/>
    <w:pPr>
      <w:spacing w:afterLines="25" w:after="25" w:line="360" w:lineRule="auto"/>
      <w:ind w:firstLineChars="200" w:firstLine="200"/>
    </w:pPr>
    <w:rPr>
      <w:sz w:val="24"/>
    </w:rPr>
  </w:style>
  <w:style w:type="paragraph" w:customStyle="1" w:styleId="12">
    <w:name w:val="修订1"/>
    <w:autoRedefine/>
    <w:qFormat/>
    <w:rPr>
      <w:rFonts w:eastAsia="宋体"/>
      <w:kern w:val="2"/>
      <w:sz w:val="21"/>
      <w:szCs w:val="24"/>
    </w:rPr>
  </w:style>
  <w:style w:type="paragraph" w:customStyle="1" w:styleId="22">
    <w:name w:val="修订2"/>
    <w:autoRedefine/>
    <w:qFormat/>
    <w:rPr>
      <w:rFonts w:eastAsia="宋体"/>
      <w:kern w:val="2"/>
      <w:sz w:val="21"/>
      <w:szCs w:val="24"/>
    </w:rPr>
  </w:style>
  <w:style w:type="paragraph" w:styleId="af6">
    <w:name w:val="Revision"/>
    <w:hidden/>
    <w:uiPriority w:val="99"/>
    <w:unhideWhenUsed/>
    <w:rsid w:val="00092622"/>
    <w:rPr>
      <w:rFonts w:eastAsia="宋体"/>
      <w:kern w:val="2"/>
      <w:sz w:val="21"/>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aipingfund.com.cn"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1339</Words>
  <Characters>7633</Characters>
  <Application>Microsoft Office Word</Application>
  <DocSecurity>4</DocSecurity>
  <Lines>63</Lines>
  <Paragraphs>17</Paragraphs>
  <ScaleCrop>false</ScaleCrop>
  <Company>银华基金管理公司</Company>
  <LinksUpToDate>false</LinksUpToDate>
  <CharactersWithSpaces>8955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陈宇翔</dc:creator>
  <cp:lastModifiedBy>ZHONGM</cp:lastModifiedBy>
  <cp:revision>2</cp:revision>
  <cp:lastPrinted>2016-08-29T06:01:00Z</cp:lastPrinted>
  <dcterms:created xsi:type="dcterms:W3CDTF">2025-03-11T16:02:00Z</dcterms:created>
  <dcterms:modified xsi:type="dcterms:W3CDTF">2025-03-11T16:02:00Z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5E251020A97A4ADF9AB6A46BE24339EF_13</vt:lpwstr>
  </property>
</Properties>
</file>