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28" w:rsidRPr="00FC2A28" w:rsidRDefault="00314FA1" w:rsidP="00FC2A28">
      <w:pPr>
        <w:keepNext/>
        <w:keepLines/>
        <w:widowControl/>
        <w:spacing w:before="120" w:after="120" w:line="360" w:lineRule="auto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0"/>
          <w:szCs w:val="32"/>
        </w:rPr>
      </w:pPr>
      <w:r w:rsidRPr="00314FA1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西部利得基金管理有限公司关于旗下部分交易型开放式基金</w:t>
      </w:r>
      <w:r w:rsidR="00792A96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新增</w:t>
      </w:r>
      <w:r w:rsidR="00FC2A28" w:rsidRPr="00FC2A28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流动性服务商的公告</w:t>
      </w:r>
    </w:p>
    <w:p w:rsidR="00FC2A28" w:rsidRPr="00FC2A28" w:rsidRDefault="00FC2A28" w:rsidP="00FC2A28">
      <w:pPr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314FA1" w:rsidRPr="00314FA1" w:rsidRDefault="00FC2A28" w:rsidP="00314FA1">
      <w:pPr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 w:hint="eastAsia"/>
          <w:szCs w:val="20"/>
        </w:rPr>
        <w:t xml:space="preserve">　　为促进</w:t>
      </w:r>
      <w:r w:rsidR="00314FA1" w:rsidRPr="00314FA1">
        <w:rPr>
          <w:rFonts w:ascii="Times New Roman" w:eastAsia="宋体" w:hAnsi="Times New Roman" w:cs="Times New Roman" w:hint="eastAsia"/>
          <w:szCs w:val="20"/>
        </w:rPr>
        <w:t>西部利得深证红利交易型开放式指数证券投资基金（以下简称“红利</w:t>
      </w:r>
      <w:r w:rsidR="00314FA1" w:rsidRPr="00314FA1">
        <w:rPr>
          <w:rFonts w:ascii="Times New Roman" w:eastAsia="宋体" w:hAnsi="Times New Roman" w:cs="Times New Roman" w:hint="eastAsia"/>
          <w:szCs w:val="20"/>
        </w:rPr>
        <w:t xml:space="preserve"> ETF</w:t>
      </w:r>
      <w:r w:rsidR="00314FA1" w:rsidRPr="00314FA1">
        <w:rPr>
          <w:rFonts w:ascii="Times New Roman" w:eastAsia="宋体" w:hAnsi="Times New Roman" w:cs="Times New Roman" w:hint="eastAsia"/>
          <w:szCs w:val="20"/>
        </w:rPr>
        <w:t>”）、</w:t>
      </w:r>
    </w:p>
    <w:p w:rsidR="00FC2A28" w:rsidRPr="00FC2A28" w:rsidRDefault="00314FA1" w:rsidP="00314FA1">
      <w:pPr>
        <w:rPr>
          <w:rFonts w:ascii="Times New Roman" w:eastAsia="宋体" w:hAnsi="Times New Roman" w:cs="Times New Roman"/>
          <w:szCs w:val="20"/>
        </w:rPr>
      </w:pPr>
      <w:r w:rsidRPr="00314FA1">
        <w:rPr>
          <w:rFonts w:ascii="Times New Roman" w:eastAsia="宋体" w:hAnsi="Times New Roman" w:cs="Times New Roman" w:hint="eastAsia"/>
          <w:szCs w:val="20"/>
        </w:rPr>
        <w:t>西部利得创业板大盘交易型开放式指数证券投资基金（以下简称“创业大盘</w:t>
      </w:r>
      <w:r w:rsidRPr="00314FA1">
        <w:rPr>
          <w:rFonts w:ascii="Times New Roman" w:eastAsia="宋体" w:hAnsi="Times New Roman" w:cs="Times New Roman" w:hint="eastAsia"/>
          <w:szCs w:val="20"/>
        </w:rPr>
        <w:t xml:space="preserve"> ETF</w:t>
      </w:r>
      <w:r w:rsidRPr="00314FA1">
        <w:rPr>
          <w:rFonts w:ascii="Times New Roman" w:eastAsia="宋体" w:hAnsi="Times New Roman" w:cs="Times New Roman" w:hint="eastAsia"/>
          <w:szCs w:val="20"/>
        </w:rPr>
        <w:t>”）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的市场流动性和平稳运行，根据《</w:t>
      </w:r>
      <w:r w:rsidR="00092C75" w:rsidRPr="00092C75">
        <w:rPr>
          <w:rFonts w:ascii="Times New Roman" w:eastAsia="宋体" w:hAnsi="Times New Roman" w:cs="Times New Roman" w:hint="eastAsia"/>
          <w:szCs w:val="20"/>
        </w:rPr>
        <w:t>深圳证券交易所证券投资基金业务指引第</w:t>
      </w:r>
      <w:r w:rsidR="00092C75" w:rsidRPr="00092C75">
        <w:rPr>
          <w:rFonts w:ascii="Times New Roman" w:eastAsia="宋体" w:hAnsi="Times New Roman" w:cs="Times New Roman"/>
          <w:szCs w:val="20"/>
        </w:rPr>
        <w:t>2</w:t>
      </w:r>
      <w:r w:rsidR="00092C75" w:rsidRPr="00092C75">
        <w:rPr>
          <w:rFonts w:ascii="Times New Roman" w:eastAsia="宋体" w:hAnsi="Times New Roman" w:cs="Times New Roman"/>
          <w:szCs w:val="20"/>
        </w:rPr>
        <w:t>号</w:t>
      </w:r>
      <w:r w:rsidR="00092C75" w:rsidRPr="00092C75">
        <w:rPr>
          <w:rFonts w:ascii="Times New Roman" w:eastAsia="宋体" w:hAnsi="Times New Roman" w:cs="Times New Roman"/>
          <w:szCs w:val="20"/>
        </w:rPr>
        <w:t>——</w:t>
      </w:r>
      <w:r w:rsidR="00092C75" w:rsidRPr="00092C75">
        <w:rPr>
          <w:rFonts w:ascii="Times New Roman" w:eastAsia="宋体" w:hAnsi="Times New Roman" w:cs="Times New Roman"/>
          <w:szCs w:val="20"/>
        </w:rPr>
        <w:t>流动性服务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》</w:t>
      </w:r>
      <w:r w:rsidR="00F8460C">
        <w:rPr>
          <w:rFonts w:ascii="Times New Roman" w:eastAsia="宋体" w:hAnsi="Times New Roman" w:cs="Times New Roman" w:hint="eastAsia"/>
          <w:szCs w:val="20"/>
        </w:rPr>
        <w:t>等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有关规定，自</w:t>
      </w:r>
      <w:r>
        <w:rPr>
          <w:rFonts w:ascii="Times New Roman" w:eastAsia="宋体" w:hAnsi="Times New Roman" w:cs="Times New Roman" w:hint="eastAsia"/>
          <w:szCs w:val="20"/>
        </w:rPr>
        <w:t>2025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年</w:t>
      </w:r>
      <w:r>
        <w:rPr>
          <w:rFonts w:ascii="Times New Roman" w:eastAsia="宋体" w:hAnsi="Times New Roman" w:cs="Times New Roman" w:hint="eastAsia"/>
          <w:szCs w:val="20"/>
        </w:rPr>
        <w:t>3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月</w:t>
      </w:r>
      <w:r>
        <w:rPr>
          <w:rFonts w:ascii="Times New Roman" w:eastAsia="宋体" w:hAnsi="Times New Roman" w:cs="Times New Roman" w:hint="eastAsia"/>
          <w:szCs w:val="20"/>
        </w:rPr>
        <w:t>5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日起，</w:t>
      </w:r>
      <w:r w:rsidR="00F8460C">
        <w:rPr>
          <w:rFonts w:ascii="Times New Roman" w:eastAsia="宋体" w:hAnsi="Times New Roman" w:cs="Times New Roman" w:hint="eastAsia"/>
          <w:szCs w:val="20"/>
        </w:rPr>
        <w:t>本公司新增</w:t>
      </w:r>
      <w:r>
        <w:rPr>
          <w:rFonts w:ascii="Times New Roman" w:eastAsia="宋体" w:hAnsi="Times New Roman" w:cs="Times New Roman" w:hint="eastAsia"/>
          <w:szCs w:val="20"/>
        </w:rPr>
        <w:t>国泰君安证券股份有限</w:t>
      </w:r>
      <w:r w:rsidR="00F8460C">
        <w:rPr>
          <w:rFonts w:ascii="Times New Roman" w:eastAsia="宋体" w:hAnsi="Times New Roman" w:cs="Times New Roman" w:hint="eastAsia"/>
          <w:szCs w:val="20"/>
        </w:rPr>
        <w:t>公司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为</w:t>
      </w:r>
      <w:r w:rsidRPr="00314FA1">
        <w:rPr>
          <w:rFonts w:ascii="Times New Roman" w:eastAsia="宋体" w:hAnsi="Times New Roman" w:cs="Times New Roman" w:hint="eastAsia"/>
          <w:szCs w:val="20"/>
        </w:rPr>
        <w:t>红利</w:t>
      </w:r>
      <w:r w:rsidRPr="00314FA1">
        <w:rPr>
          <w:rFonts w:ascii="Times New Roman" w:eastAsia="宋体" w:hAnsi="Times New Roman" w:cs="Times New Roman" w:hint="eastAsia"/>
          <w:szCs w:val="20"/>
        </w:rPr>
        <w:t xml:space="preserve"> ETF</w:t>
      </w:r>
      <w:r w:rsidRPr="00314FA1">
        <w:rPr>
          <w:rFonts w:ascii="Times New Roman" w:eastAsia="宋体" w:hAnsi="Times New Roman" w:cs="Times New Roman" w:hint="eastAsia"/>
          <w:szCs w:val="20"/>
        </w:rPr>
        <w:t>（代码：</w:t>
      </w:r>
      <w:r w:rsidRPr="00314FA1">
        <w:rPr>
          <w:rFonts w:ascii="Times New Roman" w:eastAsia="宋体" w:hAnsi="Times New Roman" w:cs="Times New Roman" w:hint="eastAsia"/>
          <w:szCs w:val="20"/>
        </w:rPr>
        <w:t>159708</w:t>
      </w:r>
      <w:r w:rsidRPr="00314FA1">
        <w:rPr>
          <w:rFonts w:ascii="Times New Roman" w:eastAsia="宋体" w:hAnsi="Times New Roman" w:cs="Times New Roman" w:hint="eastAsia"/>
          <w:szCs w:val="20"/>
        </w:rPr>
        <w:t>）、创业大盘</w:t>
      </w:r>
      <w:r w:rsidRPr="00314FA1">
        <w:rPr>
          <w:rFonts w:ascii="Times New Roman" w:eastAsia="宋体" w:hAnsi="Times New Roman" w:cs="Times New Roman" w:hint="eastAsia"/>
          <w:szCs w:val="20"/>
        </w:rPr>
        <w:t xml:space="preserve"> ETF</w:t>
      </w:r>
      <w:r w:rsidRPr="00314FA1">
        <w:rPr>
          <w:rFonts w:ascii="Times New Roman" w:eastAsia="宋体" w:hAnsi="Times New Roman" w:cs="Times New Roman" w:hint="eastAsia"/>
          <w:szCs w:val="20"/>
        </w:rPr>
        <w:t>（代码：</w:t>
      </w:r>
      <w:r w:rsidRPr="00314FA1">
        <w:rPr>
          <w:rFonts w:ascii="Times New Roman" w:eastAsia="宋体" w:hAnsi="Times New Roman" w:cs="Times New Roman" w:hint="eastAsia"/>
          <w:szCs w:val="20"/>
        </w:rPr>
        <w:t>159814</w:t>
      </w:r>
      <w:r w:rsidRPr="00314FA1">
        <w:rPr>
          <w:rFonts w:ascii="Times New Roman" w:eastAsia="宋体" w:hAnsi="Times New Roman" w:cs="Times New Roman" w:hint="eastAsia"/>
          <w:szCs w:val="20"/>
        </w:rPr>
        <w:t>）的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流动性服务商。</w:t>
      </w:r>
    </w:p>
    <w:p w:rsidR="00FC2A28" w:rsidRPr="00FC2A28" w:rsidRDefault="00FC2A28" w:rsidP="00F8460C">
      <w:pPr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FC2A28" w:rsidRDefault="00FC2A28" w:rsidP="00FC2A28">
      <w:pPr>
        <w:jc w:val="right"/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FC2A28" w:rsidRDefault="00FC2A28" w:rsidP="00FC2A28">
      <w:pPr>
        <w:jc w:val="left"/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 w:hint="eastAsia"/>
          <w:szCs w:val="20"/>
        </w:rPr>
        <w:t xml:space="preserve">　　特此公告。</w:t>
      </w:r>
    </w:p>
    <w:p w:rsidR="00FC2A28" w:rsidRPr="00FC2A28" w:rsidRDefault="00FC2A28" w:rsidP="00FC2A28">
      <w:pPr>
        <w:jc w:val="right"/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FC2A28" w:rsidRDefault="00314FA1" w:rsidP="00FC2A28">
      <w:pPr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西部利得基金管理有限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公司</w:t>
      </w:r>
    </w:p>
    <w:p w:rsidR="00FC2A28" w:rsidRPr="00FC2A28" w:rsidRDefault="00314FA1" w:rsidP="00FC2A28">
      <w:pPr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2025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年</w:t>
      </w:r>
      <w:r>
        <w:rPr>
          <w:rFonts w:ascii="Times New Roman" w:eastAsia="宋体" w:hAnsi="Times New Roman" w:cs="Times New Roman" w:hint="eastAsia"/>
          <w:szCs w:val="20"/>
        </w:rPr>
        <w:t>3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月</w:t>
      </w:r>
      <w:r>
        <w:rPr>
          <w:rFonts w:ascii="Times New Roman" w:eastAsia="宋体" w:hAnsi="Times New Roman" w:cs="Times New Roman" w:hint="eastAsia"/>
          <w:szCs w:val="20"/>
        </w:rPr>
        <w:t>5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日</w:t>
      </w:r>
    </w:p>
    <w:sectPr w:rsidR="00FC2A28" w:rsidRPr="00FC2A28" w:rsidSect="0053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83" w:rsidRDefault="00E13483" w:rsidP="00092C75">
      <w:r>
        <w:separator/>
      </w:r>
    </w:p>
  </w:endnote>
  <w:endnote w:type="continuationSeparator" w:id="0">
    <w:p w:rsidR="00E13483" w:rsidRDefault="00E13483" w:rsidP="0009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83" w:rsidRDefault="00E13483" w:rsidP="00092C75">
      <w:r>
        <w:separator/>
      </w:r>
    </w:p>
  </w:footnote>
  <w:footnote w:type="continuationSeparator" w:id="0">
    <w:p w:rsidR="00E13483" w:rsidRDefault="00E13483" w:rsidP="00092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92C75"/>
    <w:rsid w:val="000F587C"/>
    <w:rsid w:val="00180703"/>
    <w:rsid w:val="00186B81"/>
    <w:rsid w:val="00314FA1"/>
    <w:rsid w:val="00535C2C"/>
    <w:rsid w:val="005C6C5C"/>
    <w:rsid w:val="00792A96"/>
    <w:rsid w:val="007B2188"/>
    <w:rsid w:val="007B6C7F"/>
    <w:rsid w:val="008D0F9B"/>
    <w:rsid w:val="009D1DE7"/>
    <w:rsid w:val="00B50B2B"/>
    <w:rsid w:val="00B90AE1"/>
    <w:rsid w:val="00BE4A9B"/>
    <w:rsid w:val="00E13483"/>
    <w:rsid w:val="00F8460C"/>
    <w:rsid w:val="00FB06A4"/>
    <w:rsid w:val="00FC2A28"/>
    <w:rsid w:val="00FE0443"/>
    <w:rsid w:val="00F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75"/>
    <w:rPr>
      <w:sz w:val="18"/>
      <w:szCs w:val="18"/>
    </w:rPr>
  </w:style>
  <w:style w:type="paragraph" w:styleId="a5">
    <w:name w:val="Revision"/>
    <w:hidden/>
    <w:uiPriority w:val="99"/>
    <w:semiHidden/>
    <w:rsid w:val="00314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4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2025-03-04T16:01:00Z</dcterms:created>
  <dcterms:modified xsi:type="dcterms:W3CDTF">2025-03-04T16:01:00Z</dcterms:modified>
</cp:coreProperties>
</file>