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30D3" w:rsidRDefault="002330D3" w:rsidP="002330D3">
      <w:pPr>
        <w:adjustRightInd w:val="0"/>
        <w:spacing w:line="360" w:lineRule="auto"/>
        <w:jc w:val="center"/>
        <w:rPr>
          <w:rFonts w:ascii="Arial" w:hAnsi="Arial" w:cs="Arial"/>
          <w:b/>
          <w:sz w:val="28"/>
          <w:szCs w:val="28"/>
        </w:rPr>
      </w:pPr>
      <w:r>
        <w:rPr>
          <w:rFonts w:ascii="Arial" w:hAnsi="Arial" w:cs="Arial" w:hint="eastAsia"/>
          <w:b/>
          <w:sz w:val="28"/>
          <w:szCs w:val="28"/>
        </w:rPr>
        <w:t>华商基金管理有限公司关于在</w:t>
      </w:r>
      <w:r w:rsidRPr="001B10C9">
        <w:rPr>
          <w:rFonts w:ascii="Arial" w:hAnsi="Arial" w:cs="Arial" w:hint="eastAsia"/>
          <w:b/>
          <w:sz w:val="28"/>
          <w:szCs w:val="28"/>
        </w:rPr>
        <w:t>中国工商银行股份有限公司</w:t>
      </w:r>
    </w:p>
    <w:p w:rsidR="002330D3" w:rsidRDefault="002330D3" w:rsidP="002330D3">
      <w:pPr>
        <w:adjustRightInd w:val="0"/>
        <w:spacing w:line="360" w:lineRule="auto"/>
        <w:jc w:val="center"/>
        <w:rPr>
          <w:rFonts w:ascii="Arial" w:hAnsi="Arial" w:cs="Arial"/>
          <w:b/>
          <w:sz w:val="28"/>
          <w:szCs w:val="28"/>
        </w:rPr>
      </w:pPr>
      <w:r>
        <w:rPr>
          <w:rFonts w:ascii="Arial" w:hAnsi="Arial" w:cs="Arial" w:hint="eastAsia"/>
          <w:b/>
          <w:sz w:val="28"/>
          <w:szCs w:val="28"/>
        </w:rPr>
        <w:t>开通旗下部分基金</w:t>
      </w:r>
      <w:r w:rsidR="00C91B87" w:rsidRPr="00480ADF">
        <w:rPr>
          <w:rFonts w:ascii="Arial" w:hAnsi="Arial" w:cs="Arial" w:hint="eastAsia"/>
          <w:b/>
          <w:sz w:val="28"/>
          <w:szCs w:val="28"/>
        </w:rPr>
        <w:t>定期定额投资</w:t>
      </w:r>
      <w:r w:rsidR="00C91B87">
        <w:rPr>
          <w:rFonts w:ascii="Arial" w:hAnsi="Arial" w:cs="Arial" w:hint="eastAsia"/>
          <w:b/>
          <w:sz w:val="28"/>
          <w:szCs w:val="28"/>
        </w:rPr>
        <w:t>业务</w:t>
      </w:r>
      <w:r>
        <w:rPr>
          <w:rFonts w:ascii="Arial" w:hAnsi="Arial" w:cs="Arial" w:hint="eastAsia"/>
          <w:b/>
          <w:sz w:val="28"/>
          <w:szCs w:val="28"/>
        </w:rPr>
        <w:t>的公告</w:t>
      </w:r>
    </w:p>
    <w:p w:rsidR="002330D3" w:rsidRDefault="002330D3" w:rsidP="002330D3">
      <w:pPr>
        <w:adjustRightInd w:val="0"/>
        <w:spacing w:line="360" w:lineRule="auto"/>
        <w:jc w:val="center"/>
        <w:rPr>
          <w:rFonts w:ascii="Arial" w:hAnsi="Arial" w:cs="Arial"/>
          <w:b/>
          <w:sz w:val="28"/>
          <w:szCs w:val="28"/>
        </w:rPr>
      </w:pPr>
    </w:p>
    <w:p w:rsidR="002330D3" w:rsidRDefault="002330D3" w:rsidP="002330D3">
      <w:pPr>
        <w:spacing w:line="360" w:lineRule="auto"/>
        <w:ind w:firstLineChars="200" w:firstLine="420"/>
        <w:rPr>
          <w:rFonts w:ascii="Arial" w:hAnsi="Arial" w:cs="Arial"/>
          <w:sz w:val="24"/>
          <w:szCs w:val="24"/>
        </w:rPr>
      </w:pPr>
      <w:r w:rsidRPr="000C1A8C">
        <w:rPr>
          <w:rFonts w:ascii="宋体" w:hAnsi="宋体"/>
          <w:szCs w:val="21"/>
        </w:rPr>
        <w:t>为满足广大投资者的理财需求，更好地为投资者提供服务，经华商基金管理有限公司（以下简称</w:t>
      </w:r>
      <w:r w:rsidRPr="000C1A8C">
        <w:rPr>
          <w:rFonts w:ascii="宋体" w:hAnsi="宋体" w:hint="eastAsia"/>
          <w:szCs w:val="21"/>
        </w:rPr>
        <w:t>“</w:t>
      </w:r>
      <w:r w:rsidRPr="000C1A8C">
        <w:rPr>
          <w:rFonts w:ascii="宋体" w:hAnsi="宋体"/>
          <w:szCs w:val="21"/>
        </w:rPr>
        <w:t>本公司</w:t>
      </w:r>
      <w:r w:rsidRPr="000C1A8C">
        <w:rPr>
          <w:rFonts w:ascii="宋体" w:hAnsi="宋体" w:hint="eastAsia"/>
          <w:szCs w:val="21"/>
        </w:rPr>
        <w:t>”或“</w:t>
      </w:r>
      <w:r w:rsidRPr="000C1A8C">
        <w:rPr>
          <w:rFonts w:ascii="宋体" w:hAnsi="宋体"/>
          <w:szCs w:val="21"/>
        </w:rPr>
        <w:t>本基金管理人</w:t>
      </w:r>
      <w:r w:rsidRPr="000C1A8C">
        <w:rPr>
          <w:rFonts w:ascii="宋体" w:hAnsi="宋体" w:hint="eastAsia"/>
          <w:szCs w:val="21"/>
        </w:rPr>
        <w:t>”</w:t>
      </w:r>
      <w:r w:rsidRPr="000C1A8C">
        <w:rPr>
          <w:rFonts w:ascii="宋体" w:hAnsi="宋体"/>
          <w:szCs w:val="21"/>
        </w:rPr>
        <w:t>）与</w:t>
      </w:r>
      <w:r w:rsidRPr="000C1A8C">
        <w:rPr>
          <w:rFonts w:ascii="宋体" w:hAnsi="宋体" w:hint="eastAsia"/>
          <w:szCs w:val="21"/>
        </w:rPr>
        <w:t>中国工商银行股份有限公司</w:t>
      </w:r>
      <w:r w:rsidRPr="000C1A8C">
        <w:rPr>
          <w:rFonts w:ascii="宋体" w:hAnsi="宋体"/>
          <w:szCs w:val="21"/>
        </w:rPr>
        <w:t>（以下简称</w:t>
      </w:r>
      <w:r w:rsidRPr="000C1A8C">
        <w:rPr>
          <w:rFonts w:ascii="宋体" w:hAnsi="宋体" w:hint="eastAsia"/>
          <w:szCs w:val="21"/>
        </w:rPr>
        <w:t>“工商银行”</w:t>
      </w:r>
      <w:r w:rsidRPr="000C1A8C">
        <w:rPr>
          <w:rFonts w:ascii="宋体" w:hAnsi="宋体"/>
          <w:szCs w:val="21"/>
        </w:rPr>
        <w:t>）协商一致，决定自</w:t>
      </w:r>
      <w:r w:rsidR="00C91B87" w:rsidRPr="000C1A8C">
        <w:rPr>
          <w:rFonts w:ascii="宋体" w:hAnsi="宋体"/>
          <w:szCs w:val="21"/>
        </w:rPr>
        <w:t>202</w:t>
      </w:r>
      <w:r w:rsidR="00C91B87">
        <w:rPr>
          <w:rFonts w:ascii="宋体" w:hAnsi="宋体"/>
          <w:szCs w:val="21"/>
        </w:rPr>
        <w:t>5</w:t>
      </w:r>
      <w:r w:rsidRPr="000C1A8C">
        <w:rPr>
          <w:rFonts w:ascii="宋体" w:hAnsi="宋体"/>
          <w:szCs w:val="21"/>
        </w:rPr>
        <w:t>年</w:t>
      </w:r>
      <w:r w:rsidR="00C91B87">
        <w:rPr>
          <w:rFonts w:ascii="宋体" w:hAnsi="宋体"/>
          <w:szCs w:val="21"/>
        </w:rPr>
        <w:t>3</w:t>
      </w:r>
      <w:r w:rsidRPr="000C1A8C">
        <w:rPr>
          <w:rFonts w:ascii="宋体" w:hAnsi="宋体"/>
          <w:szCs w:val="21"/>
        </w:rPr>
        <w:t>月</w:t>
      </w:r>
      <w:r w:rsidR="00C91B87">
        <w:rPr>
          <w:rFonts w:ascii="宋体" w:hAnsi="宋体"/>
          <w:szCs w:val="21"/>
        </w:rPr>
        <w:t>5</w:t>
      </w:r>
      <w:r w:rsidRPr="000C1A8C">
        <w:rPr>
          <w:rFonts w:ascii="宋体" w:hAnsi="宋体"/>
          <w:szCs w:val="21"/>
        </w:rPr>
        <w:t>日起，本公司</w:t>
      </w:r>
      <w:r w:rsidRPr="000C1A8C">
        <w:rPr>
          <w:rFonts w:ascii="宋体" w:hAnsi="宋体" w:hint="eastAsia"/>
          <w:szCs w:val="21"/>
        </w:rPr>
        <w:t>在工商银行开通本公司旗下部分基金的</w:t>
      </w:r>
      <w:r w:rsidR="00C91B87" w:rsidRPr="00F94EEA">
        <w:rPr>
          <w:rFonts w:ascii="宋体" w:hAnsi="宋体" w:hint="eastAsia"/>
          <w:szCs w:val="21"/>
        </w:rPr>
        <w:t>定期定额投资</w:t>
      </w:r>
      <w:r w:rsidRPr="000C1A8C">
        <w:rPr>
          <w:rFonts w:ascii="宋体" w:hAnsi="宋体" w:hint="eastAsia"/>
          <w:szCs w:val="21"/>
        </w:rPr>
        <w:t>业务。</w:t>
      </w:r>
    </w:p>
    <w:p w:rsidR="00CE3EA7" w:rsidRDefault="00CE3EA7"/>
    <w:p w:rsidR="00E40417" w:rsidRPr="00E40417" w:rsidRDefault="00E40417" w:rsidP="00E40417">
      <w:pPr>
        <w:adjustRightInd w:val="0"/>
        <w:snapToGrid w:val="0"/>
        <w:spacing w:line="360" w:lineRule="auto"/>
        <w:jc w:val="left"/>
        <w:rPr>
          <w:rFonts w:ascii="Arial" w:hAnsi="Arial" w:cs="Arial"/>
          <w:b/>
          <w:sz w:val="24"/>
          <w:szCs w:val="24"/>
        </w:rPr>
      </w:pPr>
      <w:r w:rsidRPr="00E40417">
        <w:rPr>
          <w:rFonts w:ascii="Arial" w:hAnsi="Arial" w:cs="Arial" w:hint="eastAsia"/>
          <w:b/>
          <w:sz w:val="24"/>
          <w:szCs w:val="24"/>
        </w:rPr>
        <w:t>一、适用基金</w:t>
      </w:r>
    </w:p>
    <w:tbl>
      <w:tblPr>
        <w:tblW w:w="8562" w:type="dxa"/>
        <w:tblInd w:w="-5" w:type="dxa"/>
        <w:tblLook w:val="04A0"/>
      </w:tblPr>
      <w:tblGrid>
        <w:gridCol w:w="704"/>
        <w:gridCol w:w="1506"/>
        <w:gridCol w:w="6352"/>
      </w:tblGrid>
      <w:tr w:rsidR="00E40417" w:rsidRPr="005E4B40" w:rsidTr="00106195">
        <w:trPr>
          <w:trHeight w:val="29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40417" w:rsidRPr="005E4B40" w:rsidRDefault="00E40417" w:rsidP="00106195">
            <w:pPr>
              <w:widowControl/>
              <w:jc w:val="center"/>
              <w:rPr>
                <w:rFonts w:ascii="宋体" w:hAnsi="宋体" w:cs="Arial"/>
                <w:kern w:val="0"/>
                <w:szCs w:val="20"/>
              </w:rPr>
            </w:pPr>
            <w:r w:rsidRPr="005E4B40">
              <w:rPr>
                <w:rFonts w:ascii="宋体" w:hAnsi="宋体" w:cs="Arial"/>
                <w:kern w:val="0"/>
                <w:szCs w:val="20"/>
              </w:rPr>
              <w:t>序号</w:t>
            </w:r>
          </w:p>
        </w:tc>
        <w:tc>
          <w:tcPr>
            <w:tcW w:w="1506" w:type="dxa"/>
            <w:tcBorders>
              <w:top w:val="single" w:sz="4" w:space="0" w:color="auto"/>
              <w:left w:val="nil"/>
              <w:bottom w:val="single" w:sz="4" w:space="0" w:color="auto"/>
              <w:right w:val="single" w:sz="4" w:space="0" w:color="auto"/>
            </w:tcBorders>
            <w:shd w:val="clear" w:color="auto" w:fill="auto"/>
            <w:noWrap/>
            <w:vAlign w:val="bottom"/>
            <w:hideMark/>
          </w:tcPr>
          <w:p w:rsidR="00E40417" w:rsidRPr="005E4B40" w:rsidRDefault="00E40417" w:rsidP="00106195">
            <w:pPr>
              <w:widowControl/>
              <w:jc w:val="center"/>
              <w:rPr>
                <w:rFonts w:ascii="宋体" w:hAnsi="宋体" w:cs="Arial"/>
                <w:kern w:val="0"/>
                <w:szCs w:val="20"/>
              </w:rPr>
            </w:pPr>
            <w:r w:rsidRPr="005E4B40">
              <w:rPr>
                <w:rFonts w:ascii="宋体" w:hAnsi="宋体" w:cs="Arial"/>
                <w:kern w:val="0"/>
                <w:szCs w:val="20"/>
              </w:rPr>
              <w:t>基金代码</w:t>
            </w:r>
          </w:p>
        </w:tc>
        <w:tc>
          <w:tcPr>
            <w:tcW w:w="6352" w:type="dxa"/>
            <w:tcBorders>
              <w:top w:val="single" w:sz="4" w:space="0" w:color="auto"/>
              <w:left w:val="nil"/>
              <w:bottom w:val="single" w:sz="4" w:space="0" w:color="auto"/>
              <w:right w:val="single" w:sz="4" w:space="0" w:color="auto"/>
            </w:tcBorders>
            <w:shd w:val="clear" w:color="auto" w:fill="auto"/>
            <w:noWrap/>
            <w:vAlign w:val="bottom"/>
            <w:hideMark/>
          </w:tcPr>
          <w:p w:rsidR="00E40417" w:rsidRPr="005E4B40" w:rsidRDefault="00E40417" w:rsidP="00106195">
            <w:pPr>
              <w:widowControl/>
              <w:jc w:val="center"/>
              <w:rPr>
                <w:rFonts w:ascii="宋体" w:hAnsi="宋体" w:cs="Arial"/>
                <w:kern w:val="0"/>
                <w:szCs w:val="20"/>
              </w:rPr>
            </w:pPr>
            <w:r w:rsidRPr="005E4B40">
              <w:rPr>
                <w:rFonts w:ascii="宋体" w:hAnsi="宋体" w:cs="Arial"/>
                <w:kern w:val="0"/>
                <w:szCs w:val="20"/>
              </w:rPr>
              <w:t>基金名称</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020521</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jc w:val="center"/>
              <w:rPr>
                <w:rFonts w:ascii="宋体" w:hAnsi="宋体" w:cs="Arial"/>
                <w:kern w:val="0"/>
                <w:szCs w:val="20"/>
              </w:rPr>
            </w:pPr>
            <w:r w:rsidRPr="00756897">
              <w:rPr>
                <w:rFonts w:ascii="宋体" w:hAnsi="宋体" w:cs="Arial" w:hint="eastAsia"/>
                <w:kern w:val="0"/>
                <w:szCs w:val="20"/>
              </w:rPr>
              <w:t>华商安恒债券型证券投资基金A</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2</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020522</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华商安恒债券型证券投资基金C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3</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014350</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华商卓越成长一年持有期混合型证券投资基金A</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4</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014351</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华商卓越成长一年持有期混合型证券投资基金C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5</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003403</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华商瑞丰短债债券型证券投资基金A</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6</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007210</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华商瑞丰短债债券型证券投资基金C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7</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005273</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华商可转债债券型证券投资基金A</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8</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005284</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华商可转债债券型证券投资基金C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9</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003598</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华商润丰灵活配置混合型证券投资基金A</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10</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007509</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华商润丰灵活配置混合型证券投资基金C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11</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001822</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华商智能生活灵活配置混合型证券投资基金A</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12</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015385</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华商智能生活灵活配置混合型证券投资基金C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13</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017927</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华商新动力混合型证券投资基金C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14</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013142</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华商乐享互联灵活配置混合型证券投资基金C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15</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016048</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华商新量化灵活配置混合型证券投资基金C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16</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016070</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华商新常态灵活配置混合型证券投资基金C</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17</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004189</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华商消费行业股票型证券投资基金</w:t>
            </w:r>
          </w:p>
        </w:tc>
      </w:tr>
      <w:tr w:rsidR="00756897" w:rsidRPr="00C91B87" w:rsidTr="00C91B87">
        <w:trPr>
          <w:trHeight w:val="280"/>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756897" w:rsidRPr="00F94EEA" w:rsidRDefault="00756897" w:rsidP="00756897">
            <w:pPr>
              <w:widowControl/>
              <w:jc w:val="center"/>
              <w:rPr>
                <w:rFonts w:ascii="宋体" w:hAnsi="宋体" w:cs="Arial"/>
                <w:kern w:val="0"/>
                <w:szCs w:val="20"/>
              </w:rPr>
            </w:pPr>
            <w:r w:rsidRPr="00F94EEA">
              <w:rPr>
                <w:rFonts w:ascii="宋体" w:hAnsi="宋体" w:cs="Arial" w:hint="eastAsia"/>
                <w:kern w:val="0"/>
                <w:szCs w:val="20"/>
              </w:rPr>
              <w:t>18</w:t>
            </w:r>
          </w:p>
        </w:tc>
        <w:tc>
          <w:tcPr>
            <w:tcW w:w="1506"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001933</w:t>
            </w:r>
          </w:p>
        </w:tc>
        <w:tc>
          <w:tcPr>
            <w:tcW w:w="6352" w:type="dxa"/>
            <w:tcBorders>
              <w:top w:val="nil"/>
              <w:left w:val="nil"/>
              <w:bottom w:val="single" w:sz="4" w:space="0" w:color="auto"/>
              <w:right w:val="single" w:sz="4" w:space="0" w:color="auto"/>
            </w:tcBorders>
            <w:shd w:val="clear" w:color="auto" w:fill="auto"/>
            <w:noWrap/>
            <w:vAlign w:val="bottom"/>
            <w:hideMark/>
          </w:tcPr>
          <w:p w:rsidR="00756897" w:rsidRPr="00756897" w:rsidRDefault="00756897" w:rsidP="00756897">
            <w:pPr>
              <w:widowControl/>
              <w:jc w:val="center"/>
              <w:rPr>
                <w:rFonts w:ascii="宋体" w:hAnsi="宋体" w:cs="Arial"/>
                <w:kern w:val="0"/>
                <w:szCs w:val="20"/>
              </w:rPr>
            </w:pPr>
            <w:r w:rsidRPr="00756897">
              <w:rPr>
                <w:rFonts w:ascii="宋体" w:hAnsi="宋体" w:cs="Arial" w:hint="eastAsia"/>
                <w:kern w:val="0"/>
                <w:szCs w:val="20"/>
              </w:rPr>
              <w:t>华商新兴活力灵活配置混合型证券投资基金</w:t>
            </w:r>
          </w:p>
        </w:tc>
      </w:tr>
    </w:tbl>
    <w:p w:rsidR="00E40417" w:rsidRPr="00C91B87" w:rsidRDefault="00E40417"/>
    <w:p w:rsidR="00E40417" w:rsidRDefault="00E40417" w:rsidP="00E40417">
      <w:pPr>
        <w:adjustRightInd w:val="0"/>
        <w:snapToGrid w:val="0"/>
        <w:spacing w:line="360" w:lineRule="auto"/>
        <w:jc w:val="left"/>
        <w:rPr>
          <w:rFonts w:ascii="Arial" w:hAnsi="Arial" w:cs="Arial"/>
          <w:b/>
          <w:sz w:val="24"/>
          <w:szCs w:val="24"/>
        </w:rPr>
      </w:pPr>
      <w:r w:rsidRPr="00E40417">
        <w:rPr>
          <w:rFonts w:ascii="Arial" w:hAnsi="Arial" w:cs="Arial" w:hint="eastAsia"/>
          <w:b/>
          <w:sz w:val="24"/>
          <w:szCs w:val="24"/>
        </w:rPr>
        <w:t>二、</w:t>
      </w:r>
      <w:r w:rsidR="00B21E17" w:rsidRPr="00F94EEA">
        <w:rPr>
          <w:rFonts w:ascii="Arial" w:hAnsi="Arial" w:cs="Arial" w:hint="eastAsia"/>
          <w:b/>
          <w:sz w:val="24"/>
          <w:szCs w:val="24"/>
        </w:rPr>
        <w:t>定期定额投资业务的办理时间</w:t>
      </w:r>
    </w:p>
    <w:p w:rsidR="002330D3" w:rsidRDefault="002330D3" w:rsidP="000C1A8C">
      <w:pPr>
        <w:adjustRightInd w:val="0"/>
        <w:snapToGrid w:val="0"/>
        <w:spacing w:line="360" w:lineRule="auto"/>
        <w:ind w:firstLineChars="200" w:firstLine="420"/>
        <w:jc w:val="left"/>
        <w:rPr>
          <w:rFonts w:ascii="宋体" w:hAnsi="宋体"/>
          <w:szCs w:val="21"/>
        </w:rPr>
      </w:pPr>
      <w:r>
        <w:rPr>
          <w:rFonts w:ascii="宋体" w:hAnsi="宋体" w:hint="eastAsia"/>
          <w:szCs w:val="21"/>
        </w:rPr>
        <w:t>上述</w:t>
      </w:r>
      <w:r w:rsidRPr="00283FCE">
        <w:rPr>
          <w:rFonts w:ascii="宋体" w:hAnsi="宋体" w:hint="eastAsia"/>
          <w:szCs w:val="21"/>
        </w:rPr>
        <w:t>基金</w:t>
      </w:r>
      <w:r w:rsidR="008812D7">
        <w:rPr>
          <w:rFonts w:ascii="宋体" w:hAnsi="宋体" w:hint="eastAsia"/>
          <w:szCs w:val="21"/>
        </w:rPr>
        <w:t>的</w:t>
      </w:r>
      <w:r w:rsidR="00F94EEA" w:rsidRPr="00F94EEA">
        <w:rPr>
          <w:rFonts w:ascii="宋体" w:hAnsi="宋体" w:hint="eastAsia"/>
          <w:szCs w:val="21"/>
        </w:rPr>
        <w:t>定期定额</w:t>
      </w:r>
      <w:r w:rsidR="008812D7">
        <w:rPr>
          <w:rFonts w:ascii="宋体" w:hAnsi="宋体" w:hint="eastAsia"/>
          <w:szCs w:val="21"/>
        </w:rPr>
        <w:t>投资</w:t>
      </w:r>
      <w:r>
        <w:rPr>
          <w:rFonts w:ascii="宋体" w:hAnsi="宋体" w:hint="eastAsia"/>
          <w:szCs w:val="21"/>
        </w:rPr>
        <w:t>业务</w:t>
      </w:r>
      <w:r w:rsidRPr="00283FCE">
        <w:rPr>
          <w:rFonts w:ascii="宋体" w:hAnsi="宋体" w:hint="eastAsia"/>
          <w:szCs w:val="21"/>
        </w:rPr>
        <w:t>的具体办理时间</w:t>
      </w:r>
      <w:r>
        <w:rPr>
          <w:rFonts w:ascii="宋体" w:hAnsi="宋体" w:hint="eastAsia"/>
          <w:szCs w:val="21"/>
        </w:rPr>
        <w:t>为各基金的开放日，详见基金合同及招募说明书的规定。</w:t>
      </w:r>
      <w:r w:rsidRPr="0075116B">
        <w:rPr>
          <w:rFonts w:ascii="宋体" w:hAnsi="宋体" w:hint="eastAsia"/>
          <w:szCs w:val="21"/>
        </w:rPr>
        <w:t>投资者可以在上述基金的开放</w:t>
      </w:r>
      <w:r>
        <w:rPr>
          <w:rFonts w:ascii="宋体" w:hAnsi="宋体" w:hint="eastAsia"/>
          <w:szCs w:val="21"/>
        </w:rPr>
        <w:t>日</w:t>
      </w:r>
      <w:r w:rsidRPr="0075116B">
        <w:rPr>
          <w:rFonts w:ascii="宋体" w:hAnsi="宋体" w:hint="eastAsia"/>
          <w:szCs w:val="21"/>
        </w:rPr>
        <w:t>，</w:t>
      </w:r>
      <w:r>
        <w:rPr>
          <w:rFonts w:ascii="宋体" w:hAnsi="宋体" w:hint="eastAsia"/>
          <w:szCs w:val="21"/>
        </w:rPr>
        <w:t>向</w:t>
      </w:r>
      <w:r w:rsidRPr="0075116B">
        <w:rPr>
          <w:rFonts w:ascii="宋体" w:hAnsi="宋体" w:hint="eastAsia"/>
          <w:szCs w:val="21"/>
        </w:rPr>
        <w:t>上述基金的销售机构咨询和办理</w:t>
      </w:r>
      <w:r w:rsidR="005C4A4E" w:rsidRPr="005C4A4E">
        <w:rPr>
          <w:rFonts w:ascii="宋体" w:hAnsi="宋体" w:hint="eastAsia"/>
          <w:szCs w:val="21"/>
        </w:rPr>
        <w:t>定期定额投资业务</w:t>
      </w:r>
      <w:r w:rsidRPr="00283FCE">
        <w:rPr>
          <w:rFonts w:ascii="宋体" w:hAnsi="宋体" w:hint="eastAsia"/>
          <w:szCs w:val="21"/>
        </w:rPr>
        <w:t>。</w:t>
      </w:r>
    </w:p>
    <w:p w:rsidR="00E40417" w:rsidRDefault="00E40417" w:rsidP="000C1A8C">
      <w:pPr>
        <w:adjustRightInd w:val="0"/>
        <w:snapToGrid w:val="0"/>
        <w:spacing w:line="360" w:lineRule="auto"/>
        <w:ind w:firstLineChars="200" w:firstLine="420"/>
        <w:jc w:val="left"/>
        <w:rPr>
          <w:rFonts w:ascii="宋体" w:hAnsi="宋体"/>
          <w:szCs w:val="21"/>
        </w:rPr>
      </w:pPr>
    </w:p>
    <w:p w:rsidR="00B21E17" w:rsidRDefault="00B21E17" w:rsidP="00F94EEA">
      <w:pPr>
        <w:adjustRightInd w:val="0"/>
        <w:snapToGrid w:val="0"/>
        <w:spacing w:line="360" w:lineRule="auto"/>
        <w:rPr>
          <w:rFonts w:ascii="Arial" w:hAnsi="Arial" w:cs="Arial"/>
          <w:b/>
          <w:sz w:val="24"/>
          <w:szCs w:val="24"/>
        </w:rPr>
      </w:pPr>
      <w:r>
        <w:rPr>
          <w:rFonts w:ascii="Arial" w:hAnsi="Arial" w:cs="Arial"/>
          <w:b/>
          <w:sz w:val="24"/>
          <w:szCs w:val="24"/>
        </w:rPr>
        <w:t>三、定期定额投资业务</w:t>
      </w:r>
    </w:p>
    <w:p w:rsidR="00B21E17" w:rsidRPr="00F94EEA" w:rsidRDefault="00B21E17" w:rsidP="00B21E17">
      <w:pPr>
        <w:adjustRightInd w:val="0"/>
        <w:snapToGrid w:val="0"/>
        <w:spacing w:line="360" w:lineRule="auto"/>
        <w:ind w:firstLineChars="200" w:firstLine="420"/>
        <w:rPr>
          <w:rFonts w:ascii="宋体" w:hAnsi="宋体"/>
          <w:szCs w:val="21"/>
        </w:rPr>
      </w:pPr>
      <w:r w:rsidRPr="00F94EEA">
        <w:rPr>
          <w:rFonts w:ascii="宋体" w:hAnsi="宋体"/>
          <w:szCs w:val="21"/>
        </w:rPr>
        <w:t>1</w:t>
      </w:r>
      <w:r>
        <w:rPr>
          <w:rFonts w:ascii="宋体" w:hAnsi="宋体" w:hint="eastAsia"/>
          <w:szCs w:val="21"/>
        </w:rPr>
        <w:t>.</w:t>
      </w:r>
      <w:r w:rsidRPr="00F94EEA">
        <w:rPr>
          <w:rFonts w:ascii="宋体" w:hAnsi="宋体"/>
          <w:szCs w:val="21"/>
        </w:rPr>
        <w:t>定期定额投资业务是基金申购业务的一种方式。投资者可以通过</w:t>
      </w:r>
      <w:r>
        <w:rPr>
          <w:rFonts w:ascii="宋体" w:hAnsi="宋体" w:hint="eastAsia"/>
          <w:szCs w:val="21"/>
        </w:rPr>
        <w:t>工商银行</w:t>
      </w:r>
      <w:r w:rsidRPr="00F94EEA">
        <w:rPr>
          <w:rFonts w:ascii="宋体" w:hAnsi="宋体"/>
          <w:szCs w:val="21"/>
        </w:rPr>
        <w:t>提交申请，</w:t>
      </w:r>
      <w:r w:rsidRPr="00F94EEA">
        <w:rPr>
          <w:rFonts w:ascii="宋体" w:hAnsi="宋体"/>
          <w:szCs w:val="21"/>
        </w:rPr>
        <w:lastRenderedPageBreak/>
        <w:t>约定每期扣款时间、扣款金额及扣款方式，由</w:t>
      </w:r>
      <w:r>
        <w:rPr>
          <w:rFonts w:ascii="宋体" w:hAnsi="宋体" w:hint="eastAsia"/>
          <w:szCs w:val="21"/>
        </w:rPr>
        <w:t>工商银行</w:t>
      </w:r>
      <w:r w:rsidRPr="00F94EEA">
        <w:rPr>
          <w:rFonts w:ascii="宋体" w:hAnsi="宋体"/>
          <w:szCs w:val="21"/>
        </w:rPr>
        <w:t>于约定扣款日在投资者指定资金账户内自动完成扣款及基金申购业务。投资者在办理</w:t>
      </w:r>
      <w:r w:rsidRPr="00F94EEA">
        <w:rPr>
          <w:rFonts w:ascii="宋体" w:hAnsi="宋体" w:hint="eastAsia"/>
          <w:szCs w:val="21"/>
        </w:rPr>
        <w:t>本</w:t>
      </w:r>
      <w:r w:rsidRPr="00F94EEA">
        <w:rPr>
          <w:rFonts w:ascii="宋体" w:hAnsi="宋体"/>
          <w:szCs w:val="21"/>
        </w:rPr>
        <w:t>基金定期定额投资业务的同时，仍然可以进行日常申购、赎回业务。</w:t>
      </w:r>
    </w:p>
    <w:p w:rsidR="00B21E17" w:rsidRPr="00F94EEA" w:rsidRDefault="00B21E17" w:rsidP="00B21E17">
      <w:pPr>
        <w:adjustRightInd w:val="0"/>
        <w:snapToGrid w:val="0"/>
        <w:spacing w:line="360" w:lineRule="auto"/>
        <w:ind w:firstLineChars="200" w:firstLine="420"/>
        <w:rPr>
          <w:rFonts w:ascii="宋体" w:hAnsi="宋体"/>
          <w:szCs w:val="21"/>
        </w:rPr>
      </w:pPr>
      <w:r w:rsidRPr="00F94EEA">
        <w:rPr>
          <w:rFonts w:ascii="宋体" w:hAnsi="宋体"/>
          <w:szCs w:val="21"/>
        </w:rPr>
        <w:t>2.投资者办理</w:t>
      </w:r>
      <w:r w:rsidRPr="00F94EEA">
        <w:rPr>
          <w:rFonts w:ascii="宋体" w:hAnsi="宋体" w:hint="eastAsia"/>
          <w:szCs w:val="21"/>
        </w:rPr>
        <w:t>本</w:t>
      </w:r>
      <w:r w:rsidRPr="00F94EEA">
        <w:rPr>
          <w:rFonts w:ascii="宋体" w:hAnsi="宋体"/>
          <w:szCs w:val="21"/>
        </w:rPr>
        <w:t>基金的定期定额投资业务时，相关流程和业务规则请遵循</w:t>
      </w:r>
      <w:r>
        <w:rPr>
          <w:rFonts w:ascii="宋体" w:hAnsi="宋体" w:hint="eastAsia"/>
          <w:szCs w:val="21"/>
        </w:rPr>
        <w:t>工商银行</w:t>
      </w:r>
      <w:r w:rsidRPr="00F94EEA">
        <w:rPr>
          <w:rFonts w:ascii="宋体" w:hAnsi="宋体"/>
          <w:szCs w:val="21"/>
        </w:rPr>
        <w:t>的有关规定。</w:t>
      </w:r>
    </w:p>
    <w:p w:rsidR="00B21E17" w:rsidRDefault="00B21E17" w:rsidP="00B21E17">
      <w:pPr>
        <w:adjustRightInd w:val="0"/>
        <w:snapToGrid w:val="0"/>
        <w:spacing w:line="360" w:lineRule="auto"/>
        <w:ind w:firstLineChars="200" w:firstLine="482"/>
        <w:rPr>
          <w:rFonts w:ascii="Arial" w:hAnsi="Arial" w:cs="Arial"/>
          <w:b/>
          <w:sz w:val="24"/>
          <w:szCs w:val="24"/>
        </w:rPr>
      </w:pPr>
    </w:p>
    <w:p w:rsidR="00E40417" w:rsidRPr="00F94EEA" w:rsidRDefault="00B21E17" w:rsidP="00F94EEA">
      <w:pPr>
        <w:adjustRightInd w:val="0"/>
        <w:snapToGrid w:val="0"/>
        <w:spacing w:line="360" w:lineRule="auto"/>
        <w:rPr>
          <w:rFonts w:ascii="Arial" w:hAnsi="Arial" w:cs="Arial"/>
          <w:b/>
          <w:sz w:val="24"/>
          <w:szCs w:val="24"/>
        </w:rPr>
      </w:pPr>
      <w:r>
        <w:rPr>
          <w:rFonts w:ascii="Arial" w:hAnsi="Arial" w:cs="Arial" w:hint="eastAsia"/>
          <w:b/>
          <w:sz w:val="24"/>
          <w:szCs w:val="24"/>
        </w:rPr>
        <w:t>四</w:t>
      </w:r>
      <w:r>
        <w:rPr>
          <w:rFonts w:ascii="Arial" w:hAnsi="Arial" w:cs="Arial"/>
          <w:b/>
          <w:sz w:val="24"/>
          <w:szCs w:val="24"/>
        </w:rPr>
        <w:t>、</w:t>
      </w:r>
      <w:bookmarkStart w:id="0" w:name="t_2_5_0179_a1_fm1"/>
      <w:bookmarkEnd w:id="0"/>
      <w:r w:rsidR="00E40417" w:rsidRPr="00F94EEA">
        <w:rPr>
          <w:rFonts w:ascii="Arial" w:hAnsi="Arial" w:cs="Arial" w:hint="eastAsia"/>
          <w:b/>
          <w:sz w:val="24"/>
          <w:szCs w:val="24"/>
        </w:rPr>
        <w:t>其他与</w:t>
      </w:r>
      <w:r>
        <w:rPr>
          <w:rFonts w:ascii="Arial" w:hAnsi="Arial" w:cs="Arial" w:hint="eastAsia"/>
          <w:b/>
          <w:sz w:val="24"/>
          <w:szCs w:val="24"/>
        </w:rPr>
        <w:t>定投</w:t>
      </w:r>
      <w:r w:rsidR="00E40417" w:rsidRPr="00F94EEA">
        <w:rPr>
          <w:rFonts w:ascii="Arial" w:hAnsi="Arial" w:cs="Arial" w:hint="eastAsia"/>
          <w:b/>
          <w:sz w:val="24"/>
          <w:szCs w:val="24"/>
        </w:rPr>
        <w:t>相关的事项</w:t>
      </w:r>
    </w:p>
    <w:p w:rsidR="00B21E17" w:rsidRDefault="00B21E17" w:rsidP="00B21E17">
      <w:pPr>
        <w:spacing w:line="360" w:lineRule="auto"/>
        <w:ind w:firstLineChars="200" w:firstLine="420"/>
        <w:jc w:val="left"/>
        <w:rPr>
          <w:rFonts w:ascii="宋体" w:hAnsi="宋体"/>
          <w:szCs w:val="21"/>
        </w:rPr>
      </w:pPr>
      <w:bookmarkStart w:id="1" w:name="t_2_5_2824_a1_fm1"/>
      <w:bookmarkEnd w:id="1"/>
      <w:r>
        <w:rPr>
          <w:rFonts w:ascii="宋体" w:hAnsi="宋体"/>
          <w:szCs w:val="21"/>
        </w:rPr>
        <w:t>1．定期定额投资业务的申购费率等同于正常申购费率,计费方式等同于正常的申购业务(如有调整，另见相关公告)。</w:t>
      </w:r>
    </w:p>
    <w:p w:rsidR="00B21E17" w:rsidRDefault="00B21E17" w:rsidP="00B21E17">
      <w:pPr>
        <w:spacing w:line="360" w:lineRule="auto"/>
        <w:ind w:firstLineChars="200" w:firstLine="420"/>
        <w:jc w:val="left"/>
        <w:rPr>
          <w:rFonts w:ascii="宋体" w:hAnsi="宋体"/>
          <w:szCs w:val="21"/>
        </w:rPr>
      </w:pPr>
      <w:r>
        <w:rPr>
          <w:rFonts w:ascii="宋体" w:hAnsi="宋体"/>
          <w:szCs w:val="21"/>
        </w:rPr>
        <w:t>2．投资者可与销售机构约定每期固定扣款金额，本公司最低扣款金额为人民币1.00元。</w:t>
      </w:r>
      <w:r w:rsidRPr="00927721">
        <w:rPr>
          <w:rFonts w:ascii="宋体" w:hAnsi="宋体" w:hint="eastAsia"/>
          <w:szCs w:val="21"/>
        </w:rPr>
        <w:t>各代销机构可以根据自己的业务情况设置不低于1.00元的每期定期定额投资起点金额，否则可能导致定期定额投资确认失败，具体以登记机构确认结果为准。</w:t>
      </w:r>
    </w:p>
    <w:p w:rsidR="00B21E17" w:rsidRDefault="00B21E17" w:rsidP="00B21E17">
      <w:pPr>
        <w:spacing w:line="360" w:lineRule="auto"/>
        <w:ind w:firstLineChars="200" w:firstLine="420"/>
        <w:jc w:val="left"/>
        <w:rPr>
          <w:rFonts w:ascii="宋体" w:hAnsi="宋体"/>
          <w:szCs w:val="21"/>
        </w:rPr>
      </w:pPr>
      <w:r>
        <w:rPr>
          <w:rFonts w:ascii="宋体" w:hAnsi="宋体"/>
          <w:szCs w:val="21"/>
        </w:rPr>
        <w:t>3．投资者可与销售机构约定每期固定扣款日期，固定扣款日期应遵循销售机构的相关规定。</w:t>
      </w:r>
    </w:p>
    <w:p w:rsidR="00B21E17" w:rsidRDefault="00B21E17" w:rsidP="00B21E17">
      <w:pPr>
        <w:spacing w:line="360" w:lineRule="auto"/>
        <w:ind w:firstLineChars="200" w:firstLine="420"/>
        <w:jc w:val="left"/>
        <w:rPr>
          <w:rFonts w:ascii="宋体" w:hAnsi="宋体"/>
          <w:szCs w:val="21"/>
        </w:rPr>
      </w:pPr>
      <w:r>
        <w:rPr>
          <w:rFonts w:ascii="宋体" w:hAnsi="宋体"/>
          <w:szCs w:val="21"/>
        </w:rPr>
        <w:t>4．投资者通过代理销售机构办理本公司旗下基金的定期定额投资业务，相关流程和业务规则遵循代理销售机构的有关规定。</w:t>
      </w:r>
    </w:p>
    <w:p w:rsidR="00B21E17" w:rsidRPr="00B21E17" w:rsidRDefault="00B21E17" w:rsidP="002330D3">
      <w:pPr>
        <w:spacing w:line="360" w:lineRule="auto"/>
        <w:ind w:firstLineChars="200" w:firstLine="420"/>
        <w:jc w:val="left"/>
        <w:rPr>
          <w:rFonts w:ascii="宋体" w:hAnsi="宋体"/>
          <w:szCs w:val="21"/>
        </w:rPr>
      </w:pPr>
    </w:p>
    <w:p w:rsidR="00E40417" w:rsidRDefault="00ED2F00" w:rsidP="00E40417">
      <w:pPr>
        <w:pStyle w:val="a6"/>
        <w:snapToGrid w:val="0"/>
        <w:spacing w:before="0" w:beforeAutospacing="0" w:after="0" w:afterAutospacing="0" w:line="360" w:lineRule="auto"/>
        <w:jc w:val="both"/>
        <w:outlineLvl w:val="0"/>
        <w:rPr>
          <w:rFonts w:ascii="Arial" w:hAnsi="Arial" w:cs="Arial"/>
          <w:b/>
        </w:rPr>
      </w:pPr>
      <w:r>
        <w:rPr>
          <w:rFonts w:ascii="Arial" w:hAnsi="Arial" w:cs="Arial" w:hint="eastAsia"/>
          <w:b/>
        </w:rPr>
        <w:t>五</w:t>
      </w:r>
      <w:r w:rsidR="00E40417">
        <w:rPr>
          <w:rFonts w:ascii="Arial" w:hAnsi="Arial" w:cs="Arial"/>
          <w:b/>
        </w:rPr>
        <w:t>、投资者可通过以下途径咨询有关情况</w:t>
      </w:r>
    </w:p>
    <w:p w:rsidR="005A27D9" w:rsidRPr="005A27D9" w:rsidRDefault="005A27D9" w:rsidP="005A27D9">
      <w:pPr>
        <w:pStyle w:val="a6"/>
        <w:snapToGrid w:val="0"/>
        <w:spacing w:before="0" w:beforeAutospacing="0" w:after="0" w:afterAutospacing="0" w:line="360" w:lineRule="auto"/>
        <w:ind w:leftChars="100" w:left="210" w:firstLineChars="100" w:firstLine="210"/>
        <w:jc w:val="both"/>
        <w:outlineLvl w:val="0"/>
        <w:rPr>
          <w:rFonts w:cs="Times New Roman"/>
          <w:kern w:val="2"/>
          <w:sz w:val="21"/>
          <w:szCs w:val="21"/>
        </w:rPr>
      </w:pPr>
      <w:r w:rsidRPr="005A27D9">
        <w:rPr>
          <w:rFonts w:cs="Times New Roman"/>
          <w:kern w:val="2"/>
          <w:sz w:val="21"/>
          <w:szCs w:val="21"/>
        </w:rPr>
        <w:t>1、</w:t>
      </w:r>
      <w:r w:rsidRPr="005A27D9">
        <w:rPr>
          <w:rFonts w:cs="Times New Roman" w:hint="eastAsia"/>
          <w:kern w:val="2"/>
          <w:sz w:val="21"/>
          <w:szCs w:val="21"/>
        </w:rPr>
        <w:t>中国工商银行股份有限公司</w:t>
      </w:r>
    </w:p>
    <w:p w:rsidR="005A27D9" w:rsidRPr="005A27D9" w:rsidRDefault="005A27D9" w:rsidP="005A27D9">
      <w:pPr>
        <w:pStyle w:val="a6"/>
        <w:snapToGrid w:val="0"/>
        <w:spacing w:before="0" w:beforeAutospacing="0" w:after="0" w:afterAutospacing="0" w:line="360" w:lineRule="auto"/>
        <w:ind w:leftChars="200" w:left="420"/>
        <w:jc w:val="both"/>
        <w:outlineLvl w:val="0"/>
        <w:rPr>
          <w:rFonts w:cs="Times New Roman"/>
          <w:kern w:val="2"/>
          <w:sz w:val="21"/>
          <w:szCs w:val="21"/>
        </w:rPr>
      </w:pPr>
      <w:r w:rsidRPr="005A27D9">
        <w:rPr>
          <w:rFonts w:cs="Times New Roman"/>
          <w:kern w:val="2"/>
          <w:sz w:val="21"/>
          <w:szCs w:val="21"/>
        </w:rPr>
        <w:t>客户服务电话</w:t>
      </w:r>
      <w:r w:rsidRPr="005A27D9">
        <w:rPr>
          <w:rFonts w:cs="Times New Roman" w:hint="eastAsia"/>
          <w:kern w:val="2"/>
          <w:sz w:val="21"/>
          <w:szCs w:val="21"/>
        </w:rPr>
        <w:t>：</w:t>
      </w:r>
      <w:r w:rsidRPr="005A27D9">
        <w:rPr>
          <w:rFonts w:cs="Times New Roman"/>
          <w:kern w:val="2"/>
          <w:sz w:val="21"/>
          <w:szCs w:val="21"/>
        </w:rPr>
        <w:t>95588</w:t>
      </w:r>
    </w:p>
    <w:p w:rsidR="005A27D9" w:rsidRPr="005A27D9" w:rsidRDefault="005A27D9" w:rsidP="005A27D9">
      <w:pPr>
        <w:pStyle w:val="a6"/>
        <w:snapToGrid w:val="0"/>
        <w:spacing w:before="0" w:beforeAutospacing="0" w:after="0" w:afterAutospacing="0" w:line="360" w:lineRule="auto"/>
        <w:ind w:leftChars="200" w:left="420"/>
        <w:jc w:val="both"/>
        <w:outlineLvl w:val="0"/>
        <w:rPr>
          <w:rFonts w:cs="Times New Roman"/>
          <w:kern w:val="2"/>
          <w:sz w:val="21"/>
          <w:szCs w:val="21"/>
        </w:rPr>
      </w:pPr>
      <w:r w:rsidRPr="005A27D9">
        <w:rPr>
          <w:rFonts w:cs="Times New Roman"/>
          <w:kern w:val="2"/>
          <w:sz w:val="21"/>
          <w:szCs w:val="21"/>
        </w:rPr>
        <w:t>公司网址：www.icbc.com.cn</w:t>
      </w:r>
    </w:p>
    <w:p w:rsidR="005A27D9" w:rsidRPr="005A27D9" w:rsidRDefault="005A27D9" w:rsidP="005A27D9">
      <w:pPr>
        <w:pStyle w:val="a6"/>
        <w:snapToGrid w:val="0"/>
        <w:spacing w:before="0" w:beforeAutospacing="0" w:after="0" w:afterAutospacing="0" w:line="360" w:lineRule="auto"/>
        <w:ind w:leftChars="200" w:left="420"/>
        <w:jc w:val="both"/>
        <w:outlineLvl w:val="0"/>
        <w:rPr>
          <w:rFonts w:cs="Times New Roman"/>
          <w:kern w:val="2"/>
          <w:sz w:val="21"/>
          <w:szCs w:val="21"/>
        </w:rPr>
      </w:pPr>
      <w:r w:rsidRPr="005A27D9">
        <w:rPr>
          <w:rFonts w:cs="Times New Roman"/>
          <w:kern w:val="2"/>
          <w:sz w:val="21"/>
          <w:szCs w:val="21"/>
        </w:rPr>
        <w:t>2、华商基金管理有限公司</w:t>
      </w:r>
      <w:r w:rsidRPr="005A27D9">
        <w:rPr>
          <w:rFonts w:cs="Times New Roman"/>
          <w:kern w:val="2"/>
          <w:sz w:val="21"/>
          <w:szCs w:val="21"/>
        </w:rPr>
        <w:br/>
        <w:t>客服电话：400-700-8880；010-58573300</w:t>
      </w:r>
      <w:r w:rsidRPr="005A27D9">
        <w:rPr>
          <w:rFonts w:cs="Times New Roman"/>
          <w:kern w:val="2"/>
          <w:sz w:val="21"/>
          <w:szCs w:val="21"/>
        </w:rPr>
        <w:br/>
        <w:t>公司网址：</w:t>
      </w:r>
      <w:hyperlink r:id="rId8" w:history="1">
        <w:r w:rsidRPr="005A27D9">
          <w:rPr>
            <w:rFonts w:cs="Times New Roman"/>
            <w:kern w:val="2"/>
            <w:sz w:val="21"/>
            <w:szCs w:val="21"/>
          </w:rPr>
          <w:t>www.hsfund.com</w:t>
        </w:r>
      </w:hyperlink>
    </w:p>
    <w:p w:rsidR="007E418B" w:rsidRPr="000C1A8C" w:rsidRDefault="007E418B" w:rsidP="000C1A8C">
      <w:pPr>
        <w:spacing w:line="360" w:lineRule="auto"/>
        <w:jc w:val="left"/>
        <w:rPr>
          <w:rFonts w:ascii="宋体" w:hAnsi="宋体"/>
          <w:szCs w:val="21"/>
        </w:rPr>
      </w:pPr>
    </w:p>
    <w:p w:rsidR="00E40417" w:rsidRPr="000C1A8C" w:rsidRDefault="00ED2F00" w:rsidP="000C1A8C">
      <w:pPr>
        <w:pStyle w:val="a6"/>
        <w:snapToGrid w:val="0"/>
        <w:spacing w:before="0" w:beforeAutospacing="0" w:after="0" w:afterAutospacing="0" w:line="360" w:lineRule="auto"/>
        <w:jc w:val="both"/>
        <w:outlineLvl w:val="0"/>
        <w:rPr>
          <w:rFonts w:ascii="Arial" w:hAnsi="Arial" w:cs="Arial"/>
          <w:b/>
        </w:rPr>
      </w:pPr>
      <w:r>
        <w:rPr>
          <w:rFonts w:ascii="Arial" w:hAnsi="Arial" w:cs="Arial" w:hint="eastAsia"/>
          <w:b/>
        </w:rPr>
        <w:t>六</w:t>
      </w:r>
      <w:r w:rsidR="002330D3">
        <w:rPr>
          <w:rFonts w:ascii="Arial" w:hAnsi="Arial" w:cs="Arial" w:hint="eastAsia"/>
          <w:b/>
        </w:rPr>
        <w:t>、</w:t>
      </w:r>
      <w:r w:rsidR="00E40417" w:rsidRPr="000C1A8C">
        <w:rPr>
          <w:rFonts w:ascii="Arial" w:hAnsi="Arial" w:cs="Arial" w:hint="eastAsia"/>
          <w:b/>
        </w:rPr>
        <w:t>其他需要提示的事项</w:t>
      </w:r>
    </w:p>
    <w:p w:rsidR="00B21E17" w:rsidRPr="00F94EEA" w:rsidRDefault="00B21E17" w:rsidP="00F94EEA">
      <w:pPr>
        <w:spacing w:line="360" w:lineRule="auto"/>
        <w:ind w:firstLineChars="200" w:firstLine="420"/>
        <w:jc w:val="left"/>
        <w:rPr>
          <w:rFonts w:ascii="宋体" w:hAnsi="宋体"/>
          <w:szCs w:val="21"/>
        </w:rPr>
      </w:pPr>
      <w:bookmarkStart w:id="2" w:name="t_2_9_2646_a1_fm1"/>
      <w:bookmarkEnd w:id="2"/>
      <w:r w:rsidRPr="00F94EEA">
        <w:rPr>
          <w:rFonts w:ascii="宋体" w:hAnsi="宋体"/>
          <w:szCs w:val="21"/>
        </w:rPr>
        <w:t>投资者应当充分了解基金定期定额投资和零存整取等储蓄方式的区别。定期定额投资是引导投资者进行长期投资、平均投资成</w:t>
      </w:r>
      <w:r w:rsidR="009231F6">
        <w:rPr>
          <w:rFonts w:ascii="宋体" w:hAnsi="宋体"/>
          <w:szCs w:val="21"/>
        </w:rPr>
        <w:t>本的一种简单易行的投资方式。但是定期定额投资并不能规避基金投资</w:t>
      </w:r>
      <w:r w:rsidRPr="00F94EEA">
        <w:rPr>
          <w:rFonts w:ascii="宋体" w:hAnsi="宋体"/>
          <w:szCs w:val="21"/>
        </w:rPr>
        <w:t>固有的风险，不能保证投资者获得收益，也不是替代储蓄的等效理财方式。</w:t>
      </w:r>
    </w:p>
    <w:p w:rsidR="00E40417" w:rsidRDefault="00E40417" w:rsidP="00E40417">
      <w:pPr>
        <w:spacing w:line="360" w:lineRule="auto"/>
        <w:ind w:firstLineChars="200" w:firstLine="420"/>
        <w:jc w:val="left"/>
        <w:rPr>
          <w:rFonts w:ascii="宋体" w:hAnsi="宋体"/>
          <w:szCs w:val="21"/>
        </w:rPr>
      </w:pPr>
      <w:r>
        <w:rPr>
          <w:rFonts w:ascii="宋体" w:hAnsi="宋体" w:hint="eastAsia"/>
          <w:szCs w:val="21"/>
        </w:rPr>
        <w:t>风险提示：</w:t>
      </w:r>
    </w:p>
    <w:p w:rsidR="008812D7" w:rsidRDefault="008812D7" w:rsidP="008812D7">
      <w:pPr>
        <w:spacing w:line="360" w:lineRule="auto"/>
        <w:ind w:firstLineChars="200" w:firstLine="420"/>
        <w:jc w:val="left"/>
        <w:rPr>
          <w:rFonts w:ascii="宋体" w:hAnsi="宋体"/>
          <w:szCs w:val="21"/>
        </w:rPr>
      </w:pPr>
      <w:r>
        <w:rPr>
          <w:rFonts w:ascii="宋体" w:hAnsi="宋体" w:hint="eastAsia"/>
          <w:szCs w:val="21"/>
        </w:rPr>
        <w:t>上述部分</w:t>
      </w:r>
      <w:r w:rsidRPr="008812D7">
        <w:rPr>
          <w:rFonts w:ascii="宋体" w:hAnsi="宋体" w:hint="eastAsia"/>
          <w:szCs w:val="21"/>
        </w:rPr>
        <w:t>基金设置基金份额持有人最短持有期限。基金份额持有人持有的每份</w:t>
      </w:r>
      <w:r w:rsidR="00C72C18">
        <w:rPr>
          <w:rFonts w:ascii="宋体" w:hAnsi="宋体" w:hint="eastAsia"/>
          <w:szCs w:val="21"/>
        </w:rPr>
        <w:t>该基金的</w:t>
      </w:r>
      <w:bookmarkStart w:id="3" w:name="_GoBack"/>
      <w:bookmarkEnd w:id="3"/>
      <w:r w:rsidRPr="008812D7">
        <w:rPr>
          <w:rFonts w:ascii="宋体" w:hAnsi="宋体" w:hint="eastAsia"/>
          <w:szCs w:val="21"/>
        </w:rPr>
        <w:lastRenderedPageBreak/>
        <w:t>基金份额最短持有期限为一年，在最短持有期限内该份基金份额不可赎回或转换转出。提请投资者注意</w:t>
      </w:r>
      <w:r w:rsidR="00EE692C">
        <w:rPr>
          <w:rFonts w:ascii="宋体" w:hAnsi="宋体" w:hint="eastAsia"/>
          <w:szCs w:val="21"/>
        </w:rPr>
        <w:t>该</w:t>
      </w:r>
      <w:r w:rsidRPr="008812D7">
        <w:rPr>
          <w:rFonts w:ascii="宋体" w:hAnsi="宋体" w:hint="eastAsia"/>
          <w:szCs w:val="21"/>
        </w:rPr>
        <w:t>基金的申购赎回安排和相应流动性风险，合理安排投资计划。</w:t>
      </w:r>
    </w:p>
    <w:p w:rsidR="00E40417" w:rsidRDefault="00E40417" w:rsidP="00E40417">
      <w:pPr>
        <w:spacing w:line="360" w:lineRule="auto"/>
        <w:ind w:firstLineChars="200" w:firstLine="420"/>
        <w:jc w:val="left"/>
        <w:rPr>
          <w:rFonts w:ascii="宋体" w:hAnsi="宋体"/>
          <w:szCs w:val="21"/>
        </w:rPr>
      </w:pPr>
      <w:r>
        <w:rPr>
          <w:rFonts w:ascii="宋体" w:hAnsi="宋体" w:hint="eastAsia"/>
          <w:szCs w:val="21"/>
        </w:rPr>
        <w:t>本基金管理人承诺以诚实信用、勤勉尽责的原则管理和运用基金资产，但不保证基金一定盈利，也不保证最低收益。敬请投资者于投资前认真阅读</w:t>
      </w:r>
      <w:r w:rsidR="00B21E17">
        <w:rPr>
          <w:rFonts w:ascii="宋体" w:hAnsi="宋体" w:hint="eastAsia"/>
          <w:szCs w:val="21"/>
        </w:rPr>
        <w:t>上述</w:t>
      </w:r>
      <w:r>
        <w:rPr>
          <w:rFonts w:ascii="宋体" w:hAnsi="宋体" w:hint="eastAsia"/>
          <w:szCs w:val="21"/>
        </w:rPr>
        <w:t>基金的基金合同、招募说明书（更新）和基金产品资料概要（更新）等法律文件。</w:t>
      </w:r>
    </w:p>
    <w:p w:rsidR="00E40417" w:rsidRDefault="00E40417" w:rsidP="00E40417">
      <w:pPr>
        <w:spacing w:line="360" w:lineRule="auto"/>
        <w:ind w:firstLineChars="200" w:firstLine="420"/>
        <w:jc w:val="left"/>
        <w:rPr>
          <w:rFonts w:ascii="宋体" w:hAnsi="宋体"/>
          <w:szCs w:val="21"/>
        </w:rPr>
      </w:pPr>
      <w:r>
        <w:rPr>
          <w:rFonts w:ascii="宋体" w:hAnsi="宋体" w:hint="eastAsia"/>
          <w:szCs w:val="21"/>
        </w:rPr>
        <w:t>投资有风险，选择须谨慎。</w:t>
      </w:r>
    </w:p>
    <w:p w:rsidR="00E40417" w:rsidRDefault="00E40417" w:rsidP="00E40417">
      <w:pPr>
        <w:spacing w:line="360" w:lineRule="auto"/>
        <w:ind w:firstLineChars="200" w:firstLine="420"/>
        <w:jc w:val="left"/>
        <w:rPr>
          <w:rFonts w:ascii="宋体" w:hAnsi="宋体"/>
          <w:szCs w:val="21"/>
        </w:rPr>
      </w:pPr>
    </w:p>
    <w:p w:rsidR="00E40417" w:rsidRDefault="00E40417" w:rsidP="00E40417">
      <w:pPr>
        <w:spacing w:line="360" w:lineRule="auto"/>
        <w:ind w:firstLineChars="200" w:firstLine="420"/>
        <w:jc w:val="left"/>
        <w:rPr>
          <w:rFonts w:ascii="宋体" w:hAnsi="宋体"/>
          <w:szCs w:val="21"/>
        </w:rPr>
      </w:pPr>
    </w:p>
    <w:p w:rsidR="00E40417" w:rsidRDefault="00E40417" w:rsidP="00E40417">
      <w:pPr>
        <w:spacing w:line="360" w:lineRule="auto"/>
        <w:ind w:firstLineChars="200" w:firstLine="420"/>
        <w:jc w:val="left"/>
        <w:rPr>
          <w:rFonts w:ascii="宋体" w:hAnsi="宋体"/>
          <w:szCs w:val="21"/>
        </w:rPr>
      </w:pPr>
    </w:p>
    <w:p w:rsidR="00E40417" w:rsidRDefault="00E40417" w:rsidP="00E40417">
      <w:pPr>
        <w:spacing w:line="360" w:lineRule="auto"/>
        <w:jc w:val="right"/>
        <w:rPr>
          <w:rFonts w:ascii="宋体" w:hAnsi="宋体"/>
          <w:sz w:val="24"/>
          <w:szCs w:val="30"/>
        </w:rPr>
      </w:pPr>
      <w:r>
        <w:rPr>
          <w:rFonts w:ascii="宋体" w:hAnsi="宋体" w:hint="eastAsia"/>
          <w:sz w:val="24"/>
          <w:szCs w:val="30"/>
        </w:rPr>
        <w:t>华商基金管理有限公司</w:t>
      </w:r>
    </w:p>
    <w:p w:rsidR="00E40417" w:rsidRPr="00E40417" w:rsidRDefault="00B21E17" w:rsidP="00E40417">
      <w:pPr>
        <w:adjustRightInd w:val="0"/>
        <w:snapToGrid w:val="0"/>
        <w:spacing w:line="360" w:lineRule="auto"/>
        <w:jc w:val="right"/>
        <w:rPr>
          <w:rFonts w:ascii="Arial" w:hAnsi="Arial" w:cs="Arial"/>
          <w:b/>
          <w:sz w:val="24"/>
          <w:szCs w:val="24"/>
        </w:rPr>
      </w:pPr>
      <w:r>
        <w:rPr>
          <w:rFonts w:ascii="宋体" w:hAnsi="宋体"/>
          <w:sz w:val="24"/>
          <w:szCs w:val="30"/>
        </w:rPr>
        <w:t>2025</w:t>
      </w:r>
      <w:r w:rsidR="002330D3">
        <w:rPr>
          <w:rFonts w:ascii="宋体" w:hAnsi="宋体"/>
          <w:sz w:val="24"/>
          <w:szCs w:val="30"/>
        </w:rPr>
        <w:t>年</w:t>
      </w:r>
      <w:r>
        <w:rPr>
          <w:rFonts w:ascii="宋体" w:hAnsi="宋体"/>
          <w:sz w:val="24"/>
          <w:szCs w:val="30"/>
        </w:rPr>
        <w:t>3</w:t>
      </w:r>
      <w:r w:rsidR="00E40417">
        <w:rPr>
          <w:rFonts w:ascii="宋体" w:hAnsi="宋体"/>
          <w:sz w:val="24"/>
          <w:szCs w:val="30"/>
        </w:rPr>
        <w:t>月</w:t>
      </w:r>
      <w:r>
        <w:rPr>
          <w:rFonts w:ascii="宋体" w:hAnsi="宋体"/>
          <w:sz w:val="24"/>
          <w:szCs w:val="30"/>
        </w:rPr>
        <w:t>5</w:t>
      </w:r>
      <w:r w:rsidR="00E40417">
        <w:rPr>
          <w:rFonts w:ascii="宋体" w:hAnsi="宋体"/>
          <w:sz w:val="24"/>
          <w:szCs w:val="30"/>
        </w:rPr>
        <w:t>日</w:t>
      </w:r>
    </w:p>
    <w:sectPr w:rsidR="00E40417" w:rsidRPr="00E40417" w:rsidSect="006176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3305" w:rsidRDefault="00B43305" w:rsidP="00E40417">
      <w:r>
        <w:separator/>
      </w:r>
    </w:p>
  </w:endnote>
  <w:endnote w:type="continuationSeparator" w:id="0">
    <w:p w:rsidR="00B43305" w:rsidRDefault="00B43305" w:rsidP="00E4041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等线">
    <w:altName w:val="DengXian"/>
    <w:charset w:val="86"/>
    <w:family w:val="auto"/>
    <w:pitch w:val="variable"/>
    <w:sig w:usb0="A00002BF" w:usb1="38CF7CFA" w:usb2="00000016" w:usb3="00000000" w:csb0="0004000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modern"/>
    <w:notTrueType/>
    <w:pitch w:val="fixed"/>
    <w:sig w:usb0="00000001" w:usb1="080E0000" w:usb2="00000010" w:usb3="00000000" w:csb0="00040000" w:csb1="00000000"/>
  </w:font>
  <w:font w:name="等线 Light">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3305" w:rsidRDefault="00B43305" w:rsidP="00E40417">
      <w:r>
        <w:separator/>
      </w:r>
    </w:p>
  </w:footnote>
  <w:footnote w:type="continuationSeparator" w:id="0">
    <w:p w:rsidR="00B43305" w:rsidRDefault="00B43305" w:rsidP="00E4041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86C50"/>
    <w:multiLevelType w:val="hybridMultilevel"/>
    <w:tmpl w:val="E8AA4786"/>
    <w:lvl w:ilvl="0" w:tplc="EC006186">
      <w:start w:val="5"/>
      <w:numFmt w:val="japaneseCounting"/>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2EF10BC6"/>
    <w:multiLevelType w:val="hybridMultilevel"/>
    <w:tmpl w:val="CB3A1EFE"/>
    <w:lvl w:ilvl="0" w:tplc="EA3C8996">
      <w:start w:val="5"/>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55B1FFF"/>
    <w:multiLevelType w:val="multilevel"/>
    <w:tmpl w:val="9EEEB0B6"/>
    <w:lvl w:ilvl="0">
      <w:start w:val="1"/>
      <w:numFmt w:val="decimal"/>
      <w:lvlText w:val="%1."/>
      <w:lvlJc w:val="left"/>
      <w:pPr>
        <w:ind w:left="420" w:hanging="42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D798C"/>
    <w:rsid w:val="00027270"/>
    <w:rsid w:val="00031D27"/>
    <w:rsid w:val="00037D94"/>
    <w:rsid w:val="0006421A"/>
    <w:rsid w:val="00064A77"/>
    <w:rsid w:val="000C1A8C"/>
    <w:rsid w:val="000D2E0B"/>
    <w:rsid w:val="002330D3"/>
    <w:rsid w:val="002908B0"/>
    <w:rsid w:val="00387092"/>
    <w:rsid w:val="004D798C"/>
    <w:rsid w:val="00524891"/>
    <w:rsid w:val="005A27D9"/>
    <w:rsid w:val="005C4A4E"/>
    <w:rsid w:val="00617611"/>
    <w:rsid w:val="00631E2B"/>
    <w:rsid w:val="00702FE0"/>
    <w:rsid w:val="00756897"/>
    <w:rsid w:val="007C08E7"/>
    <w:rsid w:val="007E418B"/>
    <w:rsid w:val="00860EEE"/>
    <w:rsid w:val="008812D7"/>
    <w:rsid w:val="009231F6"/>
    <w:rsid w:val="0098211C"/>
    <w:rsid w:val="00B21E17"/>
    <w:rsid w:val="00B43305"/>
    <w:rsid w:val="00C72C18"/>
    <w:rsid w:val="00C91B87"/>
    <w:rsid w:val="00CE22B7"/>
    <w:rsid w:val="00CE3EA7"/>
    <w:rsid w:val="00E40417"/>
    <w:rsid w:val="00ED2F00"/>
    <w:rsid w:val="00EE692C"/>
    <w:rsid w:val="00F0107A"/>
    <w:rsid w:val="00F94EEA"/>
    <w:rsid w:val="00FA61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0417"/>
    <w:pPr>
      <w:widowControl w:val="0"/>
      <w:jc w:val="both"/>
    </w:pPr>
    <w:rPr>
      <w:rFonts w:ascii="Calibri" w:eastAsia="宋体" w:hAnsi="Calibri" w:cs="Times New Roman"/>
    </w:rPr>
  </w:style>
  <w:style w:type="paragraph" w:styleId="2">
    <w:name w:val="heading 2"/>
    <w:basedOn w:val="a"/>
    <w:next w:val="a"/>
    <w:link w:val="2Char"/>
    <w:qFormat/>
    <w:rsid w:val="00E40417"/>
    <w:pPr>
      <w:keepNext/>
      <w:keepLines/>
      <w:spacing w:before="260" w:after="260" w:line="413" w:lineRule="auto"/>
      <w:outlineLvl w:val="1"/>
    </w:pPr>
    <w:rPr>
      <w:rFonts w:ascii="Arial" w:eastAsia="黑体" w:hAnsi="Arial"/>
      <w:b/>
      <w:sz w:val="32"/>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4041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40417"/>
    <w:rPr>
      <w:sz w:val="18"/>
      <w:szCs w:val="18"/>
    </w:rPr>
  </w:style>
  <w:style w:type="paragraph" w:styleId="a4">
    <w:name w:val="footer"/>
    <w:basedOn w:val="a"/>
    <w:link w:val="Char0"/>
    <w:uiPriority w:val="99"/>
    <w:unhideWhenUsed/>
    <w:rsid w:val="00E40417"/>
    <w:pPr>
      <w:tabs>
        <w:tab w:val="center" w:pos="4153"/>
        <w:tab w:val="right" w:pos="8306"/>
      </w:tabs>
      <w:snapToGrid w:val="0"/>
      <w:jc w:val="left"/>
    </w:pPr>
    <w:rPr>
      <w:sz w:val="18"/>
      <w:szCs w:val="18"/>
    </w:rPr>
  </w:style>
  <w:style w:type="character" w:customStyle="1" w:styleId="Char0">
    <w:name w:val="页脚 Char"/>
    <w:basedOn w:val="a0"/>
    <w:link w:val="a4"/>
    <w:uiPriority w:val="99"/>
    <w:rsid w:val="00E40417"/>
    <w:rPr>
      <w:sz w:val="18"/>
      <w:szCs w:val="18"/>
    </w:rPr>
  </w:style>
  <w:style w:type="paragraph" w:styleId="a5">
    <w:name w:val="List Paragraph"/>
    <w:basedOn w:val="a"/>
    <w:uiPriority w:val="34"/>
    <w:qFormat/>
    <w:rsid w:val="00E40417"/>
    <w:pPr>
      <w:ind w:firstLineChars="200" w:firstLine="420"/>
    </w:pPr>
  </w:style>
  <w:style w:type="character" w:customStyle="1" w:styleId="20">
    <w:name w:val="标题 2 字符"/>
    <w:basedOn w:val="a0"/>
    <w:uiPriority w:val="9"/>
    <w:semiHidden/>
    <w:rsid w:val="00E40417"/>
    <w:rPr>
      <w:rFonts w:asciiTheme="majorHAnsi" w:eastAsiaTheme="majorEastAsia" w:hAnsiTheme="majorHAnsi" w:cstheme="majorBidi"/>
      <w:b/>
      <w:bCs/>
      <w:sz w:val="32"/>
      <w:szCs w:val="32"/>
    </w:rPr>
  </w:style>
  <w:style w:type="character" w:customStyle="1" w:styleId="2Char">
    <w:name w:val="标题 2 Char"/>
    <w:link w:val="2"/>
    <w:rsid w:val="00E40417"/>
    <w:rPr>
      <w:rFonts w:ascii="Arial" w:eastAsia="黑体" w:hAnsi="Arial" w:cs="Times New Roman"/>
      <w:b/>
      <w:sz w:val="32"/>
      <w:szCs w:val="20"/>
      <w:lang/>
    </w:rPr>
  </w:style>
  <w:style w:type="paragraph" w:styleId="a6">
    <w:name w:val="Normal (Web)"/>
    <w:basedOn w:val="a"/>
    <w:unhideWhenUsed/>
    <w:qFormat/>
    <w:rsid w:val="00E40417"/>
    <w:pPr>
      <w:widowControl/>
      <w:spacing w:before="100" w:beforeAutospacing="1" w:after="100" w:afterAutospacing="1"/>
      <w:jc w:val="left"/>
    </w:pPr>
    <w:rPr>
      <w:rFonts w:ascii="宋体" w:hAnsi="宋体" w:cs="宋体"/>
      <w:kern w:val="0"/>
      <w:sz w:val="24"/>
      <w:szCs w:val="24"/>
    </w:rPr>
  </w:style>
  <w:style w:type="paragraph" w:styleId="a7">
    <w:name w:val="Balloon Text"/>
    <w:basedOn w:val="a"/>
    <w:link w:val="Char1"/>
    <w:uiPriority w:val="99"/>
    <w:semiHidden/>
    <w:unhideWhenUsed/>
    <w:rsid w:val="002330D3"/>
    <w:rPr>
      <w:sz w:val="18"/>
      <w:szCs w:val="18"/>
    </w:rPr>
  </w:style>
  <w:style w:type="character" w:customStyle="1" w:styleId="Char1">
    <w:name w:val="批注框文本 Char"/>
    <w:basedOn w:val="a0"/>
    <w:link w:val="a7"/>
    <w:uiPriority w:val="99"/>
    <w:semiHidden/>
    <w:rsid w:val="002330D3"/>
    <w:rPr>
      <w:rFonts w:ascii="Calibri" w:eastAsia="宋体" w:hAnsi="Calibri" w:cs="Times New Roman"/>
      <w:sz w:val="18"/>
      <w:szCs w:val="18"/>
    </w:rPr>
  </w:style>
  <w:style w:type="paragraph" w:styleId="a8">
    <w:name w:val="Revision"/>
    <w:hidden/>
    <w:uiPriority w:val="99"/>
    <w:semiHidden/>
    <w:rsid w:val="002330D3"/>
    <w:rPr>
      <w:rFonts w:ascii="Calibri" w:eastAsia="宋体" w:hAnsi="Calibri" w:cs="Times New Roman"/>
    </w:rPr>
  </w:style>
</w:styles>
</file>

<file path=word/webSettings.xml><?xml version="1.0" encoding="utf-8"?>
<w:webSettings xmlns:r="http://schemas.openxmlformats.org/officeDocument/2006/relationships" xmlns:w="http://schemas.openxmlformats.org/wordprocessingml/2006/main">
  <w:divs>
    <w:div w:id="1126435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sfund.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F599AF-0952-4B3E-AD1D-030EE98D98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276</Words>
  <Characters>1575</Characters>
  <Application>Microsoft Office Word</Application>
  <DocSecurity>4</DocSecurity>
  <Lines>13</Lines>
  <Paragraphs>3</Paragraphs>
  <ScaleCrop>false</ScaleCrop>
  <Company>P R C</Company>
  <LinksUpToDate>false</LinksUpToDate>
  <CharactersWithSpaces>1848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薛秀桔</dc:creator>
  <cp:keywords/>
  <dc:description/>
  <cp:lastModifiedBy>ZHONGM</cp:lastModifiedBy>
  <cp:revision>2</cp:revision>
  <dcterms:created xsi:type="dcterms:W3CDTF">2025-03-04T16:00:00Z</dcterms:created>
  <dcterms:modified xsi:type="dcterms:W3CDTF">2025-03-04T16:00:00Z</dcterms:modified>
</cp:coreProperties>
</file>