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F4D" w:rsidRDefault="00DE7F4D">
      <w:pPr>
        <w:adjustRightInd w:val="0"/>
        <w:snapToGrid w:val="0"/>
        <w:spacing w:line="360" w:lineRule="auto"/>
        <w:rPr>
          <w:rFonts w:ascii="Times New Roman" w:hAnsi="Times New Roman" w:cs="Times New Roman"/>
        </w:rPr>
      </w:pPr>
      <w:bookmarkStart w:id="0" w:name="_GoBack"/>
      <w:bookmarkEnd w:id="0"/>
    </w:p>
    <w:p w:rsidR="00DE7F4D" w:rsidRDefault="005C729C">
      <w:pPr>
        <w:autoSpaceDE w:val="0"/>
        <w:autoSpaceDN w:val="0"/>
        <w:adjustRightInd w:val="0"/>
        <w:snapToGrid w:val="0"/>
        <w:spacing w:line="360" w:lineRule="auto"/>
        <w:jc w:val="center"/>
        <w:outlineLvl w:val="0"/>
        <w:rPr>
          <w:rFonts w:ascii="Times New Roman" w:hAnsi="Times New Roman" w:cs="Times New Roman"/>
          <w:b/>
          <w:color w:val="000000"/>
          <w:kern w:val="0"/>
          <w:sz w:val="32"/>
          <w:szCs w:val="32"/>
        </w:rPr>
      </w:pPr>
      <w:r>
        <w:rPr>
          <w:rFonts w:ascii="Times New Roman" w:hAnsi="Times New Roman" w:cs="Times New Roman" w:hint="eastAsia"/>
          <w:b/>
          <w:color w:val="000000"/>
          <w:kern w:val="0"/>
          <w:sz w:val="32"/>
          <w:szCs w:val="32"/>
        </w:rPr>
        <w:t>关于国寿安保尊益信用纯债债券型证券投资基金调整大额申购、转换转入及定期定额投资业务限制金额的公告</w:t>
      </w:r>
    </w:p>
    <w:p w:rsidR="00DE7F4D" w:rsidRDefault="005C729C">
      <w:pPr>
        <w:adjustRightInd w:val="0"/>
        <w:snapToGrid w:val="0"/>
        <w:spacing w:line="360" w:lineRule="auto"/>
        <w:jc w:val="center"/>
        <w:outlineLvl w:val="0"/>
        <w:rPr>
          <w:rFonts w:ascii="Times New Roman" w:hAnsi="Times New Roman" w:cs="Times New Roman"/>
          <w:b/>
          <w:sz w:val="24"/>
          <w:szCs w:val="24"/>
        </w:rPr>
      </w:pPr>
      <w:r>
        <w:rPr>
          <w:rFonts w:ascii="Times New Roman" w:hAnsi="Times New Roman" w:cs="Times New Roman"/>
          <w:b/>
          <w:color w:val="000000"/>
          <w:kern w:val="0"/>
          <w:sz w:val="24"/>
          <w:szCs w:val="24"/>
        </w:rPr>
        <w:t>公告送出日期：</w:t>
      </w:r>
      <w:r>
        <w:rPr>
          <w:rFonts w:ascii="Times New Roman" w:hAnsi="Times New Roman" w:cs="Times New Roman"/>
          <w:b/>
          <w:bCs/>
          <w:color w:val="000000"/>
          <w:kern w:val="0"/>
          <w:sz w:val="24"/>
          <w:szCs w:val="24"/>
        </w:rPr>
        <w:t>2025</w:t>
      </w:r>
      <w:r>
        <w:rPr>
          <w:rFonts w:ascii="Times New Roman" w:hAnsi="Times New Roman" w:cs="Times New Roman"/>
          <w:b/>
          <w:color w:val="000000"/>
          <w:kern w:val="0"/>
          <w:sz w:val="24"/>
          <w:szCs w:val="24"/>
        </w:rPr>
        <w:t>年</w:t>
      </w:r>
      <w:r>
        <w:rPr>
          <w:rFonts w:ascii="Times New Roman" w:hAnsi="Times New Roman" w:cs="Times New Roman"/>
          <w:b/>
          <w:bCs/>
          <w:color w:val="000000"/>
          <w:kern w:val="0"/>
          <w:sz w:val="24"/>
          <w:szCs w:val="24"/>
        </w:rPr>
        <w:t>3</w:t>
      </w:r>
      <w:r>
        <w:rPr>
          <w:rFonts w:ascii="Times New Roman" w:hAnsi="Times New Roman" w:cs="Times New Roman"/>
          <w:b/>
          <w:color w:val="000000"/>
          <w:kern w:val="0"/>
          <w:sz w:val="24"/>
          <w:szCs w:val="24"/>
        </w:rPr>
        <w:t>月</w:t>
      </w:r>
      <w:r>
        <w:rPr>
          <w:rFonts w:ascii="Times New Roman" w:hAnsi="Times New Roman" w:cs="Times New Roman"/>
          <w:b/>
          <w:bCs/>
          <w:color w:val="000000"/>
          <w:kern w:val="0"/>
          <w:sz w:val="24"/>
          <w:szCs w:val="24"/>
        </w:rPr>
        <w:t>4</w:t>
      </w:r>
      <w:r>
        <w:rPr>
          <w:rFonts w:ascii="Times New Roman" w:hAnsi="Times New Roman" w:cs="Times New Roman"/>
          <w:b/>
          <w:color w:val="000000"/>
          <w:kern w:val="0"/>
          <w:sz w:val="24"/>
          <w:szCs w:val="24"/>
        </w:rPr>
        <w:t>日</w:t>
      </w:r>
    </w:p>
    <w:p w:rsidR="00DE7F4D" w:rsidRDefault="00DE7F4D">
      <w:pPr>
        <w:adjustRightInd w:val="0"/>
        <w:snapToGrid w:val="0"/>
        <w:spacing w:line="360" w:lineRule="auto"/>
        <w:rPr>
          <w:rFonts w:ascii="Times New Roman" w:hAnsi="Times New Roman" w:cs="Times New Roman"/>
        </w:rPr>
      </w:pPr>
    </w:p>
    <w:p w:rsidR="00DE7F4D" w:rsidRDefault="005C729C">
      <w:pPr>
        <w:autoSpaceDE w:val="0"/>
        <w:autoSpaceDN w:val="0"/>
        <w:adjustRightInd w:val="0"/>
        <w:snapToGrid w:val="0"/>
        <w:spacing w:line="360" w:lineRule="auto"/>
        <w:jc w:val="left"/>
        <w:outlineLvl w:val="0"/>
        <w:rPr>
          <w:rFonts w:ascii="Times New Roman" w:eastAsia="宋体" w:hAnsi="Times New Roman" w:cs="Times New Roman"/>
          <w:color w:val="000000"/>
          <w:kern w:val="0"/>
          <w:szCs w:val="21"/>
        </w:rPr>
      </w:pPr>
      <w:r>
        <w:rPr>
          <w:rFonts w:ascii="Times New Roman" w:eastAsia="宋体" w:hAnsi="Times New Roman" w:cs="Times New Roman"/>
          <w:b/>
          <w:bCs/>
          <w:color w:val="000000"/>
          <w:kern w:val="0"/>
          <w:szCs w:val="21"/>
        </w:rPr>
        <w:t>1</w:t>
      </w:r>
      <w:r>
        <w:rPr>
          <w:rFonts w:ascii="Times New Roman" w:eastAsia="宋体" w:hAnsi="Times New Roman" w:cs="Times New Roman"/>
          <w:color w:val="000000"/>
          <w:kern w:val="0"/>
          <w:szCs w:val="21"/>
        </w:rPr>
        <w:t>、公告基本信息</w:t>
      </w:r>
    </w:p>
    <w:tbl>
      <w:tblPr>
        <w:tblW w:w="86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47"/>
        <w:gridCol w:w="4347"/>
      </w:tblGrid>
      <w:tr w:rsidR="00DE7F4D">
        <w:trPr>
          <w:trHeight w:val="105"/>
        </w:trPr>
        <w:tc>
          <w:tcPr>
            <w:tcW w:w="4347" w:type="dxa"/>
          </w:tcPr>
          <w:p w:rsidR="00DE7F4D" w:rsidRDefault="005C729C">
            <w:pPr>
              <w:autoSpaceDE w:val="0"/>
              <w:autoSpaceDN w:val="0"/>
              <w:adjustRightInd w:val="0"/>
              <w:snapToGrid w:val="0"/>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基金名称</w:t>
            </w:r>
          </w:p>
        </w:tc>
        <w:tc>
          <w:tcPr>
            <w:tcW w:w="4347" w:type="dxa"/>
            <w:vAlign w:val="center"/>
          </w:tcPr>
          <w:p w:rsidR="00DE7F4D" w:rsidRDefault="005C729C">
            <w:pPr>
              <w:autoSpaceDE w:val="0"/>
              <w:autoSpaceDN w:val="0"/>
              <w:adjustRightInd w:val="0"/>
              <w:snapToGrid w:val="0"/>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国寿安保</w:t>
            </w:r>
            <w:r>
              <w:rPr>
                <w:rFonts w:ascii="Times New Roman" w:eastAsia="宋体" w:hAnsi="Times New Roman" w:cs="Times New Roman" w:hint="eastAsia"/>
                <w:color w:val="000000"/>
                <w:kern w:val="0"/>
                <w:szCs w:val="21"/>
              </w:rPr>
              <w:t>尊益信用</w:t>
            </w:r>
            <w:r>
              <w:rPr>
                <w:rFonts w:ascii="Times New Roman" w:eastAsia="宋体" w:hAnsi="Times New Roman" w:cs="Times New Roman"/>
                <w:color w:val="000000"/>
                <w:kern w:val="0"/>
                <w:szCs w:val="21"/>
              </w:rPr>
              <w:t>纯债债券型证券投资基金</w:t>
            </w:r>
          </w:p>
        </w:tc>
      </w:tr>
      <w:tr w:rsidR="00DE7F4D">
        <w:trPr>
          <w:trHeight w:val="105"/>
        </w:trPr>
        <w:tc>
          <w:tcPr>
            <w:tcW w:w="4347" w:type="dxa"/>
          </w:tcPr>
          <w:p w:rsidR="00DE7F4D" w:rsidRDefault="005C729C">
            <w:pPr>
              <w:autoSpaceDE w:val="0"/>
              <w:autoSpaceDN w:val="0"/>
              <w:adjustRightInd w:val="0"/>
              <w:snapToGrid w:val="0"/>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基金简称</w:t>
            </w:r>
          </w:p>
        </w:tc>
        <w:tc>
          <w:tcPr>
            <w:tcW w:w="4347" w:type="dxa"/>
            <w:vAlign w:val="center"/>
          </w:tcPr>
          <w:p w:rsidR="00DE7F4D" w:rsidRDefault="005C729C">
            <w:pPr>
              <w:autoSpaceDE w:val="0"/>
              <w:autoSpaceDN w:val="0"/>
              <w:adjustRightInd w:val="0"/>
              <w:snapToGrid w:val="0"/>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国寿安保</w:t>
            </w:r>
            <w:r>
              <w:rPr>
                <w:rFonts w:ascii="Times New Roman" w:eastAsia="宋体" w:hAnsi="Times New Roman" w:cs="Times New Roman" w:hint="eastAsia"/>
                <w:color w:val="000000"/>
                <w:kern w:val="0"/>
                <w:szCs w:val="21"/>
              </w:rPr>
              <w:t>尊益信用</w:t>
            </w:r>
            <w:r>
              <w:rPr>
                <w:rFonts w:ascii="Times New Roman" w:eastAsia="宋体" w:hAnsi="Times New Roman" w:cs="Times New Roman"/>
                <w:color w:val="000000"/>
                <w:kern w:val="0"/>
                <w:szCs w:val="21"/>
              </w:rPr>
              <w:t>纯债债券</w:t>
            </w:r>
          </w:p>
        </w:tc>
      </w:tr>
      <w:tr w:rsidR="00DE7F4D">
        <w:trPr>
          <w:trHeight w:val="111"/>
        </w:trPr>
        <w:tc>
          <w:tcPr>
            <w:tcW w:w="4347" w:type="dxa"/>
          </w:tcPr>
          <w:p w:rsidR="00DE7F4D" w:rsidRDefault="005C729C">
            <w:pPr>
              <w:autoSpaceDE w:val="0"/>
              <w:autoSpaceDN w:val="0"/>
              <w:adjustRightInd w:val="0"/>
              <w:snapToGrid w:val="0"/>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基金主代码</w:t>
            </w:r>
          </w:p>
        </w:tc>
        <w:tc>
          <w:tcPr>
            <w:tcW w:w="4347" w:type="dxa"/>
            <w:vAlign w:val="center"/>
          </w:tcPr>
          <w:p w:rsidR="00DE7F4D" w:rsidRDefault="005C729C">
            <w:pPr>
              <w:autoSpaceDE w:val="0"/>
              <w:autoSpaceDN w:val="0"/>
              <w:adjustRightInd w:val="0"/>
              <w:snapToGrid w:val="0"/>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00</w:t>
            </w:r>
            <w:r>
              <w:rPr>
                <w:rFonts w:ascii="Times New Roman" w:eastAsia="宋体" w:hAnsi="Times New Roman" w:cs="Times New Roman" w:hint="eastAsia"/>
                <w:color w:val="000000"/>
                <w:kern w:val="0"/>
                <w:szCs w:val="21"/>
              </w:rPr>
              <w:t>0931</w:t>
            </w:r>
          </w:p>
        </w:tc>
      </w:tr>
      <w:tr w:rsidR="00DE7F4D">
        <w:trPr>
          <w:trHeight w:val="105"/>
        </w:trPr>
        <w:tc>
          <w:tcPr>
            <w:tcW w:w="4347" w:type="dxa"/>
          </w:tcPr>
          <w:p w:rsidR="00DE7F4D" w:rsidRDefault="005C729C">
            <w:pPr>
              <w:autoSpaceDE w:val="0"/>
              <w:autoSpaceDN w:val="0"/>
              <w:adjustRightInd w:val="0"/>
              <w:snapToGrid w:val="0"/>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基金管理人名称</w:t>
            </w:r>
          </w:p>
        </w:tc>
        <w:tc>
          <w:tcPr>
            <w:tcW w:w="4347" w:type="dxa"/>
          </w:tcPr>
          <w:p w:rsidR="00DE7F4D" w:rsidRDefault="005C729C">
            <w:pPr>
              <w:autoSpaceDE w:val="0"/>
              <w:autoSpaceDN w:val="0"/>
              <w:adjustRightInd w:val="0"/>
              <w:snapToGrid w:val="0"/>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国寿安保基金管理有限公司</w:t>
            </w:r>
            <w:r>
              <w:rPr>
                <w:rFonts w:ascii="Times New Roman" w:eastAsia="宋体" w:hAnsi="Times New Roman" w:cs="Times New Roman"/>
                <w:color w:val="000000"/>
                <w:kern w:val="0"/>
                <w:szCs w:val="21"/>
              </w:rPr>
              <w:t xml:space="preserve"> </w:t>
            </w:r>
          </w:p>
        </w:tc>
      </w:tr>
      <w:tr w:rsidR="00DE7F4D">
        <w:trPr>
          <w:trHeight w:val="573"/>
        </w:trPr>
        <w:tc>
          <w:tcPr>
            <w:tcW w:w="4347" w:type="dxa"/>
          </w:tcPr>
          <w:p w:rsidR="00DE7F4D" w:rsidRDefault="005C729C">
            <w:pPr>
              <w:autoSpaceDE w:val="0"/>
              <w:autoSpaceDN w:val="0"/>
              <w:adjustRightInd w:val="0"/>
              <w:snapToGrid w:val="0"/>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公告依据</w:t>
            </w:r>
          </w:p>
        </w:tc>
        <w:tc>
          <w:tcPr>
            <w:tcW w:w="4347" w:type="dxa"/>
          </w:tcPr>
          <w:p w:rsidR="00DE7F4D" w:rsidRDefault="005C729C">
            <w:pPr>
              <w:autoSpaceDE w:val="0"/>
              <w:autoSpaceDN w:val="0"/>
              <w:adjustRightInd w:val="0"/>
              <w:snapToGrid w:val="0"/>
              <w:spacing w:line="360" w:lineRule="auto"/>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《公开募集证券投资基金信息披露管理办法》、《国寿安保</w:t>
            </w:r>
            <w:r>
              <w:rPr>
                <w:rFonts w:ascii="Times New Roman" w:eastAsia="宋体" w:hAnsi="Times New Roman" w:cs="Times New Roman" w:hint="eastAsia"/>
                <w:color w:val="000000"/>
                <w:kern w:val="0"/>
                <w:szCs w:val="21"/>
              </w:rPr>
              <w:t>尊益信用</w:t>
            </w:r>
            <w:r>
              <w:rPr>
                <w:rFonts w:ascii="Times New Roman" w:eastAsia="宋体" w:hAnsi="Times New Roman" w:cs="Times New Roman"/>
                <w:color w:val="000000"/>
                <w:kern w:val="0"/>
                <w:szCs w:val="21"/>
              </w:rPr>
              <w:t>纯债债券型证券投资基金基金合同》、《国寿安保</w:t>
            </w:r>
            <w:r>
              <w:rPr>
                <w:rFonts w:ascii="Times New Roman" w:eastAsia="宋体" w:hAnsi="Times New Roman" w:cs="Times New Roman" w:hint="eastAsia"/>
                <w:color w:val="000000"/>
                <w:kern w:val="0"/>
                <w:szCs w:val="21"/>
              </w:rPr>
              <w:t>尊益信用</w:t>
            </w:r>
            <w:r>
              <w:rPr>
                <w:rFonts w:ascii="Times New Roman" w:eastAsia="宋体" w:hAnsi="Times New Roman" w:cs="Times New Roman"/>
                <w:color w:val="000000"/>
                <w:kern w:val="0"/>
                <w:szCs w:val="21"/>
              </w:rPr>
              <w:t>纯债债券型证券投资基金招募说明书》等相关文件的规定</w:t>
            </w:r>
            <w:r>
              <w:rPr>
                <w:rFonts w:ascii="Times New Roman" w:eastAsia="宋体" w:hAnsi="Times New Roman" w:cs="Times New Roman"/>
                <w:color w:val="000000"/>
                <w:kern w:val="0"/>
                <w:szCs w:val="21"/>
              </w:rPr>
              <w:t xml:space="preserve"> </w:t>
            </w:r>
          </w:p>
        </w:tc>
      </w:tr>
      <w:tr w:rsidR="00DE7F4D">
        <w:trPr>
          <w:trHeight w:val="112"/>
        </w:trPr>
        <w:tc>
          <w:tcPr>
            <w:tcW w:w="4347" w:type="dxa"/>
          </w:tcPr>
          <w:p w:rsidR="00DE7F4D" w:rsidRDefault="005C729C">
            <w:pPr>
              <w:autoSpaceDE w:val="0"/>
              <w:autoSpaceDN w:val="0"/>
              <w:adjustRightInd w:val="0"/>
              <w:snapToGrid w:val="0"/>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调整</w:t>
            </w:r>
            <w:r>
              <w:rPr>
                <w:rFonts w:ascii="Times New Roman" w:eastAsia="宋体" w:hAnsi="Times New Roman" w:cs="Times New Roman"/>
                <w:color w:val="000000"/>
                <w:kern w:val="0"/>
                <w:szCs w:val="21"/>
              </w:rPr>
              <w:t>大额申购</w:t>
            </w:r>
            <w:r>
              <w:rPr>
                <w:rFonts w:ascii="Times New Roman" w:eastAsia="宋体" w:hAnsi="Times New Roman" w:cs="Times New Roman" w:hint="eastAsia"/>
                <w:color w:val="000000"/>
                <w:kern w:val="0"/>
                <w:szCs w:val="21"/>
              </w:rPr>
              <w:t>限制金额</w:t>
            </w:r>
            <w:r>
              <w:rPr>
                <w:rFonts w:ascii="Times New Roman" w:eastAsia="宋体" w:hAnsi="Times New Roman" w:cs="Times New Roman"/>
                <w:color w:val="000000"/>
                <w:kern w:val="0"/>
                <w:szCs w:val="21"/>
              </w:rPr>
              <w:t>起始日</w:t>
            </w:r>
            <w:r>
              <w:rPr>
                <w:rFonts w:ascii="Times New Roman" w:eastAsia="宋体" w:hAnsi="Times New Roman" w:cs="Times New Roman"/>
                <w:color w:val="000000"/>
                <w:kern w:val="0"/>
                <w:szCs w:val="21"/>
              </w:rPr>
              <w:t xml:space="preserve"> </w:t>
            </w:r>
          </w:p>
        </w:tc>
        <w:tc>
          <w:tcPr>
            <w:tcW w:w="4347" w:type="dxa"/>
          </w:tcPr>
          <w:p w:rsidR="00DE7F4D" w:rsidRDefault="005C729C">
            <w:pPr>
              <w:autoSpaceDE w:val="0"/>
              <w:autoSpaceDN w:val="0"/>
              <w:adjustRightInd w:val="0"/>
              <w:snapToGrid w:val="0"/>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2025</w:t>
            </w:r>
            <w:r>
              <w:rPr>
                <w:rFonts w:ascii="Times New Roman" w:eastAsia="宋体" w:hAnsi="Times New Roman" w:cs="Times New Roman"/>
                <w:color w:val="000000"/>
                <w:kern w:val="0"/>
                <w:szCs w:val="21"/>
              </w:rPr>
              <w:t>年</w:t>
            </w:r>
            <w:r>
              <w:rPr>
                <w:rFonts w:ascii="Times New Roman" w:eastAsia="宋体" w:hAnsi="Times New Roman" w:cs="Times New Roman"/>
                <w:color w:val="000000"/>
                <w:kern w:val="0"/>
                <w:szCs w:val="21"/>
              </w:rPr>
              <w:t>3</w:t>
            </w:r>
            <w:r>
              <w:rPr>
                <w:rFonts w:ascii="Times New Roman" w:eastAsia="宋体" w:hAnsi="Times New Roman" w:cs="Times New Roman" w:hint="eastAsia"/>
                <w:color w:val="000000"/>
                <w:kern w:val="0"/>
                <w:szCs w:val="21"/>
              </w:rPr>
              <w:t>月</w:t>
            </w:r>
            <w:r>
              <w:rPr>
                <w:rFonts w:ascii="Times New Roman" w:eastAsia="宋体" w:hAnsi="Times New Roman" w:cs="Times New Roman"/>
                <w:color w:val="000000"/>
                <w:kern w:val="0"/>
                <w:szCs w:val="21"/>
              </w:rPr>
              <w:t>4</w:t>
            </w:r>
            <w:r>
              <w:rPr>
                <w:rFonts w:ascii="Times New Roman" w:eastAsia="宋体" w:hAnsi="Times New Roman" w:cs="Times New Roman" w:hint="eastAsia"/>
                <w:color w:val="000000"/>
                <w:kern w:val="0"/>
                <w:szCs w:val="21"/>
              </w:rPr>
              <w:t>日</w:t>
            </w:r>
            <w:r>
              <w:rPr>
                <w:rFonts w:ascii="Times New Roman" w:eastAsia="宋体" w:hAnsi="Times New Roman" w:cs="Times New Roman"/>
                <w:color w:val="000000"/>
                <w:kern w:val="0"/>
                <w:szCs w:val="21"/>
              </w:rPr>
              <w:t xml:space="preserve"> </w:t>
            </w:r>
          </w:p>
        </w:tc>
      </w:tr>
      <w:tr w:rsidR="00DE7F4D">
        <w:trPr>
          <w:trHeight w:val="112"/>
        </w:trPr>
        <w:tc>
          <w:tcPr>
            <w:tcW w:w="4347" w:type="dxa"/>
          </w:tcPr>
          <w:p w:rsidR="00DE7F4D" w:rsidRDefault="005C729C">
            <w:pPr>
              <w:autoSpaceDE w:val="0"/>
              <w:autoSpaceDN w:val="0"/>
              <w:adjustRightInd w:val="0"/>
              <w:snapToGrid w:val="0"/>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调整</w:t>
            </w:r>
            <w:r>
              <w:rPr>
                <w:rFonts w:ascii="Times New Roman" w:eastAsia="宋体" w:hAnsi="Times New Roman" w:cs="Times New Roman"/>
                <w:color w:val="000000"/>
                <w:kern w:val="0"/>
                <w:szCs w:val="21"/>
              </w:rPr>
              <w:t>大额转换转入</w:t>
            </w:r>
            <w:r>
              <w:rPr>
                <w:rFonts w:ascii="Times New Roman" w:eastAsia="宋体" w:hAnsi="Times New Roman" w:cs="Times New Roman" w:hint="eastAsia"/>
                <w:color w:val="000000"/>
                <w:kern w:val="0"/>
                <w:szCs w:val="21"/>
              </w:rPr>
              <w:t>限制金额</w:t>
            </w:r>
            <w:r>
              <w:rPr>
                <w:rFonts w:ascii="Times New Roman" w:eastAsia="宋体" w:hAnsi="Times New Roman" w:cs="Times New Roman"/>
                <w:color w:val="000000"/>
                <w:kern w:val="0"/>
                <w:szCs w:val="21"/>
              </w:rPr>
              <w:t>起始日</w:t>
            </w:r>
            <w:r>
              <w:rPr>
                <w:rFonts w:ascii="Times New Roman" w:eastAsia="宋体" w:hAnsi="Times New Roman" w:cs="Times New Roman"/>
                <w:color w:val="000000"/>
                <w:kern w:val="0"/>
                <w:szCs w:val="21"/>
              </w:rPr>
              <w:t xml:space="preserve"> </w:t>
            </w:r>
          </w:p>
        </w:tc>
        <w:tc>
          <w:tcPr>
            <w:tcW w:w="4347" w:type="dxa"/>
          </w:tcPr>
          <w:p w:rsidR="00DE7F4D" w:rsidRDefault="005C729C">
            <w:pPr>
              <w:autoSpaceDE w:val="0"/>
              <w:autoSpaceDN w:val="0"/>
              <w:adjustRightInd w:val="0"/>
              <w:snapToGrid w:val="0"/>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2025</w:t>
            </w:r>
            <w:r>
              <w:rPr>
                <w:rFonts w:ascii="Times New Roman" w:eastAsia="宋体" w:hAnsi="Times New Roman" w:cs="Times New Roman"/>
                <w:color w:val="000000"/>
                <w:kern w:val="0"/>
                <w:szCs w:val="21"/>
              </w:rPr>
              <w:t>年</w:t>
            </w:r>
            <w:r>
              <w:rPr>
                <w:rFonts w:ascii="Times New Roman" w:eastAsia="宋体" w:hAnsi="Times New Roman" w:cs="Times New Roman"/>
                <w:color w:val="000000"/>
                <w:kern w:val="0"/>
                <w:szCs w:val="21"/>
              </w:rPr>
              <w:t>3</w:t>
            </w:r>
            <w:r>
              <w:rPr>
                <w:rFonts w:ascii="Times New Roman" w:eastAsia="宋体" w:hAnsi="Times New Roman" w:cs="Times New Roman" w:hint="eastAsia"/>
                <w:color w:val="000000"/>
                <w:kern w:val="0"/>
                <w:szCs w:val="21"/>
              </w:rPr>
              <w:t>月</w:t>
            </w:r>
            <w:r>
              <w:rPr>
                <w:rFonts w:ascii="Times New Roman" w:eastAsia="宋体" w:hAnsi="Times New Roman" w:cs="Times New Roman"/>
                <w:color w:val="000000"/>
                <w:kern w:val="0"/>
                <w:szCs w:val="21"/>
              </w:rPr>
              <w:t>4</w:t>
            </w:r>
            <w:r>
              <w:rPr>
                <w:rFonts w:ascii="Times New Roman" w:eastAsia="宋体" w:hAnsi="Times New Roman" w:cs="Times New Roman" w:hint="eastAsia"/>
                <w:color w:val="000000"/>
                <w:kern w:val="0"/>
                <w:szCs w:val="21"/>
              </w:rPr>
              <w:t>日</w:t>
            </w:r>
            <w:r>
              <w:rPr>
                <w:rFonts w:ascii="Times New Roman" w:eastAsia="宋体" w:hAnsi="Times New Roman" w:cs="Times New Roman"/>
                <w:color w:val="000000"/>
                <w:kern w:val="0"/>
                <w:szCs w:val="21"/>
              </w:rPr>
              <w:t xml:space="preserve"> </w:t>
            </w:r>
          </w:p>
        </w:tc>
      </w:tr>
      <w:tr w:rsidR="00DE7F4D">
        <w:trPr>
          <w:trHeight w:val="112"/>
        </w:trPr>
        <w:tc>
          <w:tcPr>
            <w:tcW w:w="4347" w:type="dxa"/>
          </w:tcPr>
          <w:p w:rsidR="00DE7F4D" w:rsidRDefault="005C729C">
            <w:pPr>
              <w:autoSpaceDE w:val="0"/>
              <w:autoSpaceDN w:val="0"/>
              <w:adjustRightInd w:val="0"/>
              <w:snapToGrid w:val="0"/>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调整</w:t>
            </w:r>
            <w:r>
              <w:rPr>
                <w:rFonts w:ascii="Times New Roman" w:eastAsia="宋体" w:hAnsi="Times New Roman" w:cs="Times New Roman"/>
                <w:color w:val="000000"/>
                <w:kern w:val="0"/>
                <w:szCs w:val="21"/>
              </w:rPr>
              <w:t>大额定期定额投资</w:t>
            </w:r>
            <w:r>
              <w:rPr>
                <w:rFonts w:ascii="Times New Roman" w:eastAsia="宋体" w:hAnsi="Times New Roman" w:cs="Times New Roman" w:hint="eastAsia"/>
                <w:color w:val="000000"/>
                <w:kern w:val="0"/>
                <w:szCs w:val="21"/>
              </w:rPr>
              <w:t>限制金额</w:t>
            </w:r>
            <w:r>
              <w:rPr>
                <w:rFonts w:ascii="Times New Roman" w:eastAsia="宋体" w:hAnsi="Times New Roman" w:cs="Times New Roman"/>
                <w:color w:val="000000"/>
                <w:kern w:val="0"/>
                <w:szCs w:val="21"/>
              </w:rPr>
              <w:t>起始日</w:t>
            </w:r>
          </w:p>
        </w:tc>
        <w:tc>
          <w:tcPr>
            <w:tcW w:w="4347" w:type="dxa"/>
          </w:tcPr>
          <w:p w:rsidR="00DE7F4D" w:rsidRDefault="005C729C">
            <w:pPr>
              <w:autoSpaceDE w:val="0"/>
              <w:autoSpaceDN w:val="0"/>
              <w:adjustRightInd w:val="0"/>
              <w:snapToGrid w:val="0"/>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2025</w:t>
            </w:r>
            <w:r>
              <w:rPr>
                <w:rFonts w:ascii="Times New Roman" w:eastAsia="宋体" w:hAnsi="Times New Roman" w:cs="Times New Roman"/>
                <w:color w:val="000000"/>
                <w:kern w:val="0"/>
                <w:szCs w:val="21"/>
              </w:rPr>
              <w:t>年</w:t>
            </w:r>
            <w:r>
              <w:rPr>
                <w:rFonts w:ascii="Times New Roman" w:eastAsia="宋体" w:hAnsi="Times New Roman" w:cs="Times New Roman"/>
                <w:color w:val="000000"/>
                <w:kern w:val="0"/>
                <w:szCs w:val="21"/>
              </w:rPr>
              <w:t>3</w:t>
            </w:r>
            <w:r>
              <w:rPr>
                <w:rFonts w:ascii="Times New Roman" w:eastAsia="宋体" w:hAnsi="Times New Roman" w:cs="Times New Roman" w:hint="eastAsia"/>
                <w:color w:val="000000"/>
                <w:kern w:val="0"/>
                <w:szCs w:val="21"/>
              </w:rPr>
              <w:t>月</w:t>
            </w:r>
            <w:r>
              <w:rPr>
                <w:rFonts w:ascii="Times New Roman" w:eastAsia="宋体" w:hAnsi="Times New Roman" w:cs="Times New Roman"/>
                <w:color w:val="000000"/>
                <w:kern w:val="0"/>
                <w:szCs w:val="21"/>
              </w:rPr>
              <w:t>4</w:t>
            </w:r>
            <w:r>
              <w:rPr>
                <w:rFonts w:ascii="Times New Roman" w:eastAsia="宋体" w:hAnsi="Times New Roman" w:cs="Times New Roman" w:hint="eastAsia"/>
                <w:color w:val="000000"/>
                <w:kern w:val="0"/>
                <w:szCs w:val="21"/>
              </w:rPr>
              <w:t>日</w:t>
            </w:r>
            <w:r>
              <w:rPr>
                <w:rFonts w:ascii="Times New Roman" w:eastAsia="宋体" w:hAnsi="Times New Roman" w:cs="Times New Roman"/>
                <w:color w:val="000000"/>
                <w:kern w:val="0"/>
                <w:szCs w:val="21"/>
              </w:rPr>
              <w:t xml:space="preserve"> </w:t>
            </w:r>
          </w:p>
        </w:tc>
      </w:tr>
      <w:tr w:rsidR="00DE7F4D">
        <w:trPr>
          <w:trHeight w:val="729"/>
        </w:trPr>
        <w:tc>
          <w:tcPr>
            <w:tcW w:w="4347" w:type="dxa"/>
          </w:tcPr>
          <w:p w:rsidR="00DE7F4D" w:rsidRDefault="005C729C">
            <w:pPr>
              <w:autoSpaceDE w:val="0"/>
              <w:autoSpaceDN w:val="0"/>
              <w:adjustRightInd w:val="0"/>
              <w:snapToGrid w:val="0"/>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调整</w:t>
            </w:r>
            <w:r>
              <w:rPr>
                <w:rFonts w:ascii="Times New Roman" w:eastAsia="宋体" w:hAnsi="Times New Roman" w:cs="Times New Roman"/>
                <w:color w:val="000000"/>
                <w:kern w:val="0"/>
                <w:szCs w:val="21"/>
              </w:rPr>
              <w:t>大额申购、转换转入</w:t>
            </w:r>
            <w:r>
              <w:rPr>
                <w:rFonts w:ascii="Times New Roman" w:hAnsi="Times New Roman" w:cs="Times New Roman"/>
                <w:szCs w:val="21"/>
              </w:rPr>
              <w:t>及定期定额投资</w:t>
            </w:r>
            <w:r>
              <w:rPr>
                <w:rFonts w:ascii="Times New Roman" w:eastAsia="宋体" w:hAnsi="Times New Roman" w:cs="Times New Roman"/>
                <w:color w:val="000000"/>
                <w:kern w:val="0"/>
                <w:szCs w:val="21"/>
              </w:rPr>
              <w:t>业务</w:t>
            </w:r>
            <w:r>
              <w:rPr>
                <w:rFonts w:ascii="Times New Roman" w:eastAsia="宋体" w:hAnsi="Times New Roman" w:cs="Times New Roman" w:hint="eastAsia"/>
                <w:color w:val="000000"/>
                <w:kern w:val="0"/>
                <w:szCs w:val="21"/>
              </w:rPr>
              <w:t>限制金额</w:t>
            </w:r>
            <w:r>
              <w:rPr>
                <w:rFonts w:ascii="Times New Roman" w:eastAsia="宋体" w:hAnsi="Times New Roman" w:cs="Times New Roman"/>
                <w:color w:val="000000"/>
                <w:kern w:val="0"/>
                <w:szCs w:val="21"/>
              </w:rPr>
              <w:t>的原因说明</w:t>
            </w:r>
            <w:r>
              <w:rPr>
                <w:rFonts w:ascii="Times New Roman" w:eastAsia="宋体" w:hAnsi="Times New Roman" w:cs="Times New Roman"/>
                <w:color w:val="000000"/>
                <w:kern w:val="0"/>
                <w:szCs w:val="21"/>
              </w:rPr>
              <w:t xml:space="preserve"> </w:t>
            </w:r>
          </w:p>
        </w:tc>
        <w:tc>
          <w:tcPr>
            <w:tcW w:w="4347" w:type="dxa"/>
          </w:tcPr>
          <w:p w:rsidR="00DE7F4D" w:rsidRDefault="005C729C">
            <w:pPr>
              <w:autoSpaceDE w:val="0"/>
              <w:autoSpaceDN w:val="0"/>
              <w:adjustRightInd w:val="0"/>
              <w:snapToGrid w:val="0"/>
              <w:spacing w:line="360" w:lineRule="auto"/>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为</w:t>
            </w:r>
            <w:r>
              <w:rPr>
                <w:rFonts w:ascii="Times New Roman" w:eastAsia="宋体" w:hAnsi="Times New Roman" w:cs="Times New Roman" w:hint="eastAsia"/>
                <w:color w:val="000000"/>
                <w:kern w:val="0"/>
                <w:szCs w:val="21"/>
              </w:rPr>
              <w:t>满足投资者投资需求以及</w:t>
            </w:r>
            <w:r>
              <w:rPr>
                <w:rFonts w:ascii="Times New Roman" w:eastAsia="宋体" w:hAnsi="Times New Roman" w:cs="Times New Roman"/>
                <w:color w:val="000000"/>
                <w:kern w:val="0"/>
                <w:szCs w:val="21"/>
              </w:rPr>
              <w:t>保护国寿安保</w:t>
            </w:r>
            <w:r>
              <w:rPr>
                <w:rFonts w:ascii="Times New Roman" w:eastAsia="宋体" w:hAnsi="Times New Roman" w:cs="Times New Roman" w:hint="eastAsia"/>
                <w:color w:val="000000"/>
                <w:kern w:val="0"/>
                <w:szCs w:val="21"/>
              </w:rPr>
              <w:t>尊益信用</w:t>
            </w:r>
            <w:r>
              <w:rPr>
                <w:rFonts w:ascii="Times New Roman" w:eastAsia="宋体" w:hAnsi="Times New Roman" w:cs="Times New Roman"/>
                <w:color w:val="000000"/>
                <w:kern w:val="0"/>
                <w:szCs w:val="21"/>
              </w:rPr>
              <w:t>纯债债券型证券投资基金现有基金份额持有人的利益</w:t>
            </w:r>
            <w:r>
              <w:rPr>
                <w:rFonts w:ascii="Times New Roman" w:eastAsia="宋体" w:hAnsi="Times New Roman" w:cs="Times New Roman" w:hint="eastAsia"/>
                <w:color w:val="000000"/>
                <w:kern w:val="0"/>
                <w:szCs w:val="21"/>
              </w:rPr>
              <w:t>。</w:t>
            </w:r>
          </w:p>
        </w:tc>
      </w:tr>
    </w:tbl>
    <w:p w:rsidR="00DE7F4D" w:rsidRDefault="005C729C">
      <w:pPr>
        <w:pStyle w:val="Default"/>
        <w:snapToGrid w:val="0"/>
        <w:spacing w:line="360" w:lineRule="auto"/>
        <w:rPr>
          <w:rFonts w:ascii="Times New Roman" w:hAnsi="Times New Roman" w:cs="Times New Roman"/>
          <w:sz w:val="21"/>
          <w:szCs w:val="21"/>
        </w:rPr>
      </w:pPr>
      <w:r>
        <w:rPr>
          <w:rFonts w:ascii="Times New Roman" w:hAnsi="Times New Roman" w:cs="Times New Roman" w:hint="eastAsia"/>
          <w:sz w:val="21"/>
          <w:szCs w:val="21"/>
        </w:rPr>
        <w:t>注：本基金代销机构和直销机构分别于</w:t>
      </w:r>
      <w:r>
        <w:rPr>
          <w:rFonts w:ascii="Times New Roman" w:hAnsi="Times New Roman" w:cs="Times New Roman" w:hint="eastAsia"/>
          <w:sz w:val="21"/>
          <w:szCs w:val="21"/>
        </w:rPr>
        <w:t>2025</w:t>
      </w:r>
      <w:r>
        <w:rPr>
          <w:rFonts w:ascii="Times New Roman" w:hAnsi="Times New Roman" w:cs="Times New Roman" w:hint="eastAsia"/>
          <w:sz w:val="21"/>
          <w:szCs w:val="21"/>
        </w:rPr>
        <w:t>年</w:t>
      </w:r>
      <w:r>
        <w:rPr>
          <w:rFonts w:ascii="Times New Roman" w:hAnsi="Times New Roman" w:cs="Times New Roman" w:hint="eastAsia"/>
          <w:sz w:val="21"/>
          <w:szCs w:val="21"/>
        </w:rPr>
        <w:t>3</w:t>
      </w:r>
      <w:r>
        <w:rPr>
          <w:rFonts w:ascii="Times New Roman" w:hAnsi="Times New Roman" w:cs="Times New Roman" w:hint="eastAsia"/>
          <w:sz w:val="21"/>
          <w:szCs w:val="21"/>
        </w:rPr>
        <w:t>月</w:t>
      </w:r>
      <w:r>
        <w:rPr>
          <w:rFonts w:ascii="Times New Roman" w:hAnsi="Times New Roman" w:cs="Times New Roman" w:hint="eastAsia"/>
          <w:sz w:val="21"/>
          <w:szCs w:val="21"/>
        </w:rPr>
        <w:t>4</w:t>
      </w:r>
      <w:r>
        <w:rPr>
          <w:rFonts w:ascii="Times New Roman" w:hAnsi="Times New Roman" w:cs="Times New Roman" w:hint="eastAsia"/>
          <w:sz w:val="21"/>
          <w:szCs w:val="21"/>
        </w:rPr>
        <w:t>日和</w:t>
      </w:r>
      <w:r>
        <w:rPr>
          <w:rFonts w:ascii="Times New Roman" w:hAnsi="Times New Roman" w:cs="Times New Roman" w:hint="eastAsia"/>
          <w:sz w:val="21"/>
          <w:szCs w:val="21"/>
        </w:rPr>
        <w:t>2025</w:t>
      </w:r>
      <w:r>
        <w:rPr>
          <w:rFonts w:ascii="Times New Roman" w:hAnsi="Times New Roman" w:cs="Times New Roman" w:hint="eastAsia"/>
          <w:sz w:val="21"/>
          <w:szCs w:val="21"/>
        </w:rPr>
        <w:t>年</w:t>
      </w:r>
      <w:r>
        <w:rPr>
          <w:rFonts w:ascii="Times New Roman" w:hAnsi="Times New Roman" w:cs="Times New Roman" w:hint="eastAsia"/>
          <w:sz w:val="21"/>
          <w:szCs w:val="21"/>
        </w:rPr>
        <w:t>3</w:t>
      </w:r>
      <w:r>
        <w:rPr>
          <w:rFonts w:ascii="Times New Roman" w:hAnsi="Times New Roman" w:cs="Times New Roman" w:hint="eastAsia"/>
          <w:sz w:val="21"/>
          <w:szCs w:val="21"/>
        </w:rPr>
        <w:t>月</w:t>
      </w:r>
      <w:r>
        <w:rPr>
          <w:rFonts w:ascii="Times New Roman" w:hAnsi="Times New Roman" w:cs="Times New Roman" w:hint="eastAsia"/>
          <w:sz w:val="21"/>
          <w:szCs w:val="21"/>
        </w:rPr>
        <w:t>7</w:t>
      </w:r>
      <w:r>
        <w:rPr>
          <w:rFonts w:ascii="Times New Roman" w:hAnsi="Times New Roman" w:cs="Times New Roman" w:hint="eastAsia"/>
          <w:sz w:val="21"/>
          <w:szCs w:val="21"/>
        </w:rPr>
        <w:t>日起调整大额申购、转换转入及定期定额投资业务的限制金额。</w:t>
      </w:r>
    </w:p>
    <w:p w:rsidR="00DE7F4D" w:rsidRDefault="005C729C">
      <w:pPr>
        <w:pStyle w:val="Default"/>
        <w:snapToGrid w:val="0"/>
        <w:spacing w:line="360" w:lineRule="auto"/>
        <w:outlineLvl w:val="0"/>
        <w:rPr>
          <w:rFonts w:ascii="Times New Roman" w:eastAsia="宋体" w:hAnsi="Times New Roman" w:cs="Times New Roman"/>
          <w:b/>
          <w:sz w:val="21"/>
          <w:szCs w:val="21"/>
        </w:rPr>
      </w:pPr>
      <w:r>
        <w:rPr>
          <w:rFonts w:ascii="Times New Roman" w:hAnsi="Times New Roman" w:cs="Times New Roman"/>
          <w:b/>
          <w:bCs/>
          <w:sz w:val="21"/>
          <w:szCs w:val="21"/>
        </w:rPr>
        <w:t>2</w:t>
      </w:r>
      <w:r>
        <w:rPr>
          <w:rFonts w:ascii="Times New Roman" w:eastAsia="宋体" w:hAnsi="Times New Roman" w:cs="Times New Roman"/>
          <w:b/>
          <w:sz w:val="21"/>
          <w:szCs w:val="21"/>
        </w:rPr>
        <w:t>、其他需要提示的事项</w:t>
      </w:r>
      <w:r>
        <w:rPr>
          <w:rFonts w:ascii="Times New Roman" w:eastAsia="宋体" w:hAnsi="Times New Roman" w:cs="Times New Roman"/>
          <w:b/>
          <w:sz w:val="21"/>
          <w:szCs w:val="21"/>
        </w:rPr>
        <w:t xml:space="preserve"> </w:t>
      </w:r>
    </w:p>
    <w:p w:rsidR="00DE7F4D" w:rsidRDefault="005C729C">
      <w:pPr>
        <w:pStyle w:val="Default"/>
        <w:snapToGrid w:val="0"/>
        <w:spacing w:line="360" w:lineRule="auto"/>
        <w:ind w:firstLineChars="200" w:firstLine="420"/>
        <w:jc w:val="both"/>
        <w:rPr>
          <w:rFonts w:ascii="Times New Roman" w:eastAsia="宋体" w:hAnsi="Times New Roman" w:cs="Times New Roman"/>
          <w:sz w:val="21"/>
          <w:szCs w:val="21"/>
        </w:rPr>
      </w:pPr>
      <w:r>
        <w:rPr>
          <w:rFonts w:ascii="Times New Roman" w:eastAsia="宋体" w:hAnsi="Times New Roman" w:cs="Times New Roman"/>
          <w:sz w:val="21"/>
          <w:szCs w:val="21"/>
        </w:rPr>
        <w:t>（</w:t>
      </w:r>
      <w:r>
        <w:rPr>
          <w:rFonts w:ascii="Times New Roman" w:eastAsia="宋体" w:hAnsi="Times New Roman" w:cs="Times New Roman"/>
          <w:sz w:val="21"/>
          <w:szCs w:val="21"/>
        </w:rPr>
        <w:t>1</w:t>
      </w:r>
      <w:r>
        <w:rPr>
          <w:rFonts w:ascii="Times New Roman" w:eastAsia="宋体" w:hAnsi="Times New Roman" w:cs="Times New Roman"/>
          <w:sz w:val="21"/>
          <w:szCs w:val="21"/>
        </w:rPr>
        <w:t>）</w:t>
      </w:r>
      <w:r>
        <w:rPr>
          <w:rFonts w:ascii="Times New Roman" w:eastAsia="宋体" w:hAnsi="Times New Roman" w:cs="Times New Roman" w:hint="eastAsia"/>
          <w:sz w:val="21"/>
          <w:szCs w:val="21"/>
        </w:rPr>
        <w:t>本公司将于</w:t>
      </w:r>
      <w:r>
        <w:rPr>
          <w:rFonts w:ascii="Times New Roman" w:eastAsia="宋体" w:hAnsi="Times New Roman" w:cs="Times New Roman" w:hint="eastAsia"/>
          <w:sz w:val="21"/>
          <w:szCs w:val="21"/>
        </w:rPr>
        <w:t>202</w:t>
      </w:r>
      <w:r>
        <w:rPr>
          <w:rFonts w:ascii="Times New Roman" w:eastAsia="宋体" w:hAnsi="Times New Roman" w:cs="Times New Roman"/>
          <w:sz w:val="21"/>
          <w:szCs w:val="21"/>
        </w:rPr>
        <w:t>5</w:t>
      </w:r>
      <w:r>
        <w:rPr>
          <w:rFonts w:ascii="Times New Roman" w:eastAsia="宋体" w:hAnsi="Times New Roman" w:cs="Times New Roman" w:hint="eastAsia"/>
          <w:sz w:val="21"/>
          <w:szCs w:val="21"/>
        </w:rPr>
        <w:t>年</w:t>
      </w:r>
      <w:r>
        <w:rPr>
          <w:rFonts w:ascii="Times New Roman" w:eastAsia="宋体" w:hAnsi="Times New Roman" w:cs="Times New Roman"/>
          <w:sz w:val="21"/>
          <w:szCs w:val="21"/>
        </w:rPr>
        <w:t>3</w:t>
      </w:r>
      <w:r>
        <w:rPr>
          <w:rFonts w:ascii="Times New Roman" w:eastAsia="宋体" w:hAnsi="Times New Roman" w:cs="Times New Roman" w:hint="eastAsia"/>
          <w:sz w:val="21"/>
          <w:szCs w:val="21"/>
        </w:rPr>
        <w:t>月</w:t>
      </w:r>
      <w:r>
        <w:rPr>
          <w:rFonts w:ascii="Times New Roman" w:eastAsia="宋体" w:hAnsi="Times New Roman" w:cs="Times New Roman"/>
          <w:sz w:val="21"/>
          <w:szCs w:val="21"/>
        </w:rPr>
        <w:t>4</w:t>
      </w:r>
      <w:r>
        <w:rPr>
          <w:rFonts w:ascii="Times New Roman" w:eastAsia="宋体" w:hAnsi="Times New Roman" w:cs="Times New Roman" w:hint="eastAsia"/>
          <w:sz w:val="21"/>
          <w:szCs w:val="21"/>
        </w:rPr>
        <w:t>日起调整本基金代销机构大额申购、转换转入及定期定额投资业务的限制金额，本基金通过代销机构单个开放日单个基金账户累计申购申请金额上限由</w:t>
      </w:r>
      <w:r>
        <w:rPr>
          <w:rFonts w:ascii="Times New Roman" w:eastAsia="宋体" w:hAnsi="Times New Roman" w:cs="Times New Roman"/>
          <w:sz w:val="21"/>
          <w:szCs w:val="21"/>
        </w:rPr>
        <w:t>3000</w:t>
      </w:r>
      <w:r>
        <w:rPr>
          <w:rFonts w:ascii="Times New Roman" w:eastAsia="宋体" w:hAnsi="Times New Roman" w:cs="Times New Roman"/>
          <w:sz w:val="21"/>
          <w:szCs w:val="21"/>
        </w:rPr>
        <w:t>万</w:t>
      </w:r>
      <w:r>
        <w:rPr>
          <w:rFonts w:ascii="Times New Roman" w:eastAsia="宋体" w:hAnsi="Times New Roman" w:cs="Times New Roman" w:hint="eastAsia"/>
          <w:sz w:val="21"/>
          <w:szCs w:val="21"/>
        </w:rPr>
        <w:t>元（详见基金管理人</w:t>
      </w:r>
      <w:r>
        <w:rPr>
          <w:rFonts w:ascii="Times New Roman" w:eastAsia="宋体" w:hAnsi="Times New Roman" w:cs="Times New Roman" w:hint="eastAsia"/>
          <w:sz w:val="21"/>
          <w:szCs w:val="21"/>
        </w:rPr>
        <w:t>202</w:t>
      </w:r>
      <w:r>
        <w:rPr>
          <w:rFonts w:ascii="Times New Roman" w:eastAsia="宋体" w:hAnsi="Times New Roman" w:cs="Times New Roman"/>
          <w:sz w:val="21"/>
          <w:szCs w:val="21"/>
        </w:rPr>
        <w:t>5</w:t>
      </w:r>
      <w:r>
        <w:rPr>
          <w:rFonts w:ascii="Times New Roman" w:eastAsia="宋体" w:hAnsi="Times New Roman" w:cs="Times New Roman" w:hint="eastAsia"/>
          <w:sz w:val="21"/>
          <w:szCs w:val="21"/>
        </w:rPr>
        <w:t>年</w:t>
      </w:r>
      <w:r>
        <w:rPr>
          <w:rFonts w:ascii="Times New Roman" w:eastAsia="宋体" w:hAnsi="Times New Roman" w:cs="Times New Roman"/>
          <w:sz w:val="21"/>
          <w:szCs w:val="21"/>
        </w:rPr>
        <w:t>2</w:t>
      </w:r>
      <w:r>
        <w:rPr>
          <w:rFonts w:ascii="Times New Roman" w:eastAsia="宋体" w:hAnsi="Times New Roman" w:cs="Times New Roman" w:hint="eastAsia"/>
          <w:sz w:val="21"/>
          <w:szCs w:val="21"/>
        </w:rPr>
        <w:t>月</w:t>
      </w:r>
      <w:r>
        <w:rPr>
          <w:rFonts w:ascii="Times New Roman" w:eastAsia="宋体" w:hAnsi="Times New Roman" w:cs="Times New Roman"/>
          <w:sz w:val="21"/>
          <w:szCs w:val="21"/>
        </w:rPr>
        <w:t>27</w:t>
      </w:r>
      <w:r>
        <w:rPr>
          <w:rFonts w:ascii="Times New Roman" w:eastAsia="宋体" w:hAnsi="Times New Roman" w:cs="Times New Roman" w:hint="eastAsia"/>
          <w:sz w:val="21"/>
          <w:szCs w:val="21"/>
        </w:rPr>
        <w:t>日发布的《关于国寿安保尊益信用纯债债券型证券投资基金调整大额申购、转换转入及定期定额投资业务限制金额的公告》）调整至</w:t>
      </w:r>
      <w:r>
        <w:rPr>
          <w:rFonts w:ascii="Times New Roman" w:eastAsia="宋体" w:hAnsi="Times New Roman" w:cs="Times New Roman"/>
          <w:sz w:val="21"/>
          <w:szCs w:val="21"/>
        </w:rPr>
        <w:t>100</w:t>
      </w:r>
      <w:r>
        <w:rPr>
          <w:rFonts w:ascii="Times New Roman" w:eastAsia="宋体" w:hAnsi="Times New Roman" w:cs="Times New Roman" w:hint="eastAsia"/>
          <w:sz w:val="21"/>
          <w:szCs w:val="21"/>
        </w:rPr>
        <w:t>元，即本基金通过代销机构单个开放日单个基金账户累计申购申请金额不得超过</w:t>
      </w:r>
      <w:r>
        <w:rPr>
          <w:rFonts w:ascii="Times New Roman" w:eastAsia="宋体" w:hAnsi="Times New Roman" w:cs="Times New Roman"/>
          <w:sz w:val="21"/>
          <w:szCs w:val="21"/>
        </w:rPr>
        <w:t>100</w:t>
      </w:r>
      <w:r>
        <w:rPr>
          <w:rFonts w:ascii="Times New Roman" w:eastAsia="宋体" w:hAnsi="Times New Roman" w:cs="Times New Roman" w:hint="eastAsia"/>
          <w:sz w:val="21"/>
          <w:szCs w:val="21"/>
        </w:rPr>
        <w:t>元。如通过代销机构单个开放日单个基金账户累计申购金额超过上述限制，本基金有权部分或全部拒绝，投资者办理具体业务时应遵照本公司的相关要求。</w:t>
      </w:r>
    </w:p>
    <w:p w:rsidR="00DE7F4D" w:rsidRDefault="005C729C">
      <w:pPr>
        <w:pStyle w:val="Default"/>
        <w:snapToGrid w:val="0"/>
        <w:spacing w:line="360" w:lineRule="auto"/>
        <w:ind w:firstLineChars="200" w:firstLine="420"/>
        <w:jc w:val="both"/>
        <w:rPr>
          <w:rFonts w:ascii="Times New Roman" w:eastAsia="宋体" w:hAnsi="Times New Roman" w:cs="Times New Roman"/>
          <w:sz w:val="21"/>
          <w:szCs w:val="21"/>
        </w:rPr>
      </w:pPr>
      <w:r>
        <w:rPr>
          <w:rFonts w:ascii="Times New Roman" w:eastAsia="宋体" w:hAnsi="Times New Roman" w:cs="Times New Roman"/>
          <w:sz w:val="21"/>
          <w:szCs w:val="21"/>
        </w:rPr>
        <w:t>（</w:t>
      </w:r>
      <w:r>
        <w:rPr>
          <w:rFonts w:ascii="Times New Roman" w:eastAsia="宋体" w:hAnsi="Times New Roman" w:cs="Times New Roman"/>
          <w:sz w:val="21"/>
          <w:szCs w:val="21"/>
        </w:rPr>
        <w:t>2</w:t>
      </w:r>
      <w:r>
        <w:rPr>
          <w:rFonts w:ascii="Times New Roman" w:eastAsia="宋体" w:hAnsi="Times New Roman" w:cs="Times New Roman"/>
          <w:sz w:val="21"/>
          <w:szCs w:val="21"/>
        </w:rPr>
        <w:t>）</w:t>
      </w:r>
      <w:r>
        <w:rPr>
          <w:rFonts w:ascii="Times New Roman" w:eastAsia="宋体" w:hAnsi="Times New Roman" w:cs="Times New Roman" w:hint="eastAsia"/>
          <w:sz w:val="21"/>
          <w:szCs w:val="21"/>
        </w:rPr>
        <w:t>本公司决定自</w:t>
      </w:r>
      <w:r>
        <w:rPr>
          <w:rFonts w:ascii="Times New Roman" w:eastAsia="宋体" w:hAnsi="Times New Roman" w:cs="Times New Roman" w:hint="eastAsia"/>
          <w:sz w:val="21"/>
          <w:szCs w:val="21"/>
        </w:rPr>
        <w:t>202</w:t>
      </w:r>
      <w:r>
        <w:rPr>
          <w:rFonts w:ascii="Times New Roman" w:eastAsia="宋体" w:hAnsi="Times New Roman" w:cs="Times New Roman"/>
          <w:sz w:val="21"/>
          <w:szCs w:val="21"/>
        </w:rPr>
        <w:t>5</w:t>
      </w:r>
      <w:r>
        <w:rPr>
          <w:rFonts w:ascii="Times New Roman" w:eastAsia="宋体" w:hAnsi="Times New Roman" w:cs="Times New Roman" w:hint="eastAsia"/>
          <w:sz w:val="21"/>
          <w:szCs w:val="21"/>
        </w:rPr>
        <w:t>年</w:t>
      </w:r>
      <w:r>
        <w:rPr>
          <w:rFonts w:ascii="Times New Roman" w:eastAsia="宋体" w:hAnsi="Times New Roman" w:cs="Times New Roman"/>
          <w:sz w:val="21"/>
          <w:szCs w:val="21"/>
        </w:rPr>
        <w:t>3</w:t>
      </w:r>
      <w:r>
        <w:rPr>
          <w:rFonts w:ascii="Times New Roman" w:eastAsia="宋体" w:hAnsi="Times New Roman" w:cs="Times New Roman" w:hint="eastAsia"/>
          <w:sz w:val="21"/>
          <w:szCs w:val="21"/>
        </w:rPr>
        <w:t>月</w:t>
      </w:r>
      <w:r>
        <w:rPr>
          <w:rFonts w:ascii="Times New Roman" w:eastAsia="宋体" w:hAnsi="Times New Roman" w:cs="Times New Roman"/>
          <w:sz w:val="21"/>
          <w:szCs w:val="21"/>
        </w:rPr>
        <w:t>7</w:t>
      </w:r>
      <w:r>
        <w:rPr>
          <w:rFonts w:ascii="Times New Roman" w:eastAsia="宋体" w:hAnsi="Times New Roman" w:cs="Times New Roman" w:hint="eastAsia"/>
          <w:sz w:val="21"/>
          <w:szCs w:val="21"/>
        </w:rPr>
        <w:t>日起调整本基金直销机构大额申购、转换转入及定期定额投资业务的限制金额，本基金通过直销机构单个开放日单个基金账户累计申购申请金额上</w:t>
      </w:r>
      <w:r>
        <w:rPr>
          <w:rFonts w:ascii="Times New Roman" w:eastAsia="宋体" w:hAnsi="Times New Roman" w:cs="Times New Roman" w:hint="eastAsia"/>
          <w:sz w:val="21"/>
          <w:szCs w:val="21"/>
        </w:rPr>
        <w:lastRenderedPageBreak/>
        <w:t>限由</w:t>
      </w:r>
      <w:r>
        <w:rPr>
          <w:rFonts w:ascii="Times New Roman" w:eastAsia="宋体" w:hAnsi="Times New Roman" w:cs="Times New Roman"/>
          <w:sz w:val="21"/>
          <w:szCs w:val="21"/>
        </w:rPr>
        <w:t>3000</w:t>
      </w:r>
      <w:r>
        <w:rPr>
          <w:rFonts w:ascii="Times New Roman" w:eastAsia="宋体" w:hAnsi="Times New Roman" w:cs="Times New Roman"/>
          <w:sz w:val="21"/>
          <w:szCs w:val="21"/>
        </w:rPr>
        <w:t>万</w:t>
      </w:r>
      <w:r>
        <w:rPr>
          <w:rFonts w:ascii="Times New Roman" w:eastAsia="宋体" w:hAnsi="Times New Roman" w:cs="Times New Roman" w:hint="eastAsia"/>
          <w:sz w:val="21"/>
          <w:szCs w:val="21"/>
        </w:rPr>
        <w:t>元（详见基金管理人</w:t>
      </w:r>
      <w:r>
        <w:rPr>
          <w:rFonts w:ascii="Times New Roman" w:eastAsia="宋体" w:hAnsi="Times New Roman" w:cs="Times New Roman" w:hint="eastAsia"/>
          <w:sz w:val="21"/>
          <w:szCs w:val="21"/>
        </w:rPr>
        <w:t>202</w:t>
      </w:r>
      <w:r>
        <w:rPr>
          <w:rFonts w:ascii="Times New Roman" w:eastAsia="宋体" w:hAnsi="Times New Roman" w:cs="Times New Roman"/>
          <w:sz w:val="21"/>
          <w:szCs w:val="21"/>
        </w:rPr>
        <w:t>5</w:t>
      </w:r>
      <w:r>
        <w:rPr>
          <w:rFonts w:ascii="Times New Roman" w:eastAsia="宋体" w:hAnsi="Times New Roman" w:cs="Times New Roman" w:hint="eastAsia"/>
          <w:sz w:val="21"/>
          <w:szCs w:val="21"/>
        </w:rPr>
        <w:t>年</w:t>
      </w:r>
      <w:r>
        <w:rPr>
          <w:rFonts w:ascii="Times New Roman" w:eastAsia="宋体" w:hAnsi="Times New Roman" w:cs="Times New Roman"/>
          <w:sz w:val="21"/>
          <w:szCs w:val="21"/>
        </w:rPr>
        <w:t>2</w:t>
      </w:r>
      <w:r>
        <w:rPr>
          <w:rFonts w:ascii="Times New Roman" w:eastAsia="宋体" w:hAnsi="Times New Roman" w:cs="Times New Roman" w:hint="eastAsia"/>
          <w:sz w:val="21"/>
          <w:szCs w:val="21"/>
        </w:rPr>
        <w:t>月</w:t>
      </w:r>
      <w:r>
        <w:rPr>
          <w:rFonts w:ascii="Times New Roman" w:eastAsia="宋体" w:hAnsi="Times New Roman" w:cs="Times New Roman"/>
          <w:sz w:val="21"/>
          <w:szCs w:val="21"/>
        </w:rPr>
        <w:t>27</w:t>
      </w:r>
      <w:r>
        <w:rPr>
          <w:rFonts w:ascii="Times New Roman" w:eastAsia="宋体" w:hAnsi="Times New Roman" w:cs="Times New Roman" w:hint="eastAsia"/>
          <w:sz w:val="21"/>
          <w:szCs w:val="21"/>
        </w:rPr>
        <w:t>日发布的《关于国寿安保尊益信用纯债债券型证券投资基金调整大额申购、转换转入及定期定额投资业务限制金额的公告》）调整至</w:t>
      </w:r>
      <w:r>
        <w:rPr>
          <w:rFonts w:ascii="Times New Roman" w:eastAsia="宋体" w:hAnsi="Times New Roman" w:cs="Times New Roman"/>
          <w:sz w:val="21"/>
          <w:szCs w:val="21"/>
        </w:rPr>
        <w:t>100</w:t>
      </w:r>
      <w:r>
        <w:rPr>
          <w:rFonts w:ascii="Times New Roman" w:eastAsia="宋体" w:hAnsi="Times New Roman" w:cs="Times New Roman" w:hint="eastAsia"/>
          <w:sz w:val="21"/>
          <w:szCs w:val="21"/>
        </w:rPr>
        <w:t>元，即本基金通过直销机构单个开放日单个基金账户累计申购申请金额不得超过</w:t>
      </w:r>
      <w:r>
        <w:rPr>
          <w:rFonts w:ascii="Times New Roman" w:eastAsia="宋体" w:hAnsi="Times New Roman" w:cs="Times New Roman" w:hint="eastAsia"/>
          <w:sz w:val="21"/>
          <w:szCs w:val="21"/>
        </w:rPr>
        <w:t>100</w:t>
      </w:r>
      <w:r>
        <w:rPr>
          <w:rFonts w:ascii="Times New Roman" w:eastAsia="宋体" w:hAnsi="Times New Roman" w:cs="Times New Roman" w:hint="eastAsia"/>
          <w:sz w:val="21"/>
          <w:szCs w:val="21"/>
        </w:rPr>
        <w:t>元。如通过直销机构单个开放日单个基金账户累计申购金额超过上述限制，本基金有权部分或全部拒绝，投资者办理具体业务时应遵照本公司的相关要求。届时将不再另行公告。</w:t>
      </w:r>
    </w:p>
    <w:p w:rsidR="00DE7F4D" w:rsidRDefault="005C729C">
      <w:pPr>
        <w:pStyle w:val="Default"/>
        <w:snapToGrid w:val="0"/>
        <w:spacing w:line="360" w:lineRule="auto"/>
        <w:ind w:firstLineChars="200" w:firstLine="420"/>
        <w:jc w:val="both"/>
        <w:outlineLvl w:val="0"/>
        <w:rPr>
          <w:rFonts w:ascii="Times New Roman" w:eastAsia="宋体" w:hAnsi="Times New Roman" w:cs="Times New Roman"/>
          <w:sz w:val="21"/>
          <w:szCs w:val="21"/>
        </w:rPr>
      </w:pPr>
      <w:r>
        <w:rPr>
          <w:rFonts w:ascii="Times New Roman" w:eastAsia="宋体" w:hAnsi="Times New Roman" w:cs="Times New Roman" w:hint="eastAsia"/>
          <w:sz w:val="21"/>
          <w:szCs w:val="21"/>
        </w:rPr>
        <w:t>（</w:t>
      </w:r>
      <w:r>
        <w:rPr>
          <w:rFonts w:ascii="Times New Roman" w:eastAsia="宋体" w:hAnsi="Times New Roman" w:cs="Times New Roman"/>
          <w:sz w:val="21"/>
          <w:szCs w:val="21"/>
        </w:rPr>
        <w:t>3</w:t>
      </w:r>
      <w:r>
        <w:rPr>
          <w:rFonts w:ascii="Times New Roman" w:eastAsia="宋体" w:hAnsi="Times New Roman" w:cs="Times New Roman" w:hint="eastAsia"/>
          <w:sz w:val="21"/>
          <w:szCs w:val="21"/>
        </w:rPr>
        <w:t>）暂停大额申购、转换转入及定期定额投资业务限制金额期间，本基金的赎回、转换转出等其他业务仍照常办理。</w:t>
      </w:r>
      <w:r>
        <w:rPr>
          <w:rFonts w:ascii="Times New Roman" w:eastAsia="宋体" w:hAnsi="Times New Roman" w:cs="Times New Roman" w:hint="eastAsia"/>
          <w:sz w:val="21"/>
          <w:szCs w:val="21"/>
        </w:rPr>
        <w:t xml:space="preserve"> </w:t>
      </w:r>
    </w:p>
    <w:p w:rsidR="00DE7F4D" w:rsidRDefault="005C729C">
      <w:pPr>
        <w:pStyle w:val="Default"/>
        <w:snapToGrid w:val="0"/>
        <w:spacing w:line="360" w:lineRule="auto"/>
        <w:ind w:firstLineChars="200" w:firstLine="420"/>
        <w:jc w:val="both"/>
        <w:rPr>
          <w:rFonts w:ascii="Times New Roman" w:eastAsia="宋体" w:hAnsi="Times New Roman" w:cs="Times New Roman"/>
          <w:sz w:val="21"/>
          <w:szCs w:val="21"/>
        </w:rPr>
      </w:pPr>
      <w:r>
        <w:rPr>
          <w:rFonts w:ascii="Times New Roman" w:eastAsia="宋体" w:hAnsi="Times New Roman" w:cs="Times New Roman" w:hint="eastAsia"/>
          <w:sz w:val="21"/>
          <w:szCs w:val="21"/>
        </w:rPr>
        <w:t>（</w:t>
      </w:r>
      <w:r>
        <w:rPr>
          <w:rFonts w:ascii="Times New Roman" w:eastAsia="宋体" w:hAnsi="Times New Roman" w:cs="Times New Roman"/>
          <w:sz w:val="21"/>
          <w:szCs w:val="21"/>
        </w:rPr>
        <w:t>4</w:t>
      </w:r>
      <w:r>
        <w:rPr>
          <w:rFonts w:ascii="Times New Roman" w:eastAsia="宋体" w:hAnsi="Times New Roman" w:cs="Times New Roman" w:hint="eastAsia"/>
          <w:sz w:val="21"/>
          <w:szCs w:val="21"/>
        </w:rPr>
        <w:t>）本基金恢复办理大额申购、转换转入及定期定额投资业务的时间届时将另行公告。</w:t>
      </w:r>
    </w:p>
    <w:p w:rsidR="00DE7F4D" w:rsidRDefault="005C729C">
      <w:pPr>
        <w:pStyle w:val="Default"/>
        <w:snapToGrid w:val="0"/>
        <w:spacing w:line="360" w:lineRule="auto"/>
        <w:ind w:firstLineChars="200" w:firstLine="420"/>
        <w:jc w:val="both"/>
        <w:rPr>
          <w:rFonts w:ascii="Times New Roman" w:eastAsia="宋体" w:hAnsi="Times New Roman" w:cs="Times New Roman"/>
          <w:sz w:val="21"/>
          <w:szCs w:val="21"/>
        </w:rPr>
      </w:pPr>
      <w:r>
        <w:rPr>
          <w:rFonts w:ascii="Times New Roman" w:eastAsia="宋体" w:hAnsi="Times New Roman" w:cs="Times New Roman" w:hint="eastAsia"/>
          <w:sz w:val="21"/>
          <w:szCs w:val="21"/>
        </w:rPr>
        <w:t>（</w:t>
      </w:r>
      <w:r>
        <w:rPr>
          <w:rFonts w:ascii="Times New Roman" w:eastAsia="宋体" w:hAnsi="Times New Roman" w:cs="Times New Roman"/>
          <w:sz w:val="21"/>
          <w:szCs w:val="21"/>
        </w:rPr>
        <w:t>5</w:t>
      </w:r>
      <w:r>
        <w:rPr>
          <w:rFonts w:ascii="Times New Roman" w:eastAsia="宋体" w:hAnsi="Times New Roman" w:cs="Times New Roman" w:hint="eastAsia"/>
          <w:sz w:val="21"/>
          <w:szCs w:val="21"/>
        </w:rPr>
        <w:t>）如有疑问，请拨打本公司客户服务热线：</w:t>
      </w:r>
      <w:r>
        <w:rPr>
          <w:rFonts w:ascii="Times New Roman" w:eastAsia="宋体" w:hAnsi="Times New Roman" w:cs="Times New Roman" w:hint="eastAsia"/>
          <w:sz w:val="21"/>
          <w:szCs w:val="21"/>
        </w:rPr>
        <w:t>4009-258-258</w:t>
      </w:r>
      <w:r>
        <w:rPr>
          <w:rFonts w:ascii="Times New Roman" w:eastAsia="宋体" w:hAnsi="Times New Roman" w:cs="Times New Roman" w:hint="eastAsia"/>
          <w:sz w:val="21"/>
          <w:szCs w:val="21"/>
        </w:rPr>
        <w:t>，或登陆本公司网站</w:t>
      </w:r>
      <w:r>
        <w:rPr>
          <w:rFonts w:ascii="Times New Roman" w:eastAsia="宋体" w:hAnsi="Times New Roman" w:cs="Times New Roman" w:hint="eastAsia"/>
          <w:sz w:val="21"/>
          <w:szCs w:val="21"/>
        </w:rPr>
        <w:t>www.gsfunds.com.cn</w:t>
      </w:r>
      <w:r>
        <w:rPr>
          <w:rFonts w:ascii="Times New Roman" w:eastAsia="宋体" w:hAnsi="Times New Roman" w:cs="Times New Roman" w:hint="eastAsia"/>
          <w:sz w:val="21"/>
          <w:szCs w:val="21"/>
        </w:rPr>
        <w:t>获取相关信息。</w:t>
      </w:r>
      <w:r>
        <w:rPr>
          <w:rFonts w:ascii="Times New Roman" w:eastAsia="宋体" w:hAnsi="Times New Roman" w:cs="Times New Roman" w:hint="eastAsia"/>
          <w:sz w:val="21"/>
          <w:szCs w:val="21"/>
        </w:rPr>
        <w:t xml:space="preserve"> </w:t>
      </w:r>
    </w:p>
    <w:p w:rsidR="00DE7F4D" w:rsidRDefault="005C729C">
      <w:pPr>
        <w:pStyle w:val="Default"/>
        <w:snapToGrid w:val="0"/>
        <w:spacing w:line="360" w:lineRule="auto"/>
        <w:ind w:firstLineChars="200" w:firstLine="420"/>
        <w:jc w:val="both"/>
        <w:rPr>
          <w:rFonts w:ascii="Times New Roman" w:eastAsia="宋体" w:hAnsi="Times New Roman" w:cs="Times New Roman"/>
          <w:sz w:val="21"/>
          <w:szCs w:val="21"/>
        </w:rPr>
      </w:pPr>
      <w:r>
        <w:rPr>
          <w:rFonts w:ascii="Times New Roman" w:eastAsia="宋体" w:hAnsi="Times New Roman" w:cs="Times New Roman" w:hint="eastAsia"/>
          <w:sz w:val="21"/>
          <w:szCs w:val="21"/>
        </w:rPr>
        <w:t>特此公告。</w:t>
      </w:r>
    </w:p>
    <w:p w:rsidR="00DE7F4D" w:rsidRDefault="00DE7F4D">
      <w:pPr>
        <w:pStyle w:val="Default"/>
        <w:snapToGrid w:val="0"/>
        <w:spacing w:line="360" w:lineRule="auto"/>
        <w:ind w:firstLineChars="200" w:firstLine="420"/>
        <w:jc w:val="both"/>
        <w:rPr>
          <w:rFonts w:ascii="Times New Roman" w:eastAsia="宋体" w:hAnsi="Times New Roman" w:cs="Times New Roman"/>
          <w:sz w:val="21"/>
          <w:szCs w:val="21"/>
        </w:rPr>
      </w:pPr>
    </w:p>
    <w:p w:rsidR="00DE7F4D" w:rsidRDefault="005C729C">
      <w:pPr>
        <w:pStyle w:val="Default"/>
        <w:snapToGrid w:val="0"/>
        <w:spacing w:line="360" w:lineRule="auto"/>
        <w:ind w:firstLineChars="200" w:firstLine="420"/>
        <w:jc w:val="right"/>
        <w:outlineLvl w:val="0"/>
        <w:rPr>
          <w:rFonts w:ascii="Times New Roman" w:eastAsia="宋体" w:hAnsi="Times New Roman" w:cs="Times New Roman"/>
          <w:sz w:val="21"/>
          <w:szCs w:val="21"/>
        </w:rPr>
      </w:pPr>
      <w:r>
        <w:rPr>
          <w:rFonts w:ascii="Times New Roman" w:eastAsia="宋体" w:hAnsi="Times New Roman" w:cs="Times New Roman"/>
          <w:sz w:val="21"/>
          <w:szCs w:val="21"/>
        </w:rPr>
        <w:t>国寿安保基金管理有限公司</w:t>
      </w:r>
    </w:p>
    <w:p w:rsidR="00DE7F4D" w:rsidRDefault="005C729C">
      <w:pPr>
        <w:pStyle w:val="Default"/>
        <w:snapToGrid w:val="0"/>
        <w:spacing w:line="360" w:lineRule="auto"/>
        <w:ind w:firstLineChars="200" w:firstLine="420"/>
        <w:jc w:val="right"/>
        <w:outlineLvl w:val="0"/>
        <w:rPr>
          <w:rFonts w:ascii="Times New Roman" w:eastAsia="宋体" w:hAnsi="Times New Roman" w:cs="Times New Roman"/>
          <w:sz w:val="21"/>
          <w:szCs w:val="21"/>
        </w:rPr>
      </w:pPr>
      <w:r>
        <w:rPr>
          <w:rFonts w:ascii="Times New Roman" w:eastAsia="宋体" w:hAnsi="Times New Roman" w:cs="Times New Roman"/>
          <w:sz w:val="21"/>
          <w:szCs w:val="21"/>
        </w:rPr>
        <w:t>2025</w:t>
      </w:r>
      <w:r>
        <w:rPr>
          <w:rFonts w:ascii="Times New Roman" w:eastAsia="宋体" w:hAnsi="Times New Roman" w:cs="Times New Roman"/>
          <w:sz w:val="21"/>
          <w:szCs w:val="21"/>
        </w:rPr>
        <w:t>年</w:t>
      </w:r>
      <w:r>
        <w:rPr>
          <w:rFonts w:ascii="Times New Roman" w:eastAsia="宋体" w:hAnsi="Times New Roman" w:cs="Times New Roman"/>
          <w:sz w:val="21"/>
          <w:szCs w:val="21"/>
        </w:rPr>
        <w:t>3</w:t>
      </w:r>
      <w:r>
        <w:rPr>
          <w:rFonts w:ascii="Times New Roman" w:eastAsia="宋体" w:hAnsi="Times New Roman" w:cs="Times New Roman" w:hint="eastAsia"/>
          <w:sz w:val="21"/>
          <w:szCs w:val="21"/>
        </w:rPr>
        <w:t>月</w:t>
      </w:r>
      <w:r>
        <w:rPr>
          <w:rFonts w:ascii="Times New Roman" w:eastAsia="宋体" w:hAnsi="Times New Roman" w:cs="Times New Roman"/>
          <w:sz w:val="21"/>
          <w:szCs w:val="21"/>
        </w:rPr>
        <w:t>4</w:t>
      </w:r>
      <w:r>
        <w:rPr>
          <w:rFonts w:ascii="Times New Roman" w:eastAsia="宋体" w:hAnsi="Times New Roman" w:cs="Times New Roman" w:hint="eastAsia"/>
          <w:sz w:val="21"/>
          <w:szCs w:val="21"/>
        </w:rPr>
        <w:t>日</w:t>
      </w:r>
    </w:p>
    <w:sectPr w:rsidR="00DE7F4D" w:rsidSect="00E3719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
  <w:rsids>
    <w:rsidRoot w:val="00086B87"/>
    <w:rsid w:val="000041E0"/>
    <w:rsid w:val="00086B87"/>
    <w:rsid w:val="000A0B9D"/>
    <w:rsid w:val="00160C9F"/>
    <w:rsid w:val="001718C5"/>
    <w:rsid w:val="001745B8"/>
    <w:rsid w:val="00223A56"/>
    <w:rsid w:val="00293CA0"/>
    <w:rsid w:val="00297BFC"/>
    <w:rsid w:val="00304ED8"/>
    <w:rsid w:val="00345E48"/>
    <w:rsid w:val="00353100"/>
    <w:rsid w:val="00367B04"/>
    <w:rsid w:val="003939F5"/>
    <w:rsid w:val="0039715C"/>
    <w:rsid w:val="00397602"/>
    <w:rsid w:val="003C0209"/>
    <w:rsid w:val="003D1A55"/>
    <w:rsid w:val="003E066F"/>
    <w:rsid w:val="004008FB"/>
    <w:rsid w:val="0041164E"/>
    <w:rsid w:val="00423D5B"/>
    <w:rsid w:val="00485231"/>
    <w:rsid w:val="004C3CAE"/>
    <w:rsid w:val="004E3DB9"/>
    <w:rsid w:val="005040AF"/>
    <w:rsid w:val="00522B0C"/>
    <w:rsid w:val="005C35A0"/>
    <w:rsid w:val="005C729C"/>
    <w:rsid w:val="006A0388"/>
    <w:rsid w:val="007145B0"/>
    <w:rsid w:val="00721EDD"/>
    <w:rsid w:val="00760108"/>
    <w:rsid w:val="008156DC"/>
    <w:rsid w:val="008471A7"/>
    <w:rsid w:val="00860251"/>
    <w:rsid w:val="00863E59"/>
    <w:rsid w:val="008A131B"/>
    <w:rsid w:val="008A40D5"/>
    <w:rsid w:val="008C7F5C"/>
    <w:rsid w:val="00945D58"/>
    <w:rsid w:val="00945FE3"/>
    <w:rsid w:val="009B2F4B"/>
    <w:rsid w:val="00A534E1"/>
    <w:rsid w:val="00A66B47"/>
    <w:rsid w:val="00AC591F"/>
    <w:rsid w:val="00AC5CD1"/>
    <w:rsid w:val="00AE54BE"/>
    <w:rsid w:val="00B06DFC"/>
    <w:rsid w:val="00B33A72"/>
    <w:rsid w:val="00BA1557"/>
    <w:rsid w:val="00BC6BE9"/>
    <w:rsid w:val="00BD2485"/>
    <w:rsid w:val="00BE51C7"/>
    <w:rsid w:val="00C132ED"/>
    <w:rsid w:val="00C319F9"/>
    <w:rsid w:val="00C449E5"/>
    <w:rsid w:val="00CB47C3"/>
    <w:rsid w:val="00CB757C"/>
    <w:rsid w:val="00CD2753"/>
    <w:rsid w:val="00CE4188"/>
    <w:rsid w:val="00D04D6C"/>
    <w:rsid w:val="00D42B7D"/>
    <w:rsid w:val="00D42E74"/>
    <w:rsid w:val="00D52B79"/>
    <w:rsid w:val="00DB484E"/>
    <w:rsid w:val="00DE7F4D"/>
    <w:rsid w:val="00E04B97"/>
    <w:rsid w:val="00E06CBC"/>
    <w:rsid w:val="00E3719C"/>
    <w:rsid w:val="00E52F7E"/>
    <w:rsid w:val="00E551C0"/>
    <w:rsid w:val="00EC14EA"/>
    <w:rsid w:val="00F44370"/>
    <w:rsid w:val="00F92E55"/>
    <w:rsid w:val="020B1926"/>
    <w:rsid w:val="02766064"/>
    <w:rsid w:val="088C56F0"/>
    <w:rsid w:val="093C254C"/>
    <w:rsid w:val="0AAC4F14"/>
    <w:rsid w:val="104C1B16"/>
    <w:rsid w:val="1F2F2A3A"/>
    <w:rsid w:val="20E042B6"/>
    <w:rsid w:val="3B7E77EB"/>
    <w:rsid w:val="3DF90021"/>
    <w:rsid w:val="471343DE"/>
    <w:rsid w:val="66766DCB"/>
    <w:rsid w:val="6F2B429A"/>
    <w:rsid w:val="740954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19C"/>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E3719C"/>
    <w:rPr>
      <w:sz w:val="18"/>
      <w:szCs w:val="18"/>
    </w:rPr>
  </w:style>
  <w:style w:type="paragraph" w:styleId="a4">
    <w:name w:val="footer"/>
    <w:basedOn w:val="a"/>
    <w:link w:val="Char0"/>
    <w:uiPriority w:val="99"/>
    <w:unhideWhenUsed/>
    <w:qFormat/>
    <w:rsid w:val="00E3719C"/>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E3719C"/>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rsid w:val="00E3719C"/>
    <w:pPr>
      <w:widowControl w:val="0"/>
      <w:autoSpaceDE w:val="0"/>
      <w:autoSpaceDN w:val="0"/>
      <w:adjustRightInd w:val="0"/>
    </w:pPr>
    <w:rPr>
      <w:rFonts w:ascii="Arial" w:eastAsiaTheme="minorEastAsia" w:hAnsi="Arial" w:cs="Arial"/>
      <w:color w:val="000000"/>
      <w:sz w:val="24"/>
      <w:szCs w:val="24"/>
    </w:rPr>
  </w:style>
  <w:style w:type="character" w:customStyle="1" w:styleId="Char1">
    <w:name w:val="页眉 Char"/>
    <w:basedOn w:val="a0"/>
    <w:link w:val="a5"/>
    <w:uiPriority w:val="99"/>
    <w:qFormat/>
    <w:rsid w:val="00E3719C"/>
    <w:rPr>
      <w:sz w:val="18"/>
      <w:szCs w:val="18"/>
    </w:rPr>
  </w:style>
  <w:style w:type="character" w:customStyle="1" w:styleId="Char0">
    <w:name w:val="页脚 Char"/>
    <w:basedOn w:val="a0"/>
    <w:link w:val="a4"/>
    <w:uiPriority w:val="99"/>
    <w:qFormat/>
    <w:rsid w:val="00E3719C"/>
    <w:rPr>
      <w:sz w:val="18"/>
      <w:szCs w:val="18"/>
    </w:rPr>
  </w:style>
  <w:style w:type="character" w:customStyle="1" w:styleId="Char">
    <w:name w:val="批注框文本 Char"/>
    <w:basedOn w:val="a0"/>
    <w:link w:val="a3"/>
    <w:uiPriority w:val="99"/>
    <w:semiHidden/>
    <w:qFormat/>
    <w:rsid w:val="00E3719C"/>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185</Words>
  <Characters>1055</Characters>
  <Application>Microsoft Office Word</Application>
  <DocSecurity>4</DocSecurity>
  <Lines>8</Lines>
  <Paragraphs>2</Paragraphs>
  <ScaleCrop>false</ScaleCrop>
  <Company/>
  <LinksUpToDate>false</LinksUpToDate>
  <CharactersWithSpaces>1238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xujie</dc:creator>
  <cp:lastModifiedBy>ZHONGM</cp:lastModifiedBy>
  <cp:revision>2</cp:revision>
  <dcterms:created xsi:type="dcterms:W3CDTF">2025-03-03T16:02:00Z</dcterms:created>
  <dcterms:modified xsi:type="dcterms:W3CDTF">2025-03-03T16:02:00Z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FAEE748987FB4DCDA849E87D66DF0725</vt:lpwstr>
  </property>
</Properties>
</file>