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BB" w:rsidRDefault="001C51BB" w:rsidP="001C51BB">
      <w:pPr>
        <w:jc w:val="center"/>
        <w:rPr>
          <w:b/>
          <w:sz w:val="28"/>
          <w:szCs w:val="28"/>
        </w:rPr>
      </w:pPr>
      <w:r>
        <w:rPr>
          <w:rFonts w:hint="eastAsia"/>
          <w:b/>
          <w:sz w:val="28"/>
          <w:szCs w:val="28"/>
        </w:rPr>
        <w:t>华泰保兴基金管理有限公司</w:t>
      </w:r>
    </w:p>
    <w:p w:rsidR="001C51BB" w:rsidRDefault="001C51BB" w:rsidP="001C51BB">
      <w:pPr>
        <w:pStyle w:val="Default"/>
        <w:spacing w:line="360" w:lineRule="auto"/>
        <w:jc w:val="center"/>
        <w:rPr>
          <w:rFonts w:ascii="Times New Roman"/>
          <w:sz w:val="30"/>
          <w:szCs w:val="30"/>
        </w:rPr>
      </w:pPr>
      <w:r>
        <w:rPr>
          <w:rFonts w:hint="eastAsia"/>
          <w:b/>
          <w:sz w:val="28"/>
          <w:szCs w:val="28"/>
        </w:rPr>
        <w:t>关于旗下基金增加</w:t>
      </w:r>
      <w:r w:rsidR="00CB72D7" w:rsidRPr="00CB72D7">
        <w:rPr>
          <w:rFonts w:hint="eastAsia"/>
          <w:b/>
          <w:sz w:val="28"/>
          <w:szCs w:val="28"/>
        </w:rPr>
        <w:t>深圳新华信通基金销售有限公司</w:t>
      </w:r>
      <w:r>
        <w:rPr>
          <w:rFonts w:hint="eastAsia"/>
          <w:b/>
          <w:sz w:val="28"/>
          <w:szCs w:val="28"/>
        </w:rPr>
        <w:t>为销售机构及开通</w:t>
      </w:r>
      <w:r w:rsidR="008F3472">
        <w:rPr>
          <w:rFonts w:hint="eastAsia"/>
          <w:b/>
          <w:sz w:val="28"/>
          <w:szCs w:val="28"/>
        </w:rPr>
        <w:t>相关</w:t>
      </w:r>
      <w:r>
        <w:rPr>
          <w:rFonts w:hint="eastAsia"/>
          <w:b/>
          <w:sz w:val="28"/>
          <w:szCs w:val="28"/>
        </w:rPr>
        <w:t>业务并参加其费率优惠活动的公告</w:t>
      </w:r>
    </w:p>
    <w:p w:rsidR="001C51BB" w:rsidRDefault="001C51BB" w:rsidP="001C51BB">
      <w:pPr>
        <w:pStyle w:val="Default"/>
        <w:spacing w:line="360" w:lineRule="auto"/>
        <w:ind w:firstLineChars="200" w:firstLine="480"/>
        <w:jc w:val="both"/>
        <w:rPr>
          <w:rFonts w:ascii="Times New Roman" w:hAnsi="宋体"/>
        </w:rPr>
      </w:pPr>
      <w:bookmarkStart w:id="0" w:name="t_2_0_0003_a1_fm1"/>
      <w:bookmarkStart w:id="1" w:name="t_2_0_0002_a2_fm1"/>
      <w:bookmarkEnd w:id="0"/>
      <w:bookmarkEnd w:id="1"/>
    </w:p>
    <w:p w:rsidR="00BA2325" w:rsidRDefault="001C51BB" w:rsidP="001C51BB">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w:t>
      </w:r>
      <w:r w:rsidR="000F7B35" w:rsidRPr="000F7B35">
        <w:rPr>
          <w:rFonts w:hAnsi="宋体" w:hint="eastAsia"/>
        </w:rPr>
        <w:t>深圳新华信通基金销售有限公司</w:t>
      </w:r>
      <w:r>
        <w:rPr>
          <w:rFonts w:hAnsi="宋体" w:hint="eastAsia"/>
        </w:rPr>
        <w:t>（以下简称“</w:t>
      </w:r>
      <w:r w:rsidR="000F7B35">
        <w:rPr>
          <w:rFonts w:hAnsi="宋体" w:hint="eastAsia"/>
        </w:rPr>
        <w:t>新华信通</w:t>
      </w:r>
      <w:r>
        <w:rPr>
          <w:rFonts w:hAnsi="宋体" w:hint="eastAsia"/>
        </w:rPr>
        <w:t>”）</w:t>
      </w:r>
      <w:r>
        <w:rPr>
          <w:rFonts w:ascii="Times New Roman" w:hAnsi="宋体" w:hint="eastAsia"/>
        </w:rPr>
        <w:t>签署的基金销售和服务协议，该机构将自</w:t>
      </w:r>
      <w:r w:rsidR="00BC4AD8">
        <w:rPr>
          <w:rFonts w:ascii="Times New Roman" w:hint="eastAsia"/>
          <w:color w:val="auto"/>
        </w:rPr>
        <w:t>2</w:t>
      </w:r>
      <w:r w:rsidR="00BC4AD8">
        <w:rPr>
          <w:rFonts w:ascii="Times New Roman"/>
          <w:color w:val="auto"/>
        </w:rPr>
        <w:t>025</w:t>
      </w:r>
      <w:r>
        <w:rPr>
          <w:rFonts w:ascii="Times New Roman"/>
          <w:color w:val="auto"/>
        </w:rPr>
        <w:t>年</w:t>
      </w:r>
      <w:r w:rsidR="00BC4AD8">
        <w:rPr>
          <w:rFonts w:ascii="Times New Roman"/>
          <w:color w:val="auto"/>
        </w:rPr>
        <w:t>2</w:t>
      </w:r>
      <w:r>
        <w:rPr>
          <w:rFonts w:ascii="Times New Roman" w:hint="eastAsia"/>
          <w:color w:val="auto"/>
        </w:rPr>
        <w:t>月</w:t>
      </w:r>
      <w:r w:rsidR="00BC4AD8">
        <w:rPr>
          <w:rFonts w:ascii="Times New Roman"/>
          <w:color w:val="auto"/>
        </w:rPr>
        <w:t>28</w:t>
      </w:r>
      <w:r>
        <w:rPr>
          <w:rFonts w:ascii="Times New Roman" w:hint="eastAsia"/>
          <w:color w:val="auto"/>
        </w:rPr>
        <w:t>日</w:t>
      </w:r>
      <w:r w:rsidR="0004071F">
        <w:rPr>
          <w:rFonts w:ascii="Times New Roman" w:hAnsi="宋体" w:hint="eastAsia"/>
        </w:rPr>
        <w:t>起销售本公司旗下</w:t>
      </w:r>
      <w:r w:rsidR="00E17E34">
        <w:rPr>
          <w:rFonts w:ascii="Times New Roman" w:hAnsi="宋体" w:hint="eastAsia"/>
        </w:rPr>
        <w:t>部分</w:t>
      </w:r>
      <w:r w:rsidR="0004071F">
        <w:rPr>
          <w:rFonts w:ascii="Times New Roman" w:hAnsi="宋体" w:hint="eastAsia"/>
        </w:rPr>
        <w:t>基金</w:t>
      </w:r>
      <w:r>
        <w:rPr>
          <w:rFonts w:ascii="Times New Roman" w:hAnsi="宋体" w:hint="eastAsia"/>
        </w:rPr>
        <w:t>。现将有关事项公告如下：</w:t>
      </w:r>
    </w:p>
    <w:p w:rsidR="001C51BB" w:rsidRDefault="001C51BB" w:rsidP="00BA2325">
      <w:pPr>
        <w:pStyle w:val="Default"/>
        <w:spacing w:line="360" w:lineRule="auto"/>
        <w:ind w:firstLineChars="200" w:firstLine="480"/>
        <w:jc w:val="both"/>
        <w:rPr>
          <w:rFonts w:ascii="Times New Roman" w:cs="Times New Roman"/>
        </w:rPr>
      </w:pPr>
    </w:p>
    <w:p w:rsidR="001C51BB" w:rsidRPr="00E605B6" w:rsidRDefault="001C51BB" w:rsidP="00E605B6">
      <w:pPr>
        <w:pStyle w:val="Default"/>
        <w:numPr>
          <w:ilvl w:val="0"/>
          <w:numId w:val="1"/>
        </w:numPr>
        <w:spacing w:line="360" w:lineRule="auto"/>
        <w:outlineLvl w:val="0"/>
        <w:rPr>
          <w:rFonts w:ascii="Times New Roman"/>
          <w:b/>
        </w:rPr>
      </w:pPr>
      <w:r>
        <w:rPr>
          <w:rFonts w:ascii="Times New Roman" w:hAnsi="宋体" w:hint="eastAsia"/>
          <w:b/>
        </w:rPr>
        <w:t>适用基金</w:t>
      </w:r>
      <w:r w:rsidR="008F3472">
        <w:rPr>
          <w:rFonts w:ascii="Times New Roman" w:hAnsi="宋体" w:hint="eastAsia"/>
          <w:b/>
        </w:rPr>
        <w:t>及业务</w:t>
      </w:r>
      <w:r>
        <w:rPr>
          <w:rFonts w:ascii="Times New Roman" w:hAnsi="宋体" w:hint="eastAsia"/>
          <w:b/>
        </w:rPr>
        <w:t>范围</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310586" w:rsidTr="001501E7">
        <w:trPr>
          <w:jc w:val="center"/>
        </w:trPr>
        <w:tc>
          <w:tcPr>
            <w:tcW w:w="725" w:type="dxa"/>
            <w:vAlign w:val="center"/>
          </w:tcPr>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310586" w:rsidRDefault="00310586" w:rsidP="001501E7">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BF6761" w:rsidTr="00350DA2">
        <w:trPr>
          <w:cantSplit/>
          <w:trHeight w:val="632"/>
          <w:jc w:val="center"/>
        </w:trPr>
        <w:tc>
          <w:tcPr>
            <w:tcW w:w="725" w:type="dxa"/>
            <w:vAlign w:val="center"/>
          </w:tcPr>
          <w:p w:rsidR="00BF6761" w:rsidRPr="004E79B5" w:rsidRDefault="00BF6761"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w:t>
            </w:r>
          </w:p>
        </w:tc>
        <w:tc>
          <w:tcPr>
            <w:tcW w:w="4368" w:type="dxa"/>
            <w:vAlign w:val="center"/>
          </w:tcPr>
          <w:p w:rsidR="00BF6761" w:rsidRDefault="00BF6761" w:rsidP="00BA2325">
            <w:pPr>
              <w:jc w:val="center"/>
              <w:rPr>
                <w:rFonts w:hAnsi="宋体"/>
                <w:szCs w:val="21"/>
              </w:rPr>
            </w:pPr>
            <w:r w:rsidRPr="00CB72D7">
              <w:rPr>
                <w:rFonts w:hAnsi="宋体" w:hint="eastAsia"/>
                <w:szCs w:val="21"/>
              </w:rPr>
              <w:t>华泰保兴尊诚一年定期开放债券型证券投资基金</w:t>
            </w:r>
          </w:p>
        </w:tc>
        <w:tc>
          <w:tcPr>
            <w:tcW w:w="1457" w:type="dxa"/>
            <w:vAlign w:val="center"/>
          </w:tcPr>
          <w:p w:rsidR="00BF6761" w:rsidRPr="00D816C2" w:rsidRDefault="00BF6761" w:rsidP="00BF6761">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004024</w:t>
            </w:r>
          </w:p>
        </w:tc>
        <w:tc>
          <w:tcPr>
            <w:tcW w:w="1019" w:type="dxa"/>
            <w:vAlign w:val="center"/>
          </w:tcPr>
          <w:p w:rsidR="00BF6761" w:rsidRDefault="00F40E1D" w:rsidP="00BF6761">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BF6761" w:rsidRDefault="00BF6761" w:rsidP="00BF6761">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F6761" w:rsidTr="00350DA2">
        <w:trPr>
          <w:cantSplit/>
          <w:jc w:val="center"/>
        </w:trPr>
        <w:tc>
          <w:tcPr>
            <w:tcW w:w="725" w:type="dxa"/>
            <w:vAlign w:val="center"/>
          </w:tcPr>
          <w:p w:rsidR="00BF6761" w:rsidRPr="004E79B5" w:rsidRDefault="00BF6761"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w:t>
            </w:r>
          </w:p>
        </w:tc>
        <w:tc>
          <w:tcPr>
            <w:tcW w:w="4368" w:type="dxa"/>
            <w:vAlign w:val="center"/>
          </w:tcPr>
          <w:p w:rsidR="00BF6761" w:rsidRPr="00AB08FA" w:rsidRDefault="00BF6761" w:rsidP="00BA2325">
            <w:pPr>
              <w:widowControl/>
              <w:jc w:val="center"/>
              <w:rPr>
                <w:rFonts w:hAnsi="宋体"/>
                <w:szCs w:val="21"/>
              </w:rPr>
            </w:pPr>
            <w:r>
              <w:rPr>
                <w:rFonts w:ascii="Segoe UI" w:hAnsi="Segoe UI" w:cs="Segoe UI"/>
                <w:color w:val="222222"/>
              </w:rPr>
              <w:t>华泰保兴吉年丰混合型发起式证券投资基金</w:t>
            </w:r>
          </w:p>
        </w:tc>
        <w:tc>
          <w:tcPr>
            <w:tcW w:w="1457" w:type="dxa"/>
            <w:vAlign w:val="center"/>
          </w:tcPr>
          <w:p w:rsidR="00BF6761" w:rsidRDefault="00BF6761"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A</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004374</w:t>
            </w:r>
          </w:p>
          <w:p w:rsidR="00BF6761" w:rsidRPr="00D816C2" w:rsidRDefault="00BF6761"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/C</w:t>
            </w:r>
            <w:r w:rsidRPr="00BF6761">
              <w:rPr>
                <w:rFonts w:ascii="Times New Roman" w:eastAsiaTheme="minorEastAsia" w:hAnsi="宋体" w:hint="eastAsia"/>
                <w:kern w:val="2"/>
                <w:sz w:val="21"/>
                <w:szCs w:val="21"/>
              </w:rPr>
              <w:t>类</w:t>
            </w:r>
            <w:r>
              <w:rPr>
                <w:rFonts w:ascii="Times New Roman" w:eastAsiaTheme="minorEastAsia" w:hAnsi="宋体" w:hint="eastAsia"/>
                <w:kern w:val="2"/>
                <w:sz w:val="21"/>
                <w:szCs w:val="21"/>
              </w:rPr>
              <w:t>004375</w:t>
            </w:r>
          </w:p>
        </w:tc>
        <w:tc>
          <w:tcPr>
            <w:tcW w:w="1019" w:type="dxa"/>
            <w:vAlign w:val="center"/>
          </w:tcPr>
          <w:p w:rsidR="00BF6761" w:rsidRDefault="00F40E1D" w:rsidP="00BF6761">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bookmarkStart w:id="2" w:name="_GoBack"/>
            <w:bookmarkEnd w:id="2"/>
          </w:p>
        </w:tc>
        <w:tc>
          <w:tcPr>
            <w:tcW w:w="953" w:type="dxa"/>
            <w:vAlign w:val="center"/>
          </w:tcPr>
          <w:p w:rsidR="00BF6761" w:rsidRDefault="00BF6761" w:rsidP="00BF6761">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3</w:t>
            </w:r>
          </w:p>
        </w:tc>
        <w:tc>
          <w:tcPr>
            <w:tcW w:w="4368" w:type="dxa"/>
            <w:vAlign w:val="center"/>
          </w:tcPr>
          <w:p w:rsidR="00BA2325" w:rsidRPr="00BA2325" w:rsidRDefault="00BA2325" w:rsidP="00BA2325">
            <w:pPr>
              <w:widowControl/>
              <w:jc w:val="center"/>
              <w:rPr>
                <w:rFonts w:ascii="Segoe UI" w:hAnsi="Segoe UI" w:cs="Segoe UI"/>
                <w:color w:val="222222"/>
              </w:rPr>
            </w:pPr>
            <w:r w:rsidRPr="00CB72D7">
              <w:rPr>
                <w:rFonts w:ascii="Segoe UI" w:hAnsi="Segoe UI" w:cs="Segoe UI" w:hint="eastAsia"/>
                <w:color w:val="222222"/>
              </w:rPr>
              <w:t>华泰保兴货币市场基金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A</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004493</w:t>
            </w:r>
          </w:p>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/B</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004494</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4</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华泰保兴尊合债券型证券投资基金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A</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005159</w:t>
            </w:r>
          </w:p>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/C</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005160</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5</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华泰保兴策略精选灵活配置混合型发起式证券投资基金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005169</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005170</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6</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华泰保兴吉年福定期开放灵活配置混合型发起式证券投资基金</w:t>
            </w:r>
          </w:p>
        </w:tc>
        <w:tc>
          <w:tcPr>
            <w:tcW w:w="1457" w:type="dxa"/>
            <w:vAlign w:val="center"/>
          </w:tcPr>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kern w:val="2"/>
                <w:sz w:val="21"/>
                <w:szCs w:val="21"/>
              </w:rPr>
              <w:t>005522</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7</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华泰保兴尊信定期开放纯债债券型发起式证券投资基金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005645</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8</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华泰保兴成长优选混合型证券投资基金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A</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005904</w:t>
            </w:r>
          </w:p>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/C</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005905</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9</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华泰保兴尊利债券型证券投资基金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A</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005908</w:t>
            </w:r>
          </w:p>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hint="eastAsia"/>
                <w:kern w:val="2"/>
                <w:sz w:val="21"/>
                <w:szCs w:val="21"/>
              </w:rPr>
              <w:t>/C</w:t>
            </w:r>
            <w:r w:rsidRPr="00BF6761">
              <w:rPr>
                <w:rFonts w:ascii="Times New Roman" w:eastAsiaTheme="minorEastAsia" w:hAnsi="宋体" w:hint="eastAsia"/>
                <w:kern w:val="2"/>
                <w:sz w:val="21"/>
                <w:szCs w:val="21"/>
              </w:rPr>
              <w:t>类</w:t>
            </w:r>
            <w:r w:rsidRPr="00BF6761">
              <w:rPr>
                <w:rFonts w:ascii="Times New Roman" w:eastAsiaTheme="minorEastAsia" w:hAnsi="宋体" w:hint="eastAsia"/>
                <w:kern w:val="2"/>
                <w:sz w:val="21"/>
                <w:szCs w:val="21"/>
              </w:rPr>
              <w:t>005909</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10</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华泰保兴尊颐定期开放债券型发起式证券投资基金</w:t>
            </w:r>
          </w:p>
        </w:tc>
        <w:tc>
          <w:tcPr>
            <w:tcW w:w="1457" w:type="dxa"/>
            <w:vAlign w:val="center"/>
          </w:tcPr>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F6761">
              <w:rPr>
                <w:rFonts w:ascii="Times New Roman" w:eastAsiaTheme="minorEastAsia" w:hAnsi="宋体"/>
                <w:kern w:val="2"/>
                <w:sz w:val="21"/>
                <w:szCs w:val="21"/>
              </w:rPr>
              <w:t>006188</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11</w:t>
            </w:r>
          </w:p>
        </w:tc>
        <w:tc>
          <w:tcPr>
            <w:tcW w:w="4368" w:type="dxa"/>
            <w:vAlign w:val="center"/>
          </w:tcPr>
          <w:p w:rsidR="00BA2325" w:rsidRPr="00AB08FA" w:rsidRDefault="00BA2325" w:rsidP="00BA2325">
            <w:pPr>
              <w:jc w:val="center"/>
              <w:rPr>
                <w:rFonts w:hAnsi="宋体"/>
                <w:szCs w:val="21"/>
              </w:rPr>
            </w:pPr>
            <w:r w:rsidRPr="00CB72D7">
              <w:rPr>
                <w:rFonts w:hAnsi="宋体" w:hint="eastAsia"/>
                <w:szCs w:val="21"/>
              </w:rPr>
              <w:t>华泰保兴研究智选灵活配置混合型证券投资基金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006385</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006386</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12</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华泰保兴吉年利定期开放混合型发起式证券投资基金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006642</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13</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华泰保兴安盈三个月定期开放混合型发起式证券投资基金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007385</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lastRenderedPageBreak/>
              <w:t>14</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华泰保兴健康消费混合型证券投资基金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006882</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006883</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15</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华泰保兴多策略三个月定期开放股票型发起式证券投资基金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007586</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16</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华泰保兴安悦债券型证券投资基金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007540</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020741</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17</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华泰保兴尊享三个月定期开放债券型发起式证券投资基金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007767</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18</w:t>
            </w:r>
          </w:p>
        </w:tc>
        <w:tc>
          <w:tcPr>
            <w:tcW w:w="4368" w:type="dxa"/>
            <w:vAlign w:val="center"/>
          </w:tcPr>
          <w:p w:rsidR="00BA2325" w:rsidRPr="00AB08FA" w:rsidRDefault="00BA2325" w:rsidP="00BA2325">
            <w:pPr>
              <w:jc w:val="center"/>
              <w:rPr>
                <w:rFonts w:hAnsi="宋体"/>
                <w:szCs w:val="21"/>
              </w:rPr>
            </w:pPr>
            <w:r w:rsidRPr="00AB08FA">
              <w:rPr>
                <w:rFonts w:hAnsi="宋体" w:hint="eastAsia"/>
                <w:szCs w:val="21"/>
              </w:rPr>
              <w:t>华泰保兴科荣混合型证券投资基金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hint="eastAsia"/>
                <w:kern w:val="2"/>
                <w:sz w:val="21"/>
                <w:szCs w:val="21"/>
              </w:rPr>
              <w:t>类</w:t>
            </w:r>
            <w:r w:rsidRPr="00BA2325">
              <w:rPr>
                <w:rFonts w:ascii="Times New Roman" w:eastAsiaTheme="minorEastAsia" w:hAnsi="宋体"/>
                <w:kern w:val="2"/>
                <w:sz w:val="21"/>
                <w:szCs w:val="21"/>
              </w:rPr>
              <w:t>009124</w:t>
            </w:r>
          </w:p>
          <w:p w:rsidR="00BA2325" w:rsidRPr="00AB08FA"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hint="eastAsia"/>
                <w:kern w:val="2"/>
                <w:sz w:val="21"/>
                <w:szCs w:val="21"/>
              </w:rPr>
              <w:t>类</w:t>
            </w:r>
            <w:r w:rsidRPr="00BA2325">
              <w:rPr>
                <w:rFonts w:ascii="Times New Roman" w:eastAsiaTheme="minorEastAsia" w:hAnsi="宋体"/>
                <w:kern w:val="2"/>
                <w:sz w:val="21"/>
                <w:szCs w:val="21"/>
              </w:rPr>
              <w:t>009125</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19</w:t>
            </w:r>
          </w:p>
        </w:tc>
        <w:tc>
          <w:tcPr>
            <w:tcW w:w="4368" w:type="dxa"/>
            <w:vAlign w:val="center"/>
          </w:tcPr>
          <w:p w:rsidR="00BA2325" w:rsidRPr="00AB08FA" w:rsidRDefault="00BA2325" w:rsidP="00BA2325">
            <w:pPr>
              <w:jc w:val="center"/>
              <w:rPr>
                <w:rFonts w:hAnsi="宋体"/>
                <w:szCs w:val="21"/>
              </w:rPr>
            </w:pPr>
            <w:r w:rsidRPr="00AB08FA">
              <w:rPr>
                <w:rFonts w:hAnsi="宋体" w:hint="eastAsia"/>
                <w:szCs w:val="21"/>
              </w:rPr>
              <w:t>华泰保兴久盈</w:t>
            </w:r>
            <w:r w:rsidRPr="00AB08FA">
              <w:rPr>
                <w:rFonts w:hAnsi="宋体" w:hint="eastAsia"/>
                <w:szCs w:val="21"/>
              </w:rPr>
              <w:t>63</w:t>
            </w:r>
            <w:r w:rsidRPr="00AB08FA">
              <w:rPr>
                <w:rFonts w:hAnsi="宋体" w:hint="eastAsia"/>
                <w:szCs w:val="21"/>
              </w:rPr>
              <w:t>个月定期开放债券型证券投资基金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AB08FA">
              <w:rPr>
                <w:rFonts w:ascii="Times New Roman" w:eastAsiaTheme="minorEastAsia" w:hAnsi="宋体"/>
                <w:kern w:val="2"/>
                <w:sz w:val="21"/>
                <w:szCs w:val="21"/>
              </w:rPr>
              <w:t>007432</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20</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华泰保兴恒利中短债债券型证券投资基金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007971</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007972</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21</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华泰保兴价值成长混合型证券投资基金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012132</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012177</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22</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华泰保兴吉年盈混合型证券投资基金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014999</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015000</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23</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华泰保兴鑫成优选混合型证券投资基金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016274</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016275</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24</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华泰保兴长三角金融债一年定期开放债券型证券投资基金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015166</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25</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华泰保兴科睿一年持有期混合型发起式证券投资基金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018250</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018251</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26</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华泰保兴尊睿</w:t>
            </w:r>
            <w:r>
              <w:rPr>
                <w:rFonts w:ascii="Segoe UI" w:hAnsi="Segoe UI" w:cs="Segoe UI"/>
                <w:color w:val="222222"/>
              </w:rPr>
              <w:t>6</w:t>
            </w:r>
            <w:r>
              <w:rPr>
                <w:rFonts w:ascii="Segoe UI" w:hAnsi="Segoe UI" w:cs="Segoe UI"/>
                <w:color w:val="222222"/>
              </w:rPr>
              <w:t>个月持有期债券型发起式证券投资基金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018846</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018847</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27</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华泰保兴中证同业存单</w:t>
            </w:r>
            <w:r>
              <w:rPr>
                <w:rFonts w:ascii="Segoe UI" w:hAnsi="Segoe UI" w:cs="Segoe UI"/>
                <w:color w:val="222222"/>
              </w:rPr>
              <w:t xml:space="preserve"> AAA </w:t>
            </w:r>
            <w:r>
              <w:rPr>
                <w:rFonts w:ascii="Segoe UI" w:hAnsi="Segoe UI" w:cs="Segoe UI"/>
                <w:color w:val="222222"/>
              </w:rPr>
              <w:t>指数</w:t>
            </w:r>
            <w:r>
              <w:rPr>
                <w:rFonts w:ascii="Segoe UI" w:hAnsi="Segoe UI" w:cs="Segoe UI"/>
                <w:color w:val="222222"/>
              </w:rPr>
              <w:t>7</w:t>
            </w:r>
            <w:r>
              <w:rPr>
                <w:rFonts w:ascii="Segoe UI" w:hAnsi="Segoe UI" w:cs="Segoe UI"/>
                <w:color w:val="222222"/>
              </w:rPr>
              <w:t>天持有期证券投资基金</w:t>
            </w:r>
          </w:p>
        </w:tc>
        <w:tc>
          <w:tcPr>
            <w:tcW w:w="1457" w:type="dxa"/>
            <w:vAlign w:val="center"/>
          </w:tcPr>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018723</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28</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华泰保兴尊益利率债</w:t>
            </w:r>
            <w:r>
              <w:rPr>
                <w:rFonts w:ascii="Segoe UI" w:hAnsi="Segoe UI" w:cs="Segoe UI"/>
                <w:color w:val="222222"/>
              </w:rPr>
              <w:t>6</w:t>
            </w:r>
            <w:r>
              <w:rPr>
                <w:rFonts w:ascii="Segoe UI" w:hAnsi="Segoe UI" w:cs="Segoe UI"/>
                <w:color w:val="222222"/>
              </w:rPr>
              <w:t>个月持有期债券型证券投资基金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020327</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020328</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29</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华泰保兴吉年红混合型发起式证券投资基金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016272</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016273</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30</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华泰保兴嘉睿</w:t>
            </w:r>
            <w:r>
              <w:rPr>
                <w:rFonts w:ascii="Segoe UI" w:hAnsi="Segoe UI" w:cs="Segoe UI"/>
                <w:color w:val="222222"/>
              </w:rPr>
              <w:t>3</w:t>
            </w:r>
            <w:r>
              <w:rPr>
                <w:rFonts w:ascii="Segoe UI" w:hAnsi="Segoe UI" w:cs="Segoe UI"/>
                <w:color w:val="222222"/>
              </w:rPr>
              <w:t>个月持有期债券型发起式证券投资基金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019793</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019794</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BA2325" w:rsidTr="00350DA2">
        <w:trPr>
          <w:cantSplit/>
          <w:jc w:val="center"/>
        </w:trPr>
        <w:tc>
          <w:tcPr>
            <w:tcW w:w="725" w:type="dxa"/>
            <w:vAlign w:val="center"/>
          </w:tcPr>
          <w:p w:rsidR="00BA2325" w:rsidRPr="004E79B5" w:rsidRDefault="00BA2325" w:rsidP="00350DA2">
            <w:pPr>
              <w:pStyle w:val="Default"/>
              <w:ind w:leftChars="-21" w:left="-44" w:firstLineChars="21" w:firstLine="44"/>
              <w:jc w:val="center"/>
              <w:outlineLvl w:val="0"/>
              <w:rPr>
                <w:rFonts w:ascii="Times New Roman" w:cs="Times New Roman"/>
                <w:kern w:val="2"/>
                <w:sz w:val="21"/>
                <w:szCs w:val="21"/>
              </w:rPr>
            </w:pPr>
            <w:r w:rsidRPr="004E79B5">
              <w:rPr>
                <w:rFonts w:ascii="Times New Roman" w:cs="Times New Roman"/>
                <w:kern w:val="2"/>
                <w:sz w:val="21"/>
                <w:szCs w:val="21"/>
              </w:rPr>
              <w:t>31</w:t>
            </w:r>
          </w:p>
        </w:tc>
        <w:tc>
          <w:tcPr>
            <w:tcW w:w="4368" w:type="dxa"/>
            <w:vAlign w:val="center"/>
          </w:tcPr>
          <w:p w:rsidR="00BA2325" w:rsidRPr="00BA2325" w:rsidRDefault="00BA2325" w:rsidP="00BA2325">
            <w:pPr>
              <w:widowControl/>
              <w:jc w:val="center"/>
              <w:rPr>
                <w:rFonts w:ascii="Segoe UI" w:hAnsi="Segoe UI" w:cs="Segoe UI"/>
                <w:color w:val="222222"/>
              </w:rPr>
            </w:pPr>
            <w:r>
              <w:rPr>
                <w:rFonts w:ascii="Segoe UI" w:hAnsi="Segoe UI" w:cs="Segoe UI"/>
                <w:color w:val="222222"/>
              </w:rPr>
              <w:t>华泰保兴产业升级混合型发起式证券投资基金</w:t>
            </w:r>
          </w:p>
        </w:tc>
        <w:tc>
          <w:tcPr>
            <w:tcW w:w="1457" w:type="dxa"/>
            <w:vAlign w:val="center"/>
          </w:tcPr>
          <w:p w:rsid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A</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021792</w:t>
            </w:r>
          </w:p>
          <w:p w:rsidR="00BA2325" w:rsidRPr="00BA2325" w:rsidRDefault="00BA2325" w:rsidP="00BA2325">
            <w:pPr>
              <w:pStyle w:val="Default"/>
              <w:ind w:leftChars="-21" w:left="-44" w:firstLineChars="21" w:firstLine="44"/>
              <w:jc w:val="center"/>
              <w:rPr>
                <w:rFonts w:ascii="Times New Roman" w:eastAsiaTheme="minorEastAsia" w:hAnsi="宋体"/>
                <w:kern w:val="2"/>
                <w:sz w:val="21"/>
                <w:szCs w:val="21"/>
              </w:rPr>
            </w:pPr>
            <w:r w:rsidRPr="00BA2325">
              <w:rPr>
                <w:rFonts w:ascii="Times New Roman" w:eastAsiaTheme="minorEastAsia" w:hAnsi="宋体"/>
                <w:kern w:val="2"/>
                <w:sz w:val="21"/>
                <w:szCs w:val="21"/>
              </w:rPr>
              <w:t>/C</w:t>
            </w:r>
            <w:r w:rsidRPr="00BA2325">
              <w:rPr>
                <w:rFonts w:ascii="Times New Roman" w:eastAsiaTheme="minorEastAsia" w:hAnsi="宋体"/>
                <w:kern w:val="2"/>
                <w:sz w:val="21"/>
                <w:szCs w:val="21"/>
              </w:rPr>
              <w:t>类</w:t>
            </w:r>
            <w:r w:rsidRPr="00BA2325">
              <w:rPr>
                <w:rFonts w:ascii="Times New Roman" w:eastAsiaTheme="minorEastAsia" w:hAnsi="宋体"/>
                <w:kern w:val="2"/>
                <w:sz w:val="21"/>
                <w:szCs w:val="21"/>
              </w:rPr>
              <w:t>021793</w:t>
            </w:r>
          </w:p>
        </w:tc>
        <w:tc>
          <w:tcPr>
            <w:tcW w:w="1019"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BA2325" w:rsidRDefault="00BA2325" w:rsidP="00BA2325">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bl>
    <w:p w:rsidR="00350DA2" w:rsidRDefault="00350DA2" w:rsidP="001C51BB">
      <w:pPr>
        <w:pStyle w:val="Default"/>
        <w:spacing w:line="360" w:lineRule="auto"/>
        <w:ind w:firstLineChars="200" w:firstLine="480"/>
        <w:jc w:val="both"/>
        <w:rPr>
          <w:rFonts w:ascii="Times New Roman" w:hAnsi="宋体"/>
        </w:rPr>
      </w:pPr>
    </w:p>
    <w:p w:rsidR="001C51BB" w:rsidRDefault="008F3472" w:rsidP="001C51BB">
      <w:pPr>
        <w:pStyle w:val="Default"/>
        <w:spacing w:line="360" w:lineRule="auto"/>
        <w:ind w:firstLineChars="200" w:firstLine="480"/>
        <w:jc w:val="both"/>
        <w:rPr>
          <w:rFonts w:ascii="Times New Roman" w:hAnsi="宋体"/>
        </w:rPr>
      </w:pPr>
      <w:r>
        <w:rPr>
          <w:rFonts w:ascii="Times New Roman" w:hAnsi="宋体" w:hint="eastAsia"/>
        </w:rPr>
        <w:t>从</w:t>
      </w:r>
      <w:r w:rsidR="00BA2325">
        <w:rPr>
          <w:rFonts w:ascii="Times New Roman" w:hAnsi="宋体" w:hint="eastAsia"/>
        </w:rPr>
        <w:t>202</w:t>
      </w:r>
      <w:r w:rsidR="00BA2325">
        <w:rPr>
          <w:rFonts w:ascii="Times New Roman" w:hAnsi="宋体"/>
        </w:rPr>
        <w:t>5</w:t>
      </w:r>
      <w:r w:rsidRPr="008F3472">
        <w:rPr>
          <w:rFonts w:ascii="Times New Roman" w:hAnsi="宋体" w:hint="eastAsia"/>
        </w:rPr>
        <w:t>年</w:t>
      </w:r>
      <w:r w:rsidR="00BA2325">
        <w:rPr>
          <w:rFonts w:ascii="Times New Roman" w:hAnsi="宋体"/>
        </w:rPr>
        <w:t>2</w:t>
      </w:r>
      <w:r w:rsidRPr="008F3472">
        <w:rPr>
          <w:rFonts w:ascii="Times New Roman" w:hAnsi="宋体" w:hint="eastAsia"/>
        </w:rPr>
        <w:t>月</w:t>
      </w:r>
      <w:r w:rsidR="00BA2325">
        <w:rPr>
          <w:rFonts w:ascii="Times New Roman" w:hAnsi="宋体"/>
        </w:rPr>
        <w:t>28</w:t>
      </w:r>
      <w:r w:rsidRPr="008F3472">
        <w:rPr>
          <w:rFonts w:ascii="Times New Roman" w:hAnsi="宋体" w:hint="eastAsia"/>
        </w:rPr>
        <w:t>日起</w:t>
      </w:r>
      <w:r>
        <w:rPr>
          <w:rFonts w:ascii="Times New Roman" w:hAnsi="宋体" w:hint="eastAsia"/>
        </w:rPr>
        <w:t>，投资者可以通过</w:t>
      </w:r>
      <w:r w:rsidR="000F7B35">
        <w:rPr>
          <w:rFonts w:ascii="Times New Roman" w:hAnsi="宋体" w:hint="eastAsia"/>
        </w:rPr>
        <w:t>新华信通</w:t>
      </w:r>
      <w:r>
        <w:rPr>
          <w:rFonts w:ascii="Times New Roman" w:hAnsi="宋体" w:hint="eastAsia"/>
        </w:rPr>
        <w:t>办理</w:t>
      </w:r>
      <w:r w:rsidRPr="008F3472">
        <w:rPr>
          <w:rFonts w:ascii="Times New Roman" w:hAnsi="宋体" w:hint="eastAsia"/>
        </w:rPr>
        <w:t>上述列表中对应</w:t>
      </w:r>
      <w:r>
        <w:rPr>
          <w:rFonts w:ascii="Times New Roman" w:hAnsi="宋体" w:hint="eastAsia"/>
        </w:rPr>
        <w:t>基金的账户开户、</w:t>
      </w:r>
      <w:r w:rsidRPr="00330894">
        <w:rPr>
          <w:rFonts w:ascii="Times New Roman" w:hAnsi="宋体" w:hint="eastAsia"/>
        </w:rPr>
        <w:t>认</w:t>
      </w:r>
      <w:r w:rsidRPr="00330894">
        <w:rPr>
          <w:rFonts w:ascii="Times New Roman" w:hAnsi="宋体" w:hint="eastAsia"/>
        </w:rPr>
        <w:t>/</w:t>
      </w:r>
      <w:r w:rsidRPr="00330894">
        <w:rPr>
          <w:rFonts w:ascii="Times New Roman" w:hAnsi="宋体" w:hint="eastAsia"/>
        </w:rPr>
        <w:t>申购</w:t>
      </w:r>
      <w:r>
        <w:rPr>
          <w:rFonts w:ascii="Times New Roman" w:hAnsi="宋体" w:hint="eastAsia"/>
        </w:rPr>
        <w:t>、赎回、定投、转换等业务。</w:t>
      </w:r>
    </w:p>
    <w:p w:rsidR="008F3472" w:rsidRDefault="008F3472" w:rsidP="001C51BB">
      <w:pPr>
        <w:pStyle w:val="Default"/>
        <w:spacing w:line="360" w:lineRule="auto"/>
        <w:ind w:firstLineChars="200" w:firstLine="480"/>
        <w:jc w:val="both"/>
        <w:rPr>
          <w:rFonts w:ascii="Times New Roman" w:hAnsi="宋体"/>
        </w:rPr>
      </w:pPr>
    </w:p>
    <w:p w:rsidR="00350DA2" w:rsidRPr="00350DA2" w:rsidRDefault="00350DA2" w:rsidP="001C51BB">
      <w:pPr>
        <w:pStyle w:val="Default"/>
        <w:spacing w:line="360" w:lineRule="auto"/>
        <w:ind w:firstLineChars="200" w:firstLine="480"/>
        <w:jc w:val="both"/>
        <w:rPr>
          <w:rFonts w:ascii="Times New Roman" w:hAnsi="宋体"/>
        </w:rPr>
      </w:pPr>
    </w:p>
    <w:p w:rsidR="001C51BB" w:rsidRDefault="001C51BB" w:rsidP="00350DA2">
      <w:pPr>
        <w:pStyle w:val="Default"/>
        <w:numPr>
          <w:ilvl w:val="0"/>
          <w:numId w:val="1"/>
        </w:numPr>
        <w:spacing w:line="360" w:lineRule="auto"/>
        <w:outlineLvl w:val="0"/>
        <w:rPr>
          <w:rFonts w:ascii="Times New Roman" w:hAnsi="宋体"/>
          <w:b/>
        </w:rPr>
      </w:pPr>
      <w:r>
        <w:rPr>
          <w:rFonts w:ascii="Times New Roman" w:hAnsi="宋体" w:hint="eastAsia"/>
          <w:b/>
        </w:rPr>
        <w:lastRenderedPageBreak/>
        <w:t>费率优惠内容</w:t>
      </w:r>
    </w:p>
    <w:p w:rsidR="00350DA2" w:rsidRDefault="00350DA2" w:rsidP="00350DA2">
      <w:pPr>
        <w:pStyle w:val="Default"/>
        <w:spacing w:line="360" w:lineRule="auto"/>
        <w:ind w:left="600"/>
        <w:outlineLvl w:val="0"/>
        <w:rPr>
          <w:rFonts w:ascii="Times New Roman" w:cs="Calibri"/>
          <w:b/>
        </w:rPr>
      </w:pPr>
    </w:p>
    <w:p w:rsidR="001C51BB" w:rsidRDefault="001C51BB" w:rsidP="001C51BB">
      <w:pPr>
        <w:pStyle w:val="Default"/>
        <w:spacing w:line="360" w:lineRule="auto"/>
        <w:ind w:firstLineChars="200" w:firstLine="480"/>
        <w:jc w:val="both"/>
        <w:rPr>
          <w:rFonts w:ascii="Times New Roman"/>
        </w:rPr>
      </w:pPr>
      <w:r>
        <w:t>投资者通过</w:t>
      </w:r>
      <w:r w:rsidR="000F7B35">
        <w:rPr>
          <w:rFonts w:hint="eastAsia"/>
        </w:rPr>
        <w:t>新华信通</w:t>
      </w:r>
      <w:r>
        <w:t>办理</w:t>
      </w:r>
      <w:r w:rsidR="00F40E1D">
        <w:rPr>
          <w:rFonts w:hint="eastAsia"/>
        </w:rPr>
        <w:t>本公司旗下</w:t>
      </w:r>
      <w:r>
        <w:t>基金的</w:t>
      </w:r>
      <w:r w:rsidR="008F3472">
        <w:t>相关</w:t>
      </w:r>
      <w:r>
        <w:t>业务，可享受相应费率优惠，</w:t>
      </w:r>
      <w:r>
        <w:rPr>
          <w:rFonts w:ascii="Times New Roman" w:hAnsi="宋体" w:hint="eastAsia"/>
        </w:rPr>
        <w:t>具体</w:t>
      </w:r>
      <w:r w:rsidR="008F3472">
        <w:rPr>
          <w:rFonts w:ascii="Times New Roman" w:hAnsi="宋体" w:hint="eastAsia"/>
        </w:rPr>
        <w:t>优惠规则及优惠期限</w:t>
      </w:r>
      <w:r>
        <w:rPr>
          <w:rFonts w:ascii="Times New Roman" w:hAnsi="宋体" w:hint="eastAsia"/>
        </w:rPr>
        <w:t>以</w:t>
      </w:r>
      <w:r w:rsidR="000F7B35">
        <w:rPr>
          <w:rFonts w:ascii="Times New Roman" w:hAnsi="宋体" w:hint="eastAsia"/>
        </w:rPr>
        <w:t>新华信通</w:t>
      </w:r>
      <w:r>
        <w:rPr>
          <w:rFonts w:ascii="Times New Roman" w:hAnsi="宋体" w:hint="eastAsia"/>
        </w:rPr>
        <w:t>规定为准。</w:t>
      </w:r>
      <w:r w:rsidR="0055548A">
        <w:rPr>
          <w:rFonts w:ascii="Times New Roman" w:hAnsi="宋体" w:hint="eastAsia"/>
        </w:rPr>
        <w:t>相关</w:t>
      </w:r>
      <w:r>
        <w:rPr>
          <w:rFonts w:ascii="Times New Roman" w:hAnsi="宋体" w:hint="eastAsia"/>
        </w:rPr>
        <w:t>基金</w:t>
      </w:r>
      <w:r w:rsidR="0055548A">
        <w:rPr>
          <w:rFonts w:ascii="Times New Roman" w:hAnsi="宋体" w:hint="eastAsia"/>
        </w:rPr>
        <w:t>的</w:t>
      </w:r>
      <w:r>
        <w:rPr>
          <w:rFonts w:ascii="Times New Roman" w:hAnsi="宋体" w:hint="eastAsia"/>
        </w:rPr>
        <w:t>原费率详见</w:t>
      </w:r>
      <w:r w:rsidR="0055548A">
        <w:rPr>
          <w:rFonts w:ascii="Times New Roman" w:hAnsi="宋体" w:hint="eastAsia"/>
        </w:rPr>
        <w:t>其</w:t>
      </w:r>
      <w:r>
        <w:rPr>
          <w:rFonts w:ascii="Times New Roman" w:hAnsi="宋体" w:hint="eastAsia"/>
        </w:rPr>
        <w:t>《基金合同》《招募说明书》（更新）</w:t>
      </w:r>
      <w:r w:rsidR="0055548A">
        <w:rPr>
          <w:rFonts w:ascii="Times New Roman" w:hAnsi="宋体" w:hint="eastAsia"/>
        </w:rPr>
        <w:t>和</w:t>
      </w:r>
      <w:r>
        <w:rPr>
          <w:rFonts w:ascii="Times New Roman" w:hint="eastAsia"/>
        </w:rPr>
        <w:t>《基金产品资料概要》（更新）</w:t>
      </w:r>
      <w:r>
        <w:rPr>
          <w:rFonts w:ascii="Times New Roman" w:hAnsi="宋体" w:hint="eastAsia"/>
        </w:rPr>
        <w:t>等</w:t>
      </w:r>
      <w:r w:rsidR="0055548A">
        <w:rPr>
          <w:rFonts w:ascii="Times New Roman" w:hAnsi="宋体" w:hint="eastAsia"/>
        </w:rPr>
        <w:t>基金</w:t>
      </w:r>
      <w:r>
        <w:rPr>
          <w:rFonts w:ascii="Times New Roman" w:hAnsi="宋体" w:hint="eastAsia"/>
        </w:rPr>
        <w:t>法律文件，以及本公司发布的最新业务公告。</w:t>
      </w:r>
    </w:p>
    <w:p w:rsidR="001C51BB" w:rsidRDefault="001C51BB" w:rsidP="001C51BB">
      <w:pPr>
        <w:pStyle w:val="Default"/>
        <w:spacing w:line="360" w:lineRule="auto"/>
        <w:ind w:firstLine="450"/>
        <w:rPr>
          <w:rFonts w:ascii="Times New Roman"/>
          <w:b/>
        </w:rPr>
      </w:pPr>
    </w:p>
    <w:p w:rsidR="001C51BB" w:rsidRDefault="001C51BB" w:rsidP="00350DA2">
      <w:pPr>
        <w:pStyle w:val="Default"/>
        <w:numPr>
          <w:ilvl w:val="0"/>
          <w:numId w:val="1"/>
        </w:numPr>
        <w:spacing w:line="360" w:lineRule="auto"/>
        <w:outlineLvl w:val="0"/>
        <w:rPr>
          <w:rFonts w:ascii="Times New Roman" w:hAnsi="宋体"/>
          <w:b/>
        </w:rPr>
      </w:pPr>
      <w:r>
        <w:rPr>
          <w:rFonts w:ascii="Times New Roman" w:hAnsi="宋体" w:hint="eastAsia"/>
          <w:b/>
        </w:rPr>
        <w:t>重要提示</w:t>
      </w:r>
    </w:p>
    <w:p w:rsidR="00350DA2" w:rsidRPr="00E605B6" w:rsidRDefault="00350DA2" w:rsidP="00350DA2">
      <w:pPr>
        <w:pStyle w:val="Default"/>
        <w:spacing w:line="360" w:lineRule="auto"/>
        <w:ind w:left="600"/>
        <w:outlineLvl w:val="0"/>
        <w:rPr>
          <w:rFonts w:ascii="Times New Roman" w:cs="Calibri"/>
          <w:b/>
        </w:rPr>
      </w:pPr>
    </w:p>
    <w:p w:rsidR="001C51BB" w:rsidRDefault="001C51BB" w:rsidP="001C51BB">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w:t>
      </w:r>
      <w:r w:rsidR="000F7B35">
        <w:rPr>
          <w:rFonts w:ascii="Times New Roman" w:hAnsi="宋体" w:hint="eastAsia"/>
        </w:rPr>
        <w:t>新华信通</w:t>
      </w:r>
      <w:r>
        <w:rPr>
          <w:rFonts w:ascii="Times New Roman" w:hAnsi="宋体" w:hint="eastAsia"/>
        </w:rPr>
        <w:t>所有，有关优惠活动的具体规定如有变化，敬请投资者留意</w:t>
      </w:r>
      <w:r w:rsidR="000F7B35">
        <w:rPr>
          <w:rFonts w:ascii="Times New Roman" w:hAnsi="宋体" w:hint="eastAsia"/>
        </w:rPr>
        <w:t>新华信通</w:t>
      </w:r>
      <w:r>
        <w:rPr>
          <w:rFonts w:ascii="Times New Roman" w:hAnsi="宋体" w:hint="eastAsia"/>
        </w:rPr>
        <w:t>的有关公告。</w:t>
      </w:r>
    </w:p>
    <w:p w:rsidR="001C51BB" w:rsidRDefault="001C51BB" w:rsidP="001C51BB">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w:t>
      </w:r>
      <w:r w:rsidR="000F7B35">
        <w:rPr>
          <w:rFonts w:ascii="Times New Roman" w:hAnsi="宋体" w:hint="eastAsia"/>
        </w:rPr>
        <w:t>新华信通</w:t>
      </w:r>
      <w:r>
        <w:rPr>
          <w:rFonts w:ascii="Times New Roman" w:hAnsi="宋体" w:hint="eastAsia"/>
        </w:rPr>
        <w:t>的规定为准。</w:t>
      </w:r>
    </w:p>
    <w:p w:rsidR="001C51BB" w:rsidRDefault="001C51BB" w:rsidP="001C51BB">
      <w:pPr>
        <w:pStyle w:val="Default"/>
        <w:spacing w:line="360" w:lineRule="auto"/>
        <w:ind w:firstLineChars="200" w:firstLine="480"/>
        <w:jc w:val="both"/>
        <w:rPr>
          <w:rFonts w:ascii="Times New Roman" w:cs="Times New Roman"/>
        </w:rPr>
      </w:pPr>
      <w:r>
        <w:rPr>
          <w:rFonts w:ascii="Times New Roman" w:hAnsi="宋体"/>
        </w:rPr>
        <w:t>3</w:t>
      </w:r>
      <w:r>
        <w:rPr>
          <w:rFonts w:ascii="Times New Roman" w:hAnsi="宋体" w:hint="eastAsia"/>
        </w:rPr>
        <w:t>、投资者欲了解基金产品的详细情况，请仔细阅读</w:t>
      </w:r>
      <w:r w:rsidR="00186C69">
        <w:rPr>
          <w:rFonts w:ascii="Times New Roman" w:hAnsi="宋体" w:hint="eastAsia"/>
        </w:rPr>
        <w:t>相关</w:t>
      </w:r>
      <w:r>
        <w:rPr>
          <w:rFonts w:ascii="Times New Roman" w:hAnsi="宋体" w:hint="eastAsia"/>
        </w:rPr>
        <w:t>基金的《基金合同》《招募说明书》（更新）</w:t>
      </w:r>
      <w:r w:rsidR="0055548A">
        <w:rPr>
          <w:rFonts w:ascii="Times New Roman" w:hAnsi="宋体" w:hint="eastAsia"/>
        </w:rPr>
        <w:t>和</w:t>
      </w:r>
      <w:r>
        <w:rPr>
          <w:rFonts w:ascii="Times New Roman" w:hint="eastAsia"/>
        </w:rPr>
        <w:t>《基金产品资料概要》（更新）</w:t>
      </w:r>
      <w:r>
        <w:rPr>
          <w:rFonts w:ascii="Times New Roman" w:hAnsi="宋体" w:hint="eastAsia"/>
        </w:rPr>
        <w:t>等</w:t>
      </w:r>
      <w:r w:rsidR="0055548A">
        <w:rPr>
          <w:rFonts w:ascii="Times New Roman" w:hAnsi="宋体" w:hint="eastAsia"/>
        </w:rPr>
        <w:t>基金</w:t>
      </w:r>
      <w:r>
        <w:rPr>
          <w:rFonts w:ascii="Times New Roman" w:hAnsi="宋体" w:hint="eastAsia"/>
        </w:rPr>
        <w:t>法律文件。</w:t>
      </w:r>
    </w:p>
    <w:p w:rsidR="001C51BB" w:rsidRDefault="001C51BB" w:rsidP="001C51BB">
      <w:pPr>
        <w:pStyle w:val="Default"/>
        <w:spacing w:line="360" w:lineRule="auto"/>
        <w:rPr>
          <w:rFonts w:ascii="Times New Roman"/>
        </w:rPr>
      </w:pPr>
    </w:p>
    <w:p w:rsidR="001C51BB" w:rsidRDefault="001C51BB" w:rsidP="00E605B6">
      <w:pPr>
        <w:pStyle w:val="Default"/>
        <w:spacing w:line="360" w:lineRule="auto"/>
        <w:outlineLvl w:val="0"/>
        <w:rPr>
          <w:rFonts w:ascii="Times New Roman" w:hAnsi="宋体"/>
          <w:b/>
        </w:rPr>
      </w:pPr>
      <w:r>
        <w:rPr>
          <w:rFonts w:ascii="Times New Roman" w:hAnsi="宋体" w:hint="eastAsia"/>
          <w:b/>
        </w:rPr>
        <w:t>四、投资者可通过以下途径了解或咨询相关情况</w:t>
      </w:r>
    </w:p>
    <w:p w:rsidR="00350DA2" w:rsidRDefault="00350DA2" w:rsidP="00E605B6">
      <w:pPr>
        <w:pStyle w:val="Default"/>
        <w:spacing w:line="360" w:lineRule="auto"/>
        <w:outlineLvl w:val="0"/>
        <w:rPr>
          <w:rFonts w:ascii="Times New Roman" w:cs="Calibri"/>
          <w:b/>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9"/>
        <w:gridCol w:w="2694"/>
        <w:gridCol w:w="2386"/>
      </w:tblGrid>
      <w:tr w:rsidR="001C51BB" w:rsidTr="00FC193E">
        <w:trPr>
          <w:trHeight w:val="285"/>
        </w:trPr>
        <w:tc>
          <w:tcPr>
            <w:tcW w:w="3299" w:type="dxa"/>
            <w:vAlign w:val="center"/>
          </w:tcPr>
          <w:p w:rsidR="001C51BB" w:rsidRDefault="001C51BB" w:rsidP="000C4AC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机构名称</w:t>
            </w:r>
          </w:p>
        </w:tc>
        <w:tc>
          <w:tcPr>
            <w:tcW w:w="2694" w:type="dxa"/>
            <w:vAlign w:val="center"/>
          </w:tcPr>
          <w:p w:rsidR="001C51BB" w:rsidRDefault="001C51BB" w:rsidP="000C4ACA">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网址</w:t>
            </w:r>
          </w:p>
        </w:tc>
        <w:tc>
          <w:tcPr>
            <w:tcW w:w="2386" w:type="dxa"/>
            <w:vAlign w:val="center"/>
          </w:tcPr>
          <w:p w:rsidR="001C51BB" w:rsidRDefault="001C51BB" w:rsidP="000C4ACA">
            <w:pPr>
              <w:widowControl/>
              <w:jc w:val="center"/>
              <w:rPr>
                <w:rFonts w:ascii="宋体" w:hAnsi="宋体" w:cs="宋体"/>
                <w:b/>
                <w:bCs/>
                <w:color w:val="000000"/>
                <w:kern w:val="0"/>
                <w:sz w:val="24"/>
                <w:szCs w:val="24"/>
              </w:rPr>
            </w:pPr>
            <w:r>
              <w:rPr>
                <w:rFonts w:ascii="宋体" w:hAnsi="宋体" w:cs="宋体" w:hint="eastAsia"/>
                <w:b/>
                <w:bCs/>
                <w:kern w:val="0"/>
                <w:sz w:val="24"/>
                <w:szCs w:val="24"/>
              </w:rPr>
              <w:t>客服热线</w:t>
            </w:r>
          </w:p>
        </w:tc>
      </w:tr>
      <w:tr w:rsidR="001C51BB" w:rsidTr="00FC193E">
        <w:trPr>
          <w:trHeight w:val="511"/>
        </w:trPr>
        <w:tc>
          <w:tcPr>
            <w:tcW w:w="3299" w:type="dxa"/>
            <w:vAlign w:val="center"/>
          </w:tcPr>
          <w:p w:rsidR="001C51BB" w:rsidRDefault="000F7B35" w:rsidP="000C4ACA">
            <w:pPr>
              <w:widowControl/>
              <w:jc w:val="center"/>
              <w:rPr>
                <w:rFonts w:ascii="宋体" w:hAnsi="宋体" w:cs="宋体"/>
                <w:color w:val="000000"/>
                <w:kern w:val="0"/>
                <w:szCs w:val="21"/>
              </w:rPr>
            </w:pPr>
            <w:r w:rsidRPr="000F7B35">
              <w:rPr>
                <w:rFonts w:hAnsi="宋体" w:hint="eastAsia"/>
              </w:rPr>
              <w:t>深圳新华信通基金销售有限公司</w:t>
            </w:r>
          </w:p>
        </w:tc>
        <w:tc>
          <w:tcPr>
            <w:tcW w:w="2694" w:type="dxa"/>
            <w:vAlign w:val="center"/>
          </w:tcPr>
          <w:p w:rsidR="001C51BB" w:rsidRDefault="00CB72D7" w:rsidP="000C4ACA">
            <w:pPr>
              <w:widowControl/>
              <w:jc w:val="center"/>
              <w:rPr>
                <w:szCs w:val="21"/>
              </w:rPr>
            </w:pPr>
            <w:r>
              <w:rPr>
                <w:szCs w:val="21"/>
              </w:rPr>
              <w:t>www.xintongfund.com</w:t>
            </w:r>
          </w:p>
        </w:tc>
        <w:tc>
          <w:tcPr>
            <w:tcW w:w="2386" w:type="dxa"/>
            <w:vAlign w:val="center"/>
          </w:tcPr>
          <w:p w:rsidR="001C51BB" w:rsidRDefault="00CB72D7" w:rsidP="000C4ACA">
            <w:pPr>
              <w:widowControl/>
              <w:jc w:val="center"/>
              <w:rPr>
                <w:color w:val="000000"/>
                <w:kern w:val="0"/>
                <w:szCs w:val="21"/>
              </w:rPr>
            </w:pPr>
            <w:r w:rsidRPr="00CB72D7">
              <w:t>400-000-5767</w:t>
            </w:r>
          </w:p>
        </w:tc>
      </w:tr>
      <w:tr w:rsidR="001C51BB" w:rsidTr="00FC193E">
        <w:trPr>
          <w:trHeight w:val="519"/>
        </w:trPr>
        <w:tc>
          <w:tcPr>
            <w:tcW w:w="3299" w:type="dxa"/>
            <w:vAlign w:val="center"/>
          </w:tcPr>
          <w:p w:rsidR="001C51BB" w:rsidRDefault="001C51BB" w:rsidP="000C4ACA">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694" w:type="dxa"/>
            <w:vAlign w:val="center"/>
          </w:tcPr>
          <w:p w:rsidR="001C51BB" w:rsidRDefault="00C9022E" w:rsidP="000C4ACA">
            <w:pPr>
              <w:widowControl/>
              <w:jc w:val="center"/>
              <w:rPr>
                <w:szCs w:val="21"/>
              </w:rPr>
            </w:pPr>
            <w:hyperlink r:id="rId8" w:history="1">
              <w:r w:rsidR="001C51BB">
                <w:rPr>
                  <w:szCs w:val="21"/>
                </w:rPr>
                <w:t>www.ehuataifund.com</w:t>
              </w:r>
            </w:hyperlink>
          </w:p>
        </w:tc>
        <w:tc>
          <w:tcPr>
            <w:tcW w:w="2386" w:type="dxa"/>
            <w:vAlign w:val="center"/>
          </w:tcPr>
          <w:p w:rsidR="001C51BB" w:rsidRDefault="001C51BB" w:rsidP="000C4ACA">
            <w:pPr>
              <w:widowControl/>
              <w:jc w:val="center"/>
              <w:rPr>
                <w:color w:val="000000"/>
                <w:kern w:val="0"/>
                <w:szCs w:val="21"/>
              </w:rPr>
            </w:pPr>
            <w:r>
              <w:rPr>
                <w:color w:val="000000"/>
                <w:kern w:val="0"/>
                <w:szCs w:val="21"/>
              </w:rPr>
              <w:t>400-632-9090</w:t>
            </w:r>
          </w:p>
        </w:tc>
      </w:tr>
    </w:tbl>
    <w:p w:rsidR="001C51BB" w:rsidRDefault="001C51BB" w:rsidP="001C51BB">
      <w:pPr>
        <w:pStyle w:val="Default"/>
        <w:spacing w:line="360" w:lineRule="auto"/>
        <w:rPr>
          <w:rFonts w:ascii="Times New Roman" w:cs="Times New Roman"/>
          <w:color w:val="auto"/>
        </w:rPr>
      </w:pPr>
    </w:p>
    <w:p w:rsidR="001C51BB" w:rsidRDefault="00350DA2" w:rsidP="00350DA2">
      <w:pPr>
        <w:pStyle w:val="Default"/>
        <w:spacing w:line="360" w:lineRule="auto"/>
        <w:outlineLvl w:val="0"/>
        <w:rPr>
          <w:rFonts w:ascii="Times New Roman" w:hAnsi="宋体"/>
          <w:b/>
        </w:rPr>
      </w:pPr>
      <w:r w:rsidRPr="00350DA2">
        <w:rPr>
          <w:rFonts w:ascii="Times New Roman" w:hAnsi="宋体" w:hint="eastAsia"/>
          <w:b/>
        </w:rPr>
        <w:t>五、</w:t>
      </w:r>
      <w:r w:rsidR="001C51BB">
        <w:rPr>
          <w:rFonts w:ascii="Times New Roman" w:hAnsi="宋体" w:hint="eastAsia"/>
          <w:b/>
        </w:rPr>
        <w:t>风险提示</w:t>
      </w:r>
    </w:p>
    <w:p w:rsidR="00350DA2" w:rsidRPr="00E605B6" w:rsidRDefault="00350DA2" w:rsidP="00350DA2">
      <w:pPr>
        <w:pStyle w:val="Default"/>
        <w:spacing w:line="360" w:lineRule="auto"/>
        <w:outlineLvl w:val="0"/>
        <w:rPr>
          <w:rFonts w:ascii="Times New Roman" w:hAnsi="宋体"/>
          <w:b/>
        </w:rPr>
      </w:pPr>
    </w:p>
    <w:p w:rsidR="001C51BB" w:rsidRDefault="001C51BB" w:rsidP="001C51BB">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sidR="0055548A">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w:t>
      </w:r>
      <w:r w:rsidR="0055548A">
        <w:rPr>
          <w:rFonts w:ascii="Times New Roman" w:hint="eastAsia"/>
        </w:rPr>
        <w:t>和</w:t>
      </w:r>
      <w:r>
        <w:rPr>
          <w:rFonts w:ascii="Times New Roman" w:hint="eastAsia"/>
        </w:rPr>
        <w:t>《基金产品资料概要》（更新）等基金法律文件，关注基金的投资风险，并选择适合自身风险承受能力的投资品种进行投资。</w:t>
      </w:r>
    </w:p>
    <w:p w:rsidR="001C51BB" w:rsidRDefault="001C51BB" w:rsidP="001C51BB">
      <w:pPr>
        <w:pStyle w:val="Default"/>
        <w:spacing w:line="360" w:lineRule="auto"/>
        <w:ind w:firstLineChars="200" w:firstLine="480"/>
        <w:rPr>
          <w:rFonts w:ascii="Times New Roman" w:cs="Times New Roman"/>
          <w:color w:val="auto"/>
        </w:rPr>
      </w:pPr>
    </w:p>
    <w:p w:rsidR="001C51BB" w:rsidRDefault="001C51BB" w:rsidP="001C51BB">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1C51BB" w:rsidRDefault="001C51BB" w:rsidP="001C51BB">
      <w:pPr>
        <w:pStyle w:val="Default"/>
        <w:spacing w:line="360" w:lineRule="auto"/>
        <w:ind w:firstLineChars="200" w:firstLine="480"/>
        <w:rPr>
          <w:rFonts w:ascii="Times New Roman" w:hAnsi="宋体"/>
          <w:color w:val="auto"/>
        </w:rPr>
      </w:pPr>
    </w:p>
    <w:p w:rsidR="001C51BB" w:rsidRDefault="001C51BB" w:rsidP="001C51BB">
      <w:pPr>
        <w:pStyle w:val="Default"/>
        <w:spacing w:line="360" w:lineRule="auto"/>
        <w:ind w:firstLineChars="200" w:firstLine="480"/>
        <w:rPr>
          <w:rFonts w:ascii="Times New Roman" w:cs="Times New Roman"/>
          <w:color w:val="auto"/>
        </w:rPr>
      </w:pPr>
    </w:p>
    <w:p w:rsidR="001C51BB" w:rsidRDefault="001C51BB" w:rsidP="009F6F5D">
      <w:pPr>
        <w:pStyle w:val="Default"/>
        <w:spacing w:line="360" w:lineRule="auto"/>
        <w:ind w:firstLineChars="2050" w:firstLine="4920"/>
        <w:jc w:val="right"/>
        <w:rPr>
          <w:rFonts w:ascii="Times New Roman" w:cs="Times New Roman"/>
          <w:color w:val="auto"/>
        </w:rPr>
      </w:pPr>
      <w:r>
        <w:rPr>
          <w:rFonts w:ascii="Times New Roman" w:hAnsi="宋体" w:hint="eastAsia"/>
          <w:color w:val="auto"/>
        </w:rPr>
        <w:t>华泰保兴基金管理有限公司</w:t>
      </w:r>
    </w:p>
    <w:p w:rsidR="001C51BB" w:rsidRPr="005A677B" w:rsidRDefault="000F7B35" w:rsidP="009F6F5D">
      <w:pPr>
        <w:pStyle w:val="Default"/>
        <w:spacing w:line="360" w:lineRule="auto"/>
        <w:ind w:firstLineChars="2500" w:firstLine="6000"/>
        <w:jc w:val="right"/>
        <w:rPr>
          <w:color w:val="auto"/>
        </w:rPr>
      </w:pPr>
      <w:bookmarkStart w:id="3" w:name="t_2_4_2_2843_a1_fm1"/>
      <w:bookmarkStart w:id="4" w:name="t_2_2_table"/>
      <w:bookmarkStart w:id="5" w:name="t_2_4_3_table"/>
      <w:bookmarkStart w:id="6" w:name="t_2_3_2_2842_a1_fm1"/>
      <w:bookmarkStart w:id="7" w:name="t_2_3_3_2821_a1_fm1"/>
      <w:bookmarkStart w:id="8" w:name="t_2_5_table"/>
      <w:bookmarkStart w:id="9" w:name="t_2_3_1_table"/>
      <w:bookmarkStart w:id="10" w:name="t_2_3_3_table"/>
      <w:bookmarkStart w:id="11" w:name="t_2_4_1_2822_a1_fm1"/>
      <w:bookmarkStart w:id="12" w:name="t_2_5_0179_a1_fm1"/>
      <w:bookmarkStart w:id="13" w:name="t_2_2_2819_a1_fm1"/>
      <w:bookmarkStart w:id="14" w:name="t_2_3_1_2820_a1_fm1"/>
      <w:bookmarkStart w:id="15" w:name="t_2_7_2833_a1_fm1"/>
      <w:bookmarkStart w:id="16" w:name="t_2_3_2_table"/>
      <w:bookmarkStart w:id="17" w:name="t_2_6_2825_a1_fm1"/>
      <w:bookmarkStart w:id="18" w:name="t_2_1_table"/>
      <w:bookmarkStart w:id="19" w:name="t_2_4_3_2823_a1_fm1"/>
      <w:bookmarkStart w:id="20" w:name="t_2_9_2646_a1_fm1"/>
      <w:bookmarkStart w:id="21" w:name="t_2_8_2756_a1_fm1"/>
      <w:bookmarkStart w:id="22" w:name="t_2_5_2824_a1_fm1"/>
      <w:bookmarkStart w:id="23" w:name="t_2_8_table"/>
      <w:bookmarkStart w:id="24" w:name="t_2_6_table"/>
      <w:bookmarkStart w:id="25" w:name="t_2_9_table"/>
      <w:bookmarkStart w:id="26" w:name="t_2_7_2834_a1_fm1"/>
      <w:bookmarkStart w:id="27" w:name="t_2_4_2_table"/>
      <w:bookmarkStart w:id="28" w:name="t_2_7_2835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int="eastAsia"/>
          <w:color w:val="auto"/>
        </w:rPr>
        <w:t>2</w:t>
      </w:r>
      <w:r>
        <w:rPr>
          <w:rFonts w:ascii="Times New Roman"/>
          <w:color w:val="auto"/>
        </w:rPr>
        <w:t>025</w:t>
      </w:r>
      <w:r w:rsidR="001C51BB">
        <w:rPr>
          <w:rFonts w:ascii="Times New Roman"/>
          <w:color w:val="auto"/>
        </w:rPr>
        <w:t>年</w:t>
      </w:r>
      <w:r>
        <w:rPr>
          <w:rFonts w:ascii="Times New Roman"/>
          <w:color w:val="auto"/>
        </w:rPr>
        <w:t>2</w:t>
      </w:r>
      <w:r w:rsidR="001C51BB">
        <w:rPr>
          <w:rFonts w:ascii="Times New Roman" w:hint="eastAsia"/>
          <w:color w:val="auto"/>
        </w:rPr>
        <w:t>月</w:t>
      </w:r>
      <w:r>
        <w:rPr>
          <w:rFonts w:ascii="Times New Roman"/>
          <w:color w:val="auto"/>
        </w:rPr>
        <w:t>28</w:t>
      </w:r>
      <w:r w:rsidR="001C51BB">
        <w:rPr>
          <w:rFonts w:ascii="Times New Roman"/>
          <w:color w:val="auto"/>
        </w:rPr>
        <w:t>日</w:t>
      </w:r>
    </w:p>
    <w:p w:rsidR="001C51BB" w:rsidRPr="005A677B" w:rsidRDefault="001C51BB" w:rsidP="001C51BB">
      <w:pPr>
        <w:pStyle w:val="Default"/>
        <w:spacing w:line="360" w:lineRule="auto"/>
        <w:ind w:firstLineChars="2500" w:firstLine="6000"/>
        <w:rPr>
          <w:color w:val="auto"/>
        </w:rPr>
      </w:pPr>
    </w:p>
    <w:p w:rsidR="003D342E" w:rsidRPr="001C51BB" w:rsidRDefault="003D342E" w:rsidP="001C51BB"/>
    <w:sectPr w:rsidR="003D342E" w:rsidRPr="001C51BB" w:rsidSect="005E57F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148" w:rsidRDefault="00337148" w:rsidP="001C51BB">
      <w:r>
        <w:separator/>
      </w:r>
    </w:p>
  </w:endnote>
  <w:endnote w:type="continuationSeparator" w:id="0">
    <w:p w:rsidR="00337148" w:rsidRDefault="00337148" w:rsidP="001C5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4E" w:rsidRDefault="00953474">
    <w:pPr>
      <w:pStyle w:val="a4"/>
      <w:jc w:val="center"/>
    </w:pPr>
    <w:r>
      <w:t>第</w:t>
    </w:r>
    <w:r w:rsidR="00C9022E">
      <w:fldChar w:fldCharType="begin"/>
    </w:r>
    <w:r>
      <w:instrText xml:space="preserve"> PAGE   \* MERGEFORMAT </w:instrText>
    </w:r>
    <w:r w:rsidR="00C9022E">
      <w:fldChar w:fldCharType="separate"/>
    </w:r>
    <w:r w:rsidR="00B65064">
      <w:rPr>
        <w:noProof/>
      </w:rPr>
      <w:t>1</w:t>
    </w:r>
    <w:r w:rsidR="00C9022E">
      <w:fldChar w:fldCharType="end"/>
    </w:r>
    <w:r>
      <w:t>页</w:t>
    </w:r>
    <w:r w:rsidR="00BF1FA8">
      <w:rPr>
        <w:rFonts w:hint="eastAsia"/>
      </w:rPr>
      <w:t xml:space="preserve"> </w:t>
    </w:r>
    <w:r>
      <w:t>共</w:t>
    </w:r>
    <w:fldSimple w:instr=" NUMPAGES   \* MERGEFORMAT ">
      <w:r w:rsidR="00B65064">
        <w:rPr>
          <w:noProof/>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148" w:rsidRDefault="00337148" w:rsidP="001C51BB">
      <w:r>
        <w:separator/>
      </w:r>
    </w:p>
  </w:footnote>
  <w:footnote w:type="continuationSeparator" w:id="0">
    <w:p w:rsidR="00337148" w:rsidRDefault="00337148" w:rsidP="001C5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42E"/>
    <w:rsid w:val="00002498"/>
    <w:rsid w:val="00006EAA"/>
    <w:rsid w:val="00016675"/>
    <w:rsid w:val="00025896"/>
    <w:rsid w:val="00025BD3"/>
    <w:rsid w:val="0004071F"/>
    <w:rsid w:val="00066C02"/>
    <w:rsid w:val="000A037E"/>
    <w:rsid w:val="000D0D61"/>
    <w:rsid w:val="000F7B35"/>
    <w:rsid w:val="0012286C"/>
    <w:rsid w:val="00135AF3"/>
    <w:rsid w:val="00143DA9"/>
    <w:rsid w:val="001771F0"/>
    <w:rsid w:val="00186C69"/>
    <w:rsid w:val="001C2C1A"/>
    <w:rsid w:val="001C51BB"/>
    <w:rsid w:val="002713CB"/>
    <w:rsid w:val="0027538E"/>
    <w:rsid w:val="00292A2E"/>
    <w:rsid w:val="002A0E68"/>
    <w:rsid w:val="002A4BC9"/>
    <w:rsid w:val="002B7DE6"/>
    <w:rsid w:val="002D478D"/>
    <w:rsid w:val="002E7A17"/>
    <w:rsid w:val="002F20F0"/>
    <w:rsid w:val="00307628"/>
    <w:rsid w:val="00310586"/>
    <w:rsid w:val="00316ADA"/>
    <w:rsid w:val="003351D0"/>
    <w:rsid w:val="00337148"/>
    <w:rsid w:val="0034213D"/>
    <w:rsid w:val="003506C5"/>
    <w:rsid w:val="00350DA2"/>
    <w:rsid w:val="003B6330"/>
    <w:rsid w:val="003D1E02"/>
    <w:rsid w:val="003D342E"/>
    <w:rsid w:val="004415CC"/>
    <w:rsid w:val="00460ED4"/>
    <w:rsid w:val="00470E35"/>
    <w:rsid w:val="00480D1A"/>
    <w:rsid w:val="00484C9E"/>
    <w:rsid w:val="004870FE"/>
    <w:rsid w:val="0049251A"/>
    <w:rsid w:val="004A6A28"/>
    <w:rsid w:val="004A6AE5"/>
    <w:rsid w:val="004A6F2F"/>
    <w:rsid w:val="004B2ECF"/>
    <w:rsid w:val="004E79B5"/>
    <w:rsid w:val="005265A1"/>
    <w:rsid w:val="00537AE8"/>
    <w:rsid w:val="00540E13"/>
    <w:rsid w:val="0055548A"/>
    <w:rsid w:val="00576840"/>
    <w:rsid w:val="005920F0"/>
    <w:rsid w:val="005A567F"/>
    <w:rsid w:val="005B1EE4"/>
    <w:rsid w:val="00613E4E"/>
    <w:rsid w:val="006236D1"/>
    <w:rsid w:val="00623B3A"/>
    <w:rsid w:val="0063405B"/>
    <w:rsid w:val="00644189"/>
    <w:rsid w:val="00650758"/>
    <w:rsid w:val="00684FA4"/>
    <w:rsid w:val="006E4B1A"/>
    <w:rsid w:val="00771529"/>
    <w:rsid w:val="00777262"/>
    <w:rsid w:val="0078539B"/>
    <w:rsid w:val="007A442D"/>
    <w:rsid w:val="007D43B2"/>
    <w:rsid w:val="007F53D4"/>
    <w:rsid w:val="00826A50"/>
    <w:rsid w:val="00856959"/>
    <w:rsid w:val="00857DE4"/>
    <w:rsid w:val="008B5D8B"/>
    <w:rsid w:val="008E04CF"/>
    <w:rsid w:val="008E14EB"/>
    <w:rsid w:val="008F130B"/>
    <w:rsid w:val="008F3472"/>
    <w:rsid w:val="008F7D95"/>
    <w:rsid w:val="00910239"/>
    <w:rsid w:val="00925755"/>
    <w:rsid w:val="00925928"/>
    <w:rsid w:val="009377D1"/>
    <w:rsid w:val="00953474"/>
    <w:rsid w:val="009707D5"/>
    <w:rsid w:val="009904CE"/>
    <w:rsid w:val="009A31BC"/>
    <w:rsid w:val="009A5562"/>
    <w:rsid w:val="009A6D2B"/>
    <w:rsid w:val="009D7011"/>
    <w:rsid w:val="009E52FF"/>
    <w:rsid w:val="009F304E"/>
    <w:rsid w:val="009F6F5D"/>
    <w:rsid w:val="00A86AED"/>
    <w:rsid w:val="00A86F86"/>
    <w:rsid w:val="00AB08FA"/>
    <w:rsid w:val="00AB3D38"/>
    <w:rsid w:val="00B449DB"/>
    <w:rsid w:val="00B57FBE"/>
    <w:rsid w:val="00B65064"/>
    <w:rsid w:val="00BA2325"/>
    <w:rsid w:val="00BC2896"/>
    <w:rsid w:val="00BC299D"/>
    <w:rsid w:val="00BC4AD8"/>
    <w:rsid w:val="00BD6BD8"/>
    <w:rsid w:val="00BE3923"/>
    <w:rsid w:val="00BE4E75"/>
    <w:rsid w:val="00BF013A"/>
    <w:rsid w:val="00BF1153"/>
    <w:rsid w:val="00BF1FA8"/>
    <w:rsid w:val="00BF6761"/>
    <w:rsid w:val="00C06959"/>
    <w:rsid w:val="00C62E8F"/>
    <w:rsid w:val="00C9022E"/>
    <w:rsid w:val="00CB72D7"/>
    <w:rsid w:val="00D20C56"/>
    <w:rsid w:val="00D5413F"/>
    <w:rsid w:val="00D5740D"/>
    <w:rsid w:val="00D816C2"/>
    <w:rsid w:val="00DA2D18"/>
    <w:rsid w:val="00DD25CE"/>
    <w:rsid w:val="00DF77D9"/>
    <w:rsid w:val="00E17E34"/>
    <w:rsid w:val="00E3412F"/>
    <w:rsid w:val="00E605B6"/>
    <w:rsid w:val="00E74B4F"/>
    <w:rsid w:val="00ED4A87"/>
    <w:rsid w:val="00EF186E"/>
    <w:rsid w:val="00F15222"/>
    <w:rsid w:val="00F1543D"/>
    <w:rsid w:val="00F40E1D"/>
    <w:rsid w:val="00F429DE"/>
    <w:rsid w:val="00FA6828"/>
    <w:rsid w:val="00FB7453"/>
    <w:rsid w:val="00FB76BF"/>
    <w:rsid w:val="00FC193E"/>
    <w:rsid w:val="00FC537B"/>
    <w:rsid w:val="00FE3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B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C51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1C51BB"/>
    <w:rPr>
      <w:sz w:val="18"/>
      <w:szCs w:val="18"/>
    </w:rPr>
  </w:style>
  <w:style w:type="paragraph" w:styleId="a4">
    <w:name w:val="footer"/>
    <w:basedOn w:val="a"/>
    <w:link w:val="Char0"/>
    <w:unhideWhenUsed/>
    <w:rsid w:val="001C51BB"/>
    <w:pPr>
      <w:tabs>
        <w:tab w:val="center" w:pos="4153"/>
        <w:tab w:val="right" w:pos="8306"/>
      </w:tabs>
      <w:snapToGrid w:val="0"/>
      <w:jc w:val="left"/>
    </w:pPr>
    <w:rPr>
      <w:sz w:val="18"/>
      <w:szCs w:val="18"/>
    </w:rPr>
  </w:style>
  <w:style w:type="character" w:customStyle="1" w:styleId="Char0">
    <w:name w:val="页脚 Char"/>
    <w:basedOn w:val="a0"/>
    <w:link w:val="a4"/>
    <w:qFormat/>
    <w:rsid w:val="001C51BB"/>
    <w:rPr>
      <w:sz w:val="18"/>
      <w:szCs w:val="18"/>
    </w:rPr>
  </w:style>
  <w:style w:type="paragraph" w:customStyle="1" w:styleId="Default">
    <w:name w:val="Default"/>
    <w:qFormat/>
    <w:rsid w:val="001C51BB"/>
    <w:pPr>
      <w:widowControl w:val="0"/>
      <w:autoSpaceDE w:val="0"/>
      <w:autoSpaceDN w:val="0"/>
      <w:adjustRightInd w:val="0"/>
    </w:pPr>
    <w:rPr>
      <w:rFonts w:ascii="宋体" w:eastAsia="宋体" w:hAnsi="Times New Roman" w:cs="宋体"/>
      <w:color w:val="000000"/>
      <w:kern w:val="0"/>
      <w:sz w:val="24"/>
      <w:szCs w:val="24"/>
    </w:rPr>
  </w:style>
  <w:style w:type="paragraph" w:styleId="a5">
    <w:name w:val="Balloon Text"/>
    <w:basedOn w:val="a"/>
    <w:link w:val="Char1"/>
    <w:uiPriority w:val="99"/>
    <w:semiHidden/>
    <w:unhideWhenUsed/>
    <w:rsid w:val="00BF1FA8"/>
    <w:rPr>
      <w:sz w:val="18"/>
      <w:szCs w:val="18"/>
    </w:rPr>
  </w:style>
  <w:style w:type="character" w:customStyle="1" w:styleId="Char1">
    <w:name w:val="批注框文本 Char"/>
    <w:basedOn w:val="a0"/>
    <w:link w:val="a5"/>
    <w:uiPriority w:val="99"/>
    <w:semiHidden/>
    <w:rsid w:val="00BF1FA8"/>
    <w:rPr>
      <w:rFonts w:ascii="Times New Roman" w:eastAsia="宋体" w:hAnsi="Times New Roman" w:cs="Times New Roman"/>
      <w:sz w:val="18"/>
      <w:szCs w:val="18"/>
    </w:rPr>
  </w:style>
  <w:style w:type="character" w:styleId="a6">
    <w:name w:val="annotation reference"/>
    <w:basedOn w:val="a0"/>
    <w:uiPriority w:val="99"/>
    <w:semiHidden/>
    <w:unhideWhenUsed/>
    <w:rsid w:val="00DD25CE"/>
    <w:rPr>
      <w:sz w:val="21"/>
      <w:szCs w:val="21"/>
    </w:rPr>
  </w:style>
  <w:style w:type="paragraph" w:styleId="a7">
    <w:name w:val="annotation text"/>
    <w:basedOn w:val="a"/>
    <w:link w:val="Char2"/>
    <w:uiPriority w:val="99"/>
    <w:semiHidden/>
    <w:unhideWhenUsed/>
    <w:rsid w:val="00DD25CE"/>
    <w:pPr>
      <w:jc w:val="left"/>
    </w:pPr>
  </w:style>
  <w:style w:type="character" w:customStyle="1" w:styleId="Char2">
    <w:name w:val="批注文字 Char"/>
    <w:basedOn w:val="a0"/>
    <w:link w:val="a7"/>
    <w:uiPriority w:val="99"/>
    <w:semiHidden/>
    <w:rsid w:val="00DD25CE"/>
    <w:rPr>
      <w:rFonts w:ascii="Times New Roman" w:eastAsia="宋体" w:hAnsi="Times New Roman" w:cs="Times New Roman"/>
    </w:rPr>
  </w:style>
  <w:style w:type="paragraph" w:styleId="a8">
    <w:name w:val="annotation subject"/>
    <w:basedOn w:val="a7"/>
    <w:next w:val="a7"/>
    <w:link w:val="Char3"/>
    <w:uiPriority w:val="99"/>
    <w:semiHidden/>
    <w:unhideWhenUsed/>
    <w:rsid w:val="00DD25CE"/>
    <w:rPr>
      <w:b/>
      <w:bCs/>
    </w:rPr>
  </w:style>
  <w:style w:type="character" w:customStyle="1" w:styleId="Char3">
    <w:name w:val="批注主题 Char"/>
    <w:basedOn w:val="Char2"/>
    <w:link w:val="a8"/>
    <w:uiPriority w:val="99"/>
    <w:semiHidden/>
    <w:rsid w:val="00DD25CE"/>
    <w:rPr>
      <w:rFonts w:ascii="Times New Roman" w:eastAsia="宋体"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42285117">
      <w:bodyDiv w:val="1"/>
      <w:marLeft w:val="0"/>
      <w:marRight w:val="0"/>
      <w:marTop w:val="0"/>
      <w:marBottom w:val="0"/>
      <w:divBdr>
        <w:top w:val="none" w:sz="0" w:space="0" w:color="auto"/>
        <w:left w:val="none" w:sz="0" w:space="0" w:color="auto"/>
        <w:bottom w:val="none" w:sz="0" w:space="0" w:color="auto"/>
        <w:right w:val="none" w:sz="0" w:space="0" w:color="auto"/>
      </w:divBdr>
    </w:div>
    <w:div w:id="282932047">
      <w:bodyDiv w:val="1"/>
      <w:marLeft w:val="0"/>
      <w:marRight w:val="0"/>
      <w:marTop w:val="0"/>
      <w:marBottom w:val="0"/>
      <w:divBdr>
        <w:top w:val="none" w:sz="0" w:space="0" w:color="auto"/>
        <w:left w:val="none" w:sz="0" w:space="0" w:color="auto"/>
        <w:bottom w:val="none" w:sz="0" w:space="0" w:color="auto"/>
        <w:right w:val="none" w:sz="0" w:space="0" w:color="auto"/>
      </w:divBdr>
    </w:div>
    <w:div w:id="306710787">
      <w:bodyDiv w:val="1"/>
      <w:marLeft w:val="0"/>
      <w:marRight w:val="0"/>
      <w:marTop w:val="0"/>
      <w:marBottom w:val="0"/>
      <w:divBdr>
        <w:top w:val="none" w:sz="0" w:space="0" w:color="auto"/>
        <w:left w:val="none" w:sz="0" w:space="0" w:color="auto"/>
        <w:bottom w:val="none" w:sz="0" w:space="0" w:color="auto"/>
        <w:right w:val="none" w:sz="0" w:space="0" w:color="auto"/>
      </w:divBdr>
    </w:div>
    <w:div w:id="323554873">
      <w:bodyDiv w:val="1"/>
      <w:marLeft w:val="0"/>
      <w:marRight w:val="0"/>
      <w:marTop w:val="0"/>
      <w:marBottom w:val="0"/>
      <w:divBdr>
        <w:top w:val="none" w:sz="0" w:space="0" w:color="auto"/>
        <w:left w:val="none" w:sz="0" w:space="0" w:color="auto"/>
        <w:bottom w:val="none" w:sz="0" w:space="0" w:color="auto"/>
        <w:right w:val="none" w:sz="0" w:space="0" w:color="auto"/>
      </w:divBdr>
    </w:div>
    <w:div w:id="413169593">
      <w:bodyDiv w:val="1"/>
      <w:marLeft w:val="0"/>
      <w:marRight w:val="0"/>
      <w:marTop w:val="0"/>
      <w:marBottom w:val="0"/>
      <w:divBdr>
        <w:top w:val="none" w:sz="0" w:space="0" w:color="auto"/>
        <w:left w:val="none" w:sz="0" w:space="0" w:color="auto"/>
        <w:bottom w:val="none" w:sz="0" w:space="0" w:color="auto"/>
        <w:right w:val="none" w:sz="0" w:space="0" w:color="auto"/>
      </w:divBdr>
    </w:div>
    <w:div w:id="414714143">
      <w:bodyDiv w:val="1"/>
      <w:marLeft w:val="0"/>
      <w:marRight w:val="0"/>
      <w:marTop w:val="0"/>
      <w:marBottom w:val="0"/>
      <w:divBdr>
        <w:top w:val="none" w:sz="0" w:space="0" w:color="auto"/>
        <w:left w:val="none" w:sz="0" w:space="0" w:color="auto"/>
        <w:bottom w:val="none" w:sz="0" w:space="0" w:color="auto"/>
        <w:right w:val="none" w:sz="0" w:space="0" w:color="auto"/>
      </w:divBdr>
    </w:div>
    <w:div w:id="436171127">
      <w:bodyDiv w:val="1"/>
      <w:marLeft w:val="0"/>
      <w:marRight w:val="0"/>
      <w:marTop w:val="0"/>
      <w:marBottom w:val="0"/>
      <w:divBdr>
        <w:top w:val="none" w:sz="0" w:space="0" w:color="auto"/>
        <w:left w:val="none" w:sz="0" w:space="0" w:color="auto"/>
        <w:bottom w:val="none" w:sz="0" w:space="0" w:color="auto"/>
        <w:right w:val="none" w:sz="0" w:space="0" w:color="auto"/>
      </w:divBdr>
    </w:div>
    <w:div w:id="448165911">
      <w:bodyDiv w:val="1"/>
      <w:marLeft w:val="0"/>
      <w:marRight w:val="0"/>
      <w:marTop w:val="0"/>
      <w:marBottom w:val="0"/>
      <w:divBdr>
        <w:top w:val="none" w:sz="0" w:space="0" w:color="auto"/>
        <w:left w:val="none" w:sz="0" w:space="0" w:color="auto"/>
        <w:bottom w:val="none" w:sz="0" w:space="0" w:color="auto"/>
        <w:right w:val="none" w:sz="0" w:space="0" w:color="auto"/>
      </w:divBdr>
    </w:div>
    <w:div w:id="454254143">
      <w:bodyDiv w:val="1"/>
      <w:marLeft w:val="0"/>
      <w:marRight w:val="0"/>
      <w:marTop w:val="0"/>
      <w:marBottom w:val="0"/>
      <w:divBdr>
        <w:top w:val="none" w:sz="0" w:space="0" w:color="auto"/>
        <w:left w:val="none" w:sz="0" w:space="0" w:color="auto"/>
        <w:bottom w:val="none" w:sz="0" w:space="0" w:color="auto"/>
        <w:right w:val="none" w:sz="0" w:space="0" w:color="auto"/>
      </w:divBdr>
    </w:div>
    <w:div w:id="500005118">
      <w:bodyDiv w:val="1"/>
      <w:marLeft w:val="0"/>
      <w:marRight w:val="0"/>
      <w:marTop w:val="0"/>
      <w:marBottom w:val="0"/>
      <w:divBdr>
        <w:top w:val="none" w:sz="0" w:space="0" w:color="auto"/>
        <w:left w:val="none" w:sz="0" w:space="0" w:color="auto"/>
        <w:bottom w:val="none" w:sz="0" w:space="0" w:color="auto"/>
        <w:right w:val="none" w:sz="0" w:space="0" w:color="auto"/>
      </w:divBdr>
    </w:div>
    <w:div w:id="717825827">
      <w:bodyDiv w:val="1"/>
      <w:marLeft w:val="0"/>
      <w:marRight w:val="0"/>
      <w:marTop w:val="0"/>
      <w:marBottom w:val="0"/>
      <w:divBdr>
        <w:top w:val="none" w:sz="0" w:space="0" w:color="auto"/>
        <w:left w:val="none" w:sz="0" w:space="0" w:color="auto"/>
        <w:bottom w:val="none" w:sz="0" w:space="0" w:color="auto"/>
        <w:right w:val="none" w:sz="0" w:space="0" w:color="auto"/>
      </w:divBdr>
    </w:div>
    <w:div w:id="734472391">
      <w:bodyDiv w:val="1"/>
      <w:marLeft w:val="0"/>
      <w:marRight w:val="0"/>
      <w:marTop w:val="0"/>
      <w:marBottom w:val="0"/>
      <w:divBdr>
        <w:top w:val="none" w:sz="0" w:space="0" w:color="auto"/>
        <w:left w:val="none" w:sz="0" w:space="0" w:color="auto"/>
        <w:bottom w:val="none" w:sz="0" w:space="0" w:color="auto"/>
        <w:right w:val="none" w:sz="0" w:space="0" w:color="auto"/>
      </w:divBdr>
    </w:div>
    <w:div w:id="739403295">
      <w:bodyDiv w:val="1"/>
      <w:marLeft w:val="0"/>
      <w:marRight w:val="0"/>
      <w:marTop w:val="0"/>
      <w:marBottom w:val="0"/>
      <w:divBdr>
        <w:top w:val="none" w:sz="0" w:space="0" w:color="auto"/>
        <w:left w:val="none" w:sz="0" w:space="0" w:color="auto"/>
        <w:bottom w:val="none" w:sz="0" w:space="0" w:color="auto"/>
        <w:right w:val="none" w:sz="0" w:space="0" w:color="auto"/>
      </w:divBdr>
    </w:div>
    <w:div w:id="784928821">
      <w:bodyDiv w:val="1"/>
      <w:marLeft w:val="0"/>
      <w:marRight w:val="0"/>
      <w:marTop w:val="0"/>
      <w:marBottom w:val="0"/>
      <w:divBdr>
        <w:top w:val="none" w:sz="0" w:space="0" w:color="auto"/>
        <w:left w:val="none" w:sz="0" w:space="0" w:color="auto"/>
        <w:bottom w:val="none" w:sz="0" w:space="0" w:color="auto"/>
        <w:right w:val="none" w:sz="0" w:space="0" w:color="auto"/>
      </w:divBdr>
    </w:div>
    <w:div w:id="786850462">
      <w:bodyDiv w:val="1"/>
      <w:marLeft w:val="0"/>
      <w:marRight w:val="0"/>
      <w:marTop w:val="0"/>
      <w:marBottom w:val="0"/>
      <w:divBdr>
        <w:top w:val="none" w:sz="0" w:space="0" w:color="auto"/>
        <w:left w:val="none" w:sz="0" w:space="0" w:color="auto"/>
        <w:bottom w:val="none" w:sz="0" w:space="0" w:color="auto"/>
        <w:right w:val="none" w:sz="0" w:space="0" w:color="auto"/>
      </w:divBdr>
    </w:div>
    <w:div w:id="790826695">
      <w:bodyDiv w:val="1"/>
      <w:marLeft w:val="0"/>
      <w:marRight w:val="0"/>
      <w:marTop w:val="0"/>
      <w:marBottom w:val="0"/>
      <w:divBdr>
        <w:top w:val="none" w:sz="0" w:space="0" w:color="auto"/>
        <w:left w:val="none" w:sz="0" w:space="0" w:color="auto"/>
        <w:bottom w:val="none" w:sz="0" w:space="0" w:color="auto"/>
        <w:right w:val="none" w:sz="0" w:space="0" w:color="auto"/>
      </w:divBdr>
    </w:div>
    <w:div w:id="791168271">
      <w:bodyDiv w:val="1"/>
      <w:marLeft w:val="0"/>
      <w:marRight w:val="0"/>
      <w:marTop w:val="0"/>
      <w:marBottom w:val="0"/>
      <w:divBdr>
        <w:top w:val="none" w:sz="0" w:space="0" w:color="auto"/>
        <w:left w:val="none" w:sz="0" w:space="0" w:color="auto"/>
        <w:bottom w:val="none" w:sz="0" w:space="0" w:color="auto"/>
        <w:right w:val="none" w:sz="0" w:space="0" w:color="auto"/>
      </w:divBdr>
    </w:div>
    <w:div w:id="796488221">
      <w:bodyDiv w:val="1"/>
      <w:marLeft w:val="0"/>
      <w:marRight w:val="0"/>
      <w:marTop w:val="0"/>
      <w:marBottom w:val="0"/>
      <w:divBdr>
        <w:top w:val="none" w:sz="0" w:space="0" w:color="auto"/>
        <w:left w:val="none" w:sz="0" w:space="0" w:color="auto"/>
        <w:bottom w:val="none" w:sz="0" w:space="0" w:color="auto"/>
        <w:right w:val="none" w:sz="0" w:space="0" w:color="auto"/>
      </w:divBdr>
    </w:div>
    <w:div w:id="869957232">
      <w:bodyDiv w:val="1"/>
      <w:marLeft w:val="0"/>
      <w:marRight w:val="0"/>
      <w:marTop w:val="0"/>
      <w:marBottom w:val="0"/>
      <w:divBdr>
        <w:top w:val="none" w:sz="0" w:space="0" w:color="auto"/>
        <w:left w:val="none" w:sz="0" w:space="0" w:color="auto"/>
        <w:bottom w:val="none" w:sz="0" w:space="0" w:color="auto"/>
        <w:right w:val="none" w:sz="0" w:space="0" w:color="auto"/>
      </w:divBdr>
    </w:div>
    <w:div w:id="923220742">
      <w:bodyDiv w:val="1"/>
      <w:marLeft w:val="0"/>
      <w:marRight w:val="0"/>
      <w:marTop w:val="0"/>
      <w:marBottom w:val="0"/>
      <w:divBdr>
        <w:top w:val="none" w:sz="0" w:space="0" w:color="auto"/>
        <w:left w:val="none" w:sz="0" w:space="0" w:color="auto"/>
        <w:bottom w:val="none" w:sz="0" w:space="0" w:color="auto"/>
        <w:right w:val="none" w:sz="0" w:space="0" w:color="auto"/>
      </w:divBdr>
    </w:div>
    <w:div w:id="924654656">
      <w:bodyDiv w:val="1"/>
      <w:marLeft w:val="0"/>
      <w:marRight w:val="0"/>
      <w:marTop w:val="0"/>
      <w:marBottom w:val="0"/>
      <w:divBdr>
        <w:top w:val="none" w:sz="0" w:space="0" w:color="auto"/>
        <w:left w:val="none" w:sz="0" w:space="0" w:color="auto"/>
        <w:bottom w:val="none" w:sz="0" w:space="0" w:color="auto"/>
        <w:right w:val="none" w:sz="0" w:space="0" w:color="auto"/>
      </w:divBdr>
    </w:div>
    <w:div w:id="936790313">
      <w:bodyDiv w:val="1"/>
      <w:marLeft w:val="0"/>
      <w:marRight w:val="0"/>
      <w:marTop w:val="0"/>
      <w:marBottom w:val="0"/>
      <w:divBdr>
        <w:top w:val="none" w:sz="0" w:space="0" w:color="auto"/>
        <w:left w:val="none" w:sz="0" w:space="0" w:color="auto"/>
        <w:bottom w:val="none" w:sz="0" w:space="0" w:color="auto"/>
        <w:right w:val="none" w:sz="0" w:space="0" w:color="auto"/>
      </w:divBdr>
    </w:div>
    <w:div w:id="968320047">
      <w:bodyDiv w:val="1"/>
      <w:marLeft w:val="0"/>
      <w:marRight w:val="0"/>
      <w:marTop w:val="0"/>
      <w:marBottom w:val="0"/>
      <w:divBdr>
        <w:top w:val="none" w:sz="0" w:space="0" w:color="auto"/>
        <w:left w:val="none" w:sz="0" w:space="0" w:color="auto"/>
        <w:bottom w:val="none" w:sz="0" w:space="0" w:color="auto"/>
        <w:right w:val="none" w:sz="0" w:space="0" w:color="auto"/>
      </w:divBdr>
    </w:div>
    <w:div w:id="1011297863">
      <w:bodyDiv w:val="1"/>
      <w:marLeft w:val="0"/>
      <w:marRight w:val="0"/>
      <w:marTop w:val="0"/>
      <w:marBottom w:val="0"/>
      <w:divBdr>
        <w:top w:val="none" w:sz="0" w:space="0" w:color="auto"/>
        <w:left w:val="none" w:sz="0" w:space="0" w:color="auto"/>
        <w:bottom w:val="none" w:sz="0" w:space="0" w:color="auto"/>
        <w:right w:val="none" w:sz="0" w:space="0" w:color="auto"/>
      </w:divBdr>
    </w:div>
    <w:div w:id="1025247946">
      <w:bodyDiv w:val="1"/>
      <w:marLeft w:val="0"/>
      <w:marRight w:val="0"/>
      <w:marTop w:val="0"/>
      <w:marBottom w:val="0"/>
      <w:divBdr>
        <w:top w:val="none" w:sz="0" w:space="0" w:color="auto"/>
        <w:left w:val="none" w:sz="0" w:space="0" w:color="auto"/>
        <w:bottom w:val="none" w:sz="0" w:space="0" w:color="auto"/>
        <w:right w:val="none" w:sz="0" w:space="0" w:color="auto"/>
      </w:divBdr>
    </w:div>
    <w:div w:id="1033582310">
      <w:bodyDiv w:val="1"/>
      <w:marLeft w:val="0"/>
      <w:marRight w:val="0"/>
      <w:marTop w:val="0"/>
      <w:marBottom w:val="0"/>
      <w:divBdr>
        <w:top w:val="none" w:sz="0" w:space="0" w:color="auto"/>
        <w:left w:val="none" w:sz="0" w:space="0" w:color="auto"/>
        <w:bottom w:val="none" w:sz="0" w:space="0" w:color="auto"/>
        <w:right w:val="none" w:sz="0" w:space="0" w:color="auto"/>
      </w:divBdr>
    </w:div>
    <w:div w:id="1128859026">
      <w:bodyDiv w:val="1"/>
      <w:marLeft w:val="0"/>
      <w:marRight w:val="0"/>
      <w:marTop w:val="0"/>
      <w:marBottom w:val="0"/>
      <w:divBdr>
        <w:top w:val="none" w:sz="0" w:space="0" w:color="auto"/>
        <w:left w:val="none" w:sz="0" w:space="0" w:color="auto"/>
        <w:bottom w:val="none" w:sz="0" w:space="0" w:color="auto"/>
        <w:right w:val="none" w:sz="0" w:space="0" w:color="auto"/>
      </w:divBdr>
    </w:div>
    <w:div w:id="1182090213">
      <w:bodyDiv w:val="1"/>
      <w:marLeft w:val="0"/>
      <w:marRight w:val="0"/>
      <w:marTop w:val="0"/>
      <w:marBottom w:val="0"/>
      <w:divBdr>
        <w:top w:val="none" w:sz="0" w:space="0" w:color="auto"/>
        <w:left w:val="none" w:sz="0" w:space="0" w:color="auto"/>
        <w:bottom w:val="none" w:sz="0" w:space="0" w:color="auto"/>
        <w:right w:val="none" w:sz="0" w:space="0" w:color="auto"/>
      </w:divBdr>
    </w:div>
    <w:div w:id="1206142319">
      <w:bodyDiv w:val="1"/>
      <w:marLeft w:val="0"/>
      <w:marRight w:val="0"/>
      <w:marTop w:val="0"/>
      <w:marBottom w:val="0"/>
      <w:divBdr>
        <w:top w:val="none" w:sz="0" w:space="0" w:color="auto"/>
        <w:left w:val="none" w:sz="0" w:space="0" w:color="auto"/>
        <w:bottom w:val="none" w:sz="0" w:space="0" w:color="auto"/>
        <w:right w:val="none" w:sz="0" w:space="0" w:color="auto"/>
      </w:divBdr>
    </w:div>
    <w:div w:id="1208419279">
      <w:bodyDiv w:val="1"/>
      <w:marLeft w:val="0"/>
      <w:marRight w:val="0"/>
      <w:marTop w:val="0"/>
      <w:marBottom w:val="0"/>
      <w:divBdr>
        <w:top w:val="none" w:sz="0" w:space="0" w:color="auto"/>
        <w:left w:val="none" w:sz="0" w:space="0" w:color="auto"/>
        <w:bottom w:val="none" w:sz="0" w:space="0" w:color="auto"/>
        <w:right w:val="none" w:sz="0" w:space="0" w:color="auto"/>
      </w:divBdr>
    </w:div>
    <w:div w:id="1324552970">
      <w:bodyDiv w:val="1"/>
      <w:marLeft w:val="0"/>
      <w:marRight w:val="0"/>
      <w:marTop w:val="0"/>
      <w:marBottom w:val="0"/>
      <w:divBdr>
        <w:top w:val="none" w:sz="0" w:space="0" w:color="auto"/>
        <w:left w:val="none" w:sz="0" w:space="0" w:color="auto"/>
        <w:bottom w:val="none" w:sz="0" w:space="0" w:color="auto"/>
        <w:right w:val="none" w:sz="0" w:space="0" w:color="auto"/>
      </w:divBdr>
    </w:div>
    <w:div w:id="1369600346">
      <w:bodyDiv w:val="1"/>
      <w:marLeft w:val="0"/>
      <w:marRight w:val="0"/>
      <w:marTop w:val="0"/>
      <w:marBottom w:val="0"/>
      <w:divBdr>
        <w:top w:val="none" w:sz="0" w:space="0" w:color="auto"/>
        <w:left w:val="none" w:sz="0" w:space="0" w:color="auto"/>
        <w:bottom w:val="none" w:sz="0" w:space="0" w:color="auto"/>
        <w:right w:val="none" w:sz="0" w:space="0" w:color="auto"/>
      </w:divBdr>
    </w:div>
    <w:div w:id="1384983855">
      <w:bodyDiv w:val="1"/>
      <w:marLeft w:val="0"/>
      <w:marRight w:val="0"/>
      <w:marTop w:val="0"/>
      <w:marBottom w:val="0"/>
      <w:divBdr>
        <w:top w:val="none" w:sz="0" w:space="0" w:color="auto"/>
        <w:left w:val="none" w:sz="0" w:space="0" w:color="auto"/>
        <w:bottom w:val="none" w:sz="0" w:space="0" w:color="auto"/>
        <w:right w:val="none" w:sz="0" w:space="0" w:color="auto"/>
      </w:divBdr>
    </w:div>
    <w:div w:id="1417899724">
      <w:bodyDiv w:val="1"/>
      <w:marLeft w:val="0"/>
      <w:marRight w:val="0"/>
      <w:marTop w:val="0"/>
      <w:marBottom w:val="0"/>
      <w:divBdr>
        <w:top w:val="none" w:sz="0" w:space="0" w:color="auto"/>
        <w:left w:val="none" w:sz="0" w:space="0" w:color="auto"/>
        <w:bottom w:val="none" w:sz="0" w:space="0" w:color="auto"/>
        <w:right w:val="none" w:sz="0" w:space="0" w:color="auto"/>
      </w:divBdr>
    </w:div>
    <w:div w:id="1457062318">
      <w:bodyDiv w:val="1"/>
      <w:marLeft w:val="0"/>
      <w:marRight w:val="0"/>
      <w:marTop w:val="0"/>
      <w:marBottom w:val="0"/>
      <w:divBdr>
        <w:top w:val="none" w:sz="0" w:space="0" w:color="auto"/>
        <w:left w:val="none" w:sz="0" w:space="0" w:color="auto"/>
        <w:bottom w:val="none" w:sz="0" w:space="0" w:color="auto"/>
        <w:right w:val="none" w:sz="0" w:space="0" w:color="auto"/>
      </w:divBdr>
    </w:div>
    <w:div w:id="1510099618">
      <w:bodyDiv w:val="1"/>
      <w:marLeft w:val="0"/>
      <w:marRight w:val="0"/>
      <w:marTop w:val="0"/>
      <w:marBottom w:val="0"/>
      <w:divBdr>
        <w:top w:val="none" w:sz="0" w:space="0" w:color="auto"/>
        <w:left w:val="none" w:sz="0" w:space="0" w:color="auto"/>
        <w:bottom w:val="none" w:sz="0" w:space="0" w:color="auto"/>
        <w:right w:val="none" w:sz="0" w:space="0" w:color="auto"/>
      </w:divBdr>
    </w:div>
    <w:div w:id="1511263318">
      <w:bodyDiv w:val="1"/>
      <w:marLeft w:val="0"/>
      <w:marRight w:val="0"/>
      <w:marTop w:val="0"/>
      <w:marBottom w:val="0"/>
      <w:divBdr>
        <w:top w:val="none" w:sz="0" w:space="0" w:color="auto"/>
        <w:left w:val="none" w:sz="0" w:space="0" w:color="auto"/>
        <w:bottom w:val="none" w:sz="0" w:space="0" w:color="auto"/>
        <w:right w:val="none" w:sz="0" w:space="0" w:color="auto"/>
      </w:divBdr>
    </w:div>
    <w:div w:id="1564947520">
      <w:bodyDiv w:val="1"/>
      <w:marLeft w:val="0"/>
      <w:marRight w:val="0"/>
      <w:marTop w:val="0"/>
      <w:marBottom w:val="0"/>
      <w:divBdr>
        <w:top w:val="none" w:sz="0" w:space="0" w:color="auto"/>
        <w:left w:val="none" w:sz="0" w:space="0" w:color="auto"/>
        <w:bottom w:val="none" w:sz="0" w:space="0" w:color="auto"/>
        <w:right w:val="none" w:sz="0" w:space="0" w:color="auto"/>
      </w:divBdr>
    </w:div>
    <w:div w:id="1616982382">
      <w:bodyDiv w:val="1"/>
      <w:marLeft w:val="0"/>
      <w:marRight w:val="0"/>
      <w:marTop w:val="0"/>
      <w:marBottom w:val="0"/>
      <w:divBdr>
        <w:top w:val="none" w:sz="0" w:space="0" w:color="auto"/>
        <w:left w:val="none" w:sz="0" w:space="0" w:color="auto"/>
        <w:bottom w:val="none" w:sz="0" w:space="0" w:color="auto"/>
        <w:right w:val="none" w:sz="0" w:space="0" w:color="auto"/>
      </w:divBdr>
    </w:div>
    <w:div w:id="1617562972">
      <w:bodyDiv w:val="1"/>
      <w:marLeft w:val="0"/>
      <w:marRight w:val="0"/>
      <w:marTop w:val="0"/>
      <w:marBottom w:val="0"/>
      <w:divBdr>
        <w:top w:val="none" w:sz="0" w:space="0" w:color="auto"/>
        <w:left w:val="none" w:sz="0" w:space="0" w:color="auto"/>
        <w:bottom w:val="none" w:sz="0" w:space="0" w:color="auto"/>
        <w:right w:val="none" w:sz="0" w:space="0" w:color="auto"/>
      </w:divBdr>
    </w:div>
    <w:div w:id="1618564078">
      <w:bodyDiv w:val="1"/>
      <w:marLeft w:val="0"/>
      <w:marRight w:val="0"/>
      <w:marTop w:val="0"/>
      <w:marBottom w:val="0"/>
      <w:divBdr>
        <w:top w:val="none" w:sz="0" w:space="0" w:color="auto"/>
        <w:left w:val="none" w:sz="0" w:space="0" w:color="auto"/>
        <w:bottom w:val="none" w:sz="0" w:space="0" w:color="auto"/>
        <w:right w:val="none" w:sz="0" w:space="0" w:color="auto"/>
      </w:divBdr>
    </w:div>
    <w:div w:id="1688098722">
      <w:bodyDiv w:val="1"/>
      <w:marLeft w:val="0"/>
      <w:marRight w:val="0"/>
      <w:marTop w:val="0"/>
      <w:marBottom w:val="0"/>
      <w:divBdr>
        <w:top w:val="none" w:sz="0" w:space="0" w:color="auto"/>
        <w:left w:val="none" w:sz="0" w:space="0" w:color="auto"/>
        <w:bottom w:val="none" w:sz="0" w:space="0" w:color="auto"/>
        <w:right w:val="none" w:sz="0" w:space="0" w:color="auto"/>
      </w:divBdr>
    </w:div>
    <w:div w:id="1729498526">
      <w:bodyDiv w:val="1"/>
      <w:marLeft w:val="0"/>
      <w:marRight w:val="0"/>
      <w:marTop w:val="0"/>
      <w:marBottom w:val="0"/>
      <w:divBdr>
        <w:top w:val="none" w:sz="0" w:space="0" w:color="auto"/>
        <w:left w:val="none" w:sz="0" w:space="0" w:color="auto"/>
        <w:bottom w:val="none" w:sz="0" w:space="0" w:color="auto"/>
        <w:right w:val="none" w:sz="0" w:space="0" w:color="auto"/>
      </w:divBdr>
    </w:div>
    <w:div w:id="1769815157">
      <w:bodyDiv w:val="1"/>
      <w:marLeft w:val="0"/>
      <w:marRight w:val="0"/>
      <w:marTop w:val="0"/>
      <w:marBottom w:val="0"/>
      <w:divBdr>
        <w:top w:val="none" w:sz="0" w:space="0" w:color="auto"/>
        <w:left w:val="none" w:sz="0" w:space="0" w:color="auto"/>
        <w:bottom w:val="none" w:sz="0" w:space="0" w:color="auto"/>
        <w:right w:val="none" w:sz="0" w:space="0" w:color="auto"/>
      </w:divBdr>
    </w:div>
    <w:div w:id="1800756168">
      <w:bodyDiv w:val="1"/>
      <w:marLeft w:val="0"/>
      <w:marRight w:val="0"/>
      <w:marTop w:val="0"/>
      <w:marBottom w:val="0"/>
      <w:divBdr>
        <w:top w:val="none" w:sz="0" w:space="0" w:color="auto"/>
        <w:left w:val="none" w:sz="0" w:space="0" w:color="auto"/>
        <w:bottom w:val="none" w:sz="0" w:space="0" w:color="auto"/>
        <w:right w:val="none" w:sz="0" w:space="0" w:color="auto"/>
      </w:divBdr>
    </w:div>
    <w:div w:id="1809591957">
      <w:bodyDiv w:val="1"/>
      <w:marLeft w:val="0"/>
      <w:marRight w:val="0"/>
      <w:marTop w:val="0"/>
      <w:marBottom w:val="0"/>
      <w:divBdr>
        <w:top w:val="none" w:sz="0" w:space="0" w:color="auto"/>
        <w:left w:val="none" w:sz="0" w:space="0" w:color="auto"/>
        <w:bottom w:val="none" w:sz="0" w:space="0" w:color="auto"/>
        <w:right w:val="none" w:sz="0" w:space="0" w:color="auto"/>
      </w:divBdr>
    </w:div>
    <w:div w:id="1909653544">
      <w:bodyDiv w:val="1"/>
      <w:marLeft w:val="0"/>
      <w:marRight w:val="0"/>
      <w:marTop w:val="0"/>
      <w:marBottom w:val="0"/>
      <w:divBdr>
        <w:top w:val="none" w:sz="0" w:space="0" w:color="auto"/>
        <w:left w:val="none" w:sz="0" w:space="0" w:color="auto"/>
        <w:bottom w:val="none" w:sz="0" w:space="0" w:color="auto"/>
        <w:right w:val="none" w:sz="0" w:space="0" w:color="auto"/>
      </w:divBdr>
    </w:div>
    <w:div w:id="1978147644">
      <w:bodyDiv w:val="1"/>
      <w:marLeft w:val="0"/>
      <w:marRight w:val="0"/>
      <w:marTop w:val="0"/>
      <w:marBottom w:val="0"/>
      <w:divBdr>
        <w:top w:val="none" w:sz="0" w:space="0" w:color="auto"/>
        <w:left w:val="none" w:sz="0" w:space="0" w:color="auto"/>
        <w:bottom w:val="none" w:sz="0" w:space="0" w:color="auto"/>
        <w:right w:val="none" w:sz="0" w:space="0" w:color="auto"/>
      </w:divBdr>
    </w:div>
    <w:div w:id="2022118569">
      <w:bodyDiv w:val="1"/>
      <w:marLeft w:val="0"/>
      <w:marRight w:val="0"/>
      <w:marTop w:val="0"/>
      <w:marBottom w:val="0"/>
      <w:divBdr>
        <w:top w:val="none" w:sz="0" w:space="0" w:color="auto"/>
        <w:left w:val="none" w:sz="0" w:space="0" w:color="auto"/>
        <w:bottom w:val="none" w:sz="0" w:space="0" w:color="auto"/>
        <w:right w:val="none" w:sz="0" w:space="0" w:color="auto"/>
      </w:divBdr>
    </w:div>
    <w:div w:id="2087457545">
      <w:bodyDiv w:val="1"/>
      <w:marLeft w:val="0"/>
      <w:marRight w:val="0"/>
      <w:marTop w:val="0"/>
      <w:marBottom w:val="0"/>
      <w:divBdr>
        <w:top w:val="none" w:sz="0" w:space="0" w:color="auto"/>
        <w:left w:val="none" w:sz="0" w:space="0" w:color="auto"/>
        <w:bottom w:val="none" w:sz="0" w:space="0" w:color="auto"/>
        <w:right w:val="none" w:sz="0" w:space="0" w:color="auto"/>
      </w:divBdr>
    </w:div>
    <w:div w:id="21184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0DA0-AC79-4282-90EC-9905092C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2113</Characters>
  <Application>Microsoft Office Word</Application>
  <DocSecurity>4</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陈杰</dc:creator>
  <cp:keywords/>
  <dc:description/>
  <cp:lastModifiedBy>ZHONGM</cp:lastModifiedBy>
  <cp:revision>2</cp:revision>
  <dcterms:created xsi:type="dcterms:W3CDTF">2025-02-27T16:01:00Z</dcterms:created>
  <dcterms:modified xsi:type="dcterms:W3CDTF">2025-02-27T16:01:00Z</dcterms:modified>
</cp:coreProperties>
</file>