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F81" w:rsidRDefault="00076F81" w:rsidP="00076F81">
      <w:pPr>
        <w:adjustRightInd w:val="0"/>
        <w:snapToGrid w:val="0"/>
        <w:spacing w:line="360" w:lineRule="auto"/>
        <w:jc w:val="center"/>
        <w:rPr>
          <w:rFonts w:ascii="Times New Roman" w:eastAsia="宋体" w:hAnsi="Times New Roman" w:cs="Times New Roman"/>
          <w:b/>
          <w:szCs w:val="24"/>
        </w:rPr>
      </w:pPr>
      <w:r w:rsidRPr="00076F81">
        <w:rPr>
          <w:rFonts w:ascii="Times New Roman" w:eastAsia="宋体" w:hAnsi="Times New Roman" w:cs="Times New Roman" w:hint="eastAsia"/>
          <w:b/>
          <w:szCs w:val="24"/>
        </w:rPr>
        <w:t>招商基金管理有限公司关于招商增浩一年定期开放混合型证券投资基金触发转型条款</w:t>
      </w:r>
    </w:p>
    <w:p w:rsidR="00076F81" w:rsidRPr="00076F81" w:rsidRDefault="00076F81" w:rsidP="00076F81">
      <w:pPr>
        <w:adjustRightInd w:val="0"/>
        <w:snapToGrid w:val="0"/>
        <w:spacing w:line="360" w:lineRule="auto"/>
        <w:jc w:val="center"/>
        <w:rPr>
          <w:rFonts w:ascii="Times New Roman" w:eastAsia="宋体" w:hAnsi="Times New Roman" w:cs="Times New Roman"/>
          <w:b/>
          <w:szCs w:val="24"/>
        </w:rPr>
      </w:pPr>
      <w:r w:rsidRPr="00076F81">
        <w:rPr>
          <w:rFonts w:ascii="Times New Roman" w:eastAsia="宋体" w:hAnsi="Times New Roman" w:cs="Times New Roman" w:hint="eastAsia"/>
          <w:b/>
          <w:szCs w:val="24"/>
        </w:rPr>
        <w:t>并实施转型的公告</w:t>
      </w:r>
    </w:p>
    <w:p w:rsidR="00076F81" w:rsidRDefault="00076F81" w:rsidP="00076F81">
      <w:pPr>
        <w:adjustRightInd w:val="0"/>
        <w:snapToGrid w:val="0"/>
        <w:spacing w:line="360" w:lineRule="auto"/>
        <w:ind w:firstLineChars="200" w:firstLine="420"/>
        <w:rPr>
          <w:rFonts w:ascii="Times New Roman" w:eastAsia="宋体" w:hAnsi="Times New Roman" w:cs="Times New Roman"/>
          <w:szCs w:val="24"/>
        </w:rPr>
      </w:pPr>
    </w:p>
    <w:p w:rsidR="00076F81" w:rsidRPr="00076F81" w:rsidRDefault="00706FE6" w:rsidP="002E1BC7">
      <w:pPr>
        <w:adjustRightInd w:val="0"/>
        <w:snapToGrid w:val="0"/>
        <w:spacing w:line="360" w:lineRule="auto"/>
        <w:ind w:firstLineChars="200" w:firstLine="420"/>
        <w:rPr>
          <w:rFonts w:ascii="Times New Roman" w:eastAsia="宋体" w:hAnsi="Times New Roman" w:cs="Times New Roman"/>
          <w:szCs w:val="24"/>
        </w:rPr>
      </w:pPr>
      <w:r w:rsidRPr="00706FE6">
        <w:rPr>
          <w:rFonts w:ascii="Times New Roman" w:eastAsia="宋体" w:hAnsi="Times New Roman" w:cs="Times New Roman" w:hint="eastAsia"/>
          <w:szCs w:val="24"/>
        </w:rPr>
        <w:t>招商增浩一年定期开放混合型证券投资基金</w:t>
      </w:r>
      <w:r w:rsidR="00076F81" w:rsidRPr="00076F81">
        <w:rPr>
          <w:rFonts w:ascii="Times New Roman" w:eastAsia="宋体" w:hAnsi="Times New Roman" w:cs="Times New Roman" w:hint="eastAsia"/>
          <w:szCs w:val="24"/>
        </w:rPr>
        <w:t>（以下简称“本基金”，基金代码：</w:t>
      </w:r>
      <w:r w:rsidR="00076F81" w:rsidRPr="00076F81">
        <w:rPr>
          <w:rFonts w:ascii="Times New Roman" w:eastAsia="宋体" w:hAnsi="Times New Roman" w:cs="Times New Roman" w:hint="eastAsia"/>
          <w:szCs w:val="24"/>
        </w:rPr>
        <w:t>00</w:t>
      </w:r>
      <w:r>
        <w:rPr>
          <w:rFonts w:ascii="Times New Roman" w:eastAsia="宋体" w:hAnsi="Times New Roman" w:cs="Times New Roman"/>
          <w:szCs w:val="24"/>
        </w:rPr>
        <w:t>9718</w:t>
      </w:r>
      <w:r w:rsidR="00076F81" w:rsidRPr="00076F81">
        <w:rPr>
          <w:rFonts w:ascii="Times New Roman" w:eastAsia="宋体" w:hAnsi="Times New Roman" w:cs="Times New Roman" w:hint="eastAsia"/>
          <w:szCs w:val="24"/>
        </w:rPr>
        <w:t>）基金合同自</w:t>
      </w:r>
      <w:r w:rsidR="00076F81" w:rsidRPr="00076F81">
        <w:rPr>
          <w:rFonts w:ascii="Times New Roman" w:eastAsia="宋体" w:hAnsi="Times New Roman" w:cs="Times New Roman" w:hint="eastAsia"/>
          <w:szCs w:val="24"/>
        </w:rPr>
        <w:t>20</w:t>
      </w:r>
      <w:r>
        <w:rPr>
          <w:rFonts w:ascii="Times New Roman" w:eastAsia="宋体" w:hAnsi="Times New Roman" w:cs="Times New Roman"/>
          <w:szCs w:val="24"/>
        </w:rPr>
        <w:t>20</w:t>
      </w:r>
      <w:r w:rsidR="00076F81" w:rsidRPr="00076F81">
        <w:rPr>
          <w:rFonts w:ascii="Times New Roman" w:eastAsia="宋体" w:hAnsi="Times New Roman" w:cs="Times New Roman" w:hint="eastAsia"/>
          <w:szCs w:val="24"/>
        </w:rPr>
        <w:t>年</w:t>
      </w:r>
      <w:r>
        <w:rPr>
          <w:rFonts w:ascii="Times New Roman" w:eastAsia="宋体" w:hAnsi="Times New Roman" w:cs="Times New Roman"/>
          <w:szCs w:val="24"/>
        </w:rPr>
        <w:t>12</w:t>
      </w:r>
      <w:r w:rsidR="00076F81" w:rsidRPr="00076F81">
        <w:rPr>
          <w:rFonts w:ascii="Times New Roman" w:eastAsia="宋体" w:hAnsi="Times New Roman" w:cs="Times New Roman" w:hint="eastAsia"/>
          <w:szCs w:val="24"/>
        </w:rPr>
        <w:t>月</w:t>
      </w:r>
      <w:r>
        <w:rPr>
          <w:rFonts w:ascii="Times New Roman" w:eastAsia="宋体" w:hAnsi="Times New Roman" w:cs="Times New Roman" w:hint="eastAsia"/>
          <w:szCs w:val="24"/>
        </w:rPr>
        <w:t>1</w:t>
      </w:r>
      <w:r w:rsidR="00076F81" w:rsidRPr="00076F81">
        <w:rPr>
          <w:rFonts w:ascii="Times New Roman" w:eastAsia="宋体" w:hAnsi="Times New Roman" w:cs="Times New Roman" w:hint="eastAsia"/>
          <w:szCs w:val="24"/>
        </w:rPr>
        <w:t>日起生效，</w:t>
      </w:r>
      <w:r>
        <w:rPr>
          <w:rFonts w:ascii="Times New Roman" w:eastAsia="宋体" w:hAnsi="Times New Roman" w:cs="Times New Roman" w:hint="eastAsia"/>
          <w:szCs w:val="24"/>
        </w:rPr>
        <w:t>本基金为</w:t>
      </w:r>
      <w:r w:rsidRPr="00706FE6">
        <w:rPr>
          <w:rFonts w:ascii="Times New Roman" w:eastAsia="宋体" w:hAnsi="Times New Roman" w:cs="Times New Roman" w:hint="eastAsia"/>
          <w:szCs w:val="24"/>
        </w:rPr>
        <w:t>契约型、以定期开放方式运作。本基金以每个封闭期为周期进行投资运作，每个封闭期为一年</w:t>
      </w:r>
      <w:r w:rsidR="002E1BC7">
        <w:rPr>
          <w:rFonts w:ascii="Times New Roman" w:eastAsia="宋体" w:hAnsi="Times New Roman" w:cs="Times New Roman" w:hint="eastAsia"/>
          <w:szCs w:val="24"/>
        </w:rPr>
        <w:t>，</w:t>
      </w:r>
      <w:r w:rsidR="002E1BC7" w:rsidRPr="002E1BC7">
        <w:rPr>
          <w:rFonts w:ascii="Times New Roman" w:eastAsia="宋体" w:hAnsi="Times New Roman" w:cs="Times New Roman" w:hint="eastAsia"/>
          <w:szCs w:val="24"/>
        </w:rPr>
        <w:t>在封闭期内不接受申购、赎回、转换转入、转换转出等交易申请。</w:t>
      </w:r>
      <w:r w:rsidR="00076F81" w:rsidRPr="00076F81">
        <w:rPr>
          <w:rFonts w:ascii="Times New Roman" w:eastAsia="宋体" w:hAnsi="Times New Roman" w:cs="Times New Roman" w:hint="eastAsia"/>
          <w:szCs w:val="24"/>
        </w:rPr>
        <w:t>本基金自</w:t>
      </w:r>
      <w:r w:rsidR="00A50B6F" w:rsidRPr="00076F81">
        <w:rPr>
          <w:rFonts w:ascii="Times New Roman" w:eastAsia="宋体" w:hAnsi="Times New Roman" w:cs="Times New Roman" w:hint="eastAsia"/>
          <w:szCs w:val="24"/>
        </w:rPr>
        <w:t>202</w:t>
      </w:r>
      <w:r w:rsidR="00A50B6F">
        <w:rPr>
          <w:rFonts w:ascii="Times New Roman" w:eastAsia="宋体" w:hAnsi="Times New Roman" w:cs="Times New Roman"/>
          <w:szCs w:val="24"/>
        </w:rPr>
        <w:t>5</w:t>
      </w:r>
      <w:r w:rsidR="00076F81" w:rsidRPr="00076F81">
        <w:rPr>
          <w:rFonts w:ascii="Times New Roman" w:eastAsia="宋体" w:hAnsi="Times New Roman" w:cs="Times New Roman" w:hint="eastAsia"/>
          <w:szCs w:val="24"/>
        </w:rPr>
        <w:t>年</w:t>
      </w:r>
      <w:r w:rsidR="00076F81" w:rsidRPr="00076F81">
        <w:rPr>
          <w:rFonts w:ascii="Times New Roman" w:eastAsia="宋体" w:hAnsi="Times New Roman" w:cs="Times New Roman" w:hint="eastAsia"/>
          <w:szCs w:val="24"/>
        </w:rPr>
        <w:t>1</w:t>
      </w:r>
      <w:r w:rsidR="00076F81" w:rsidRPr="00076F81">
        <w:rPr>
          <w:rFonts w:ascii="Times New Roman" w:eastAsia="宋体" w:hAnsi="Times New Roman" w:cs="Times New Roman" w:hint="eastAsia"/>
          <w:szCs w:val="24"/>
        </w:rPr>
        <w:t>月</w:t>
      </w:r>
      <w:r w:rsidR="00A50B6F" w:rsidRPr="00076F81">
        <w:rPr>
          <w:rFonts w:ascii="Times New Roman" w:eastAsia="宋体" w:hAnsi="Times New Roman" w:cs="Times New Roman" w:hint="eastAsia"/>
          <w:szCs w:val="24"/>
        </w:rPr>
        <w:t>2</w:t>
      </w:r>
      <w:r w:rsidR="00A50B6F">
        <w:rPr>
          <w:rFonts w:ascii="Times New Roman" w:eastAsia="宋体" w:hAnsi="Times New Roman" w:cs="Times New Roman"/>
          <w:szCs w:val="24"/>
        </w:rPr>
        <w:t>0</w:t>
      </w:r>
      <w:r w:rsidR="00076F81" w:rsidRPr="00076F81">
        <w:rPr>
          <w:rFonts w:ascii="Times New Roman" w:eastAsia="宋体" w:hAnsi="Times New Roman" w:cs="Times New Roman" w:hint="eastAsia"/>
          <w:szCs w:val="24"/>
        </w:rPr>
        <w:t>日至</w:t>
      </w:r>
      <w:r w:rsidR="00A50B6F" w:rsidRPr="00076F81">
        <w:rPr>
          <w:rFonts w:ascii="Times New Roman" w:eastAsia="宋体" w:hAnsi="Times New Roman" w:cs="Times New Roman" w:hint="eastAsia"/>
          <w:szCs w:val="24"/>
        </w:rPr>
        <w:t>202</w:t>
      </w:r>
      <w:r w:rsidR="00A50B6F">
        <w:rPr>
          <w:rFonts w:ascii="Times New Roman" w:eastAsia="宋体" w:hAnsi="Times New Roman" w:cs="Times New Roman"/>
          <w:szCs w:val="24"/>
        </w:rPr>
        <w:t>5</w:t>
      </w:r>
      <w:r w:rsidR="00076F81" w:rsidRPr="00076F81">
        <w:rPr>
          <w:rFonts w:ascii="Times New Roman" w:eastAsia="宋体" w:hAnsi="Times New Roman" w:cs="Times New Roman" w:hint="eastAsia"/>
          <w:szCs w:val="24"/>
        </w:rPr>
        <w:t>年</w:t>
      </w:r>
      <w:r w:rsidR="00A50B6F">
        <w:rPr>
          <w:rFonts w:ascii="Times New Roman" w:eastAsia="宋体" w:hAnsi="Times New Roman" w:cs="Times New Roman"/>
          <w:szCs w:val="24"/>
        </w:rPr>
        <w:t>2</w:t>
      </w:r>
      <w:r w:rsidR="00076F81" w:rsidRPr="00076F81">
        <w:rPr>
          <w:rFonts w:ascii="Times New Roman" w:eastAsia="宋体" w:hAnsi="Times New Roman" w:cs="Times New Roman" w:hint="eastAsia"/>
          <w:szCs w:val="24"/>
        </w:rPr>
        <w:t>月</w:t>
      </w:r>
      <w:r w:rsidR="00A50B6F">
        <w:rPr>
          <w:rFonts w:ascii="Times New Roman" w:eastAsia="宋体" w:hAnsi="Times New Roman" w:cs="Times New Roman"/>
          <w:szCs w:val="24"/>
        </w:rPr>
        <w:t>24</w:t>
      </w:r>
      <w:r w:rsidR="00076F81" w:rsidRPr="00076F81">
        <w:rPr>
          <w:rFonts w:ascii="Times New Roman" w:eastAsia="宋体" w:hAnsi="Times New Roman" w:cs="Times New Roman" w:hint="eastAsia"/>
          <w:szCs w:val="24"/>
        </w:rPr>
        <w:t>日</w:t>
      </w:r>
      <w:bookmarkStart w:id="0" w:name="_GoBack"/>
      <w:bookmarkEnd w:id="0"/>
      <w:r w:rsidR="00076F81" w:rsidRPr="00076F81">
        <w:rPr>
          <w:rFonts w:ascii="Times New Roman" w:eastAsia="宋体" w:hAnsi="Times New Roman" w:cs="Times New Roman" w:hint="eastAsia"/>
          <w:szCs w:val="24"/>
        </w:rPr>
        <w:t>（含当日）进入开放期，在开放期内办理申购、赎回与转换业务。</w:t>
      </w:r>
    </w:p>
    <w:p w:rsidR="002E1BC7" w:rsidRDefault="00076F81" w:rsidP="00076F81">
      <w:pPr>
        <w:adjustRightInd w:val="0"/>
        <w:snapToGrid w:val="0"/>
        <w:spacing w:line="360" w:lineRule="auto"/>
        <w:ind w:firstLineChars="200" w:firstLine="420"/>
        <w:rPr>
          <w:rFonts w:ascii="Times New Roman" w:eastAsia="宋体" w:hAnsi="Times New Roman" w:cs="Times New Roman"/>
          <w:szCs w:val="24"/>
        </w:rPr>
      </w:pPr>
      <w:r w:rsidRPr="00076F81">
        <w:rPr>
          <w:rFonts w:ascii="Times New Roman" w:eastAsia="宋体" w:hAnsi="Times New Roman" w:cs="Times New Roman" w:hint="eastAsia"/>
          <w:szCs w:val="24"/>
        </w:rPr>
        <w:t>本基金基金合同规定</w:t>
      </w:r>
      <w:r w:rsidR="002E1BC7">
        <w:rPr>
          <w:rFonts w:ascii="Times New Roman" w:eastAsia="宋体" w:hAnsi="Times New Roman" w:cs="Times New Roman" w:hint="eastAsia"/>
          <w:szCs w:val="24"/>
        </w:rPr>
        <w:t>：</w:t>
      </w:r>
    </w:p>
    <w:p w:rsidR="002E1BC7" w:rsidRDefault="00076F81" w:rsidP="00076F81">
      <w:pPr>
        <w:adjustRightInd w:val="0"/>
        <w:snapToGrid w:val="0"/>
        <w:spacing w:line="360" w:lineRule="auto"/>
        <w:ind w:firstLineChars="200" w:firstLine="420"/>
        <w:rPr>
          <w:rFonts w:ascii="Times New Roman" w:eastAsia="宋体" w:hAnsi="Times New Roman" w:cs="Times New Roman"/>
          <w:szCs w:val="24"/>
        </w:rPr>
      </w:pPr>
      <w:r w:rsidRPr="00076F81">
        <w:rPr>
          <w:rFonts w:ascii="Times New Roman" w:eastAsia="宋体" w:hAnsi="Times New Roman" w:cs="Times New Roman" w:hint="eastAsia"/>
          <w:szCs w:val="24"/>
        </w:rPr>
        <w:t>“</w:t>
      </w:r>
      <w:r w:rsidR="002E1BC7" w:rsidRPr="002E1BC7">
        <w:rPr>
          <w:rFonts w:ascii="Times New Roman" w:eastAsia="宋体" w:hAnsi="Times New Roman" w:cs="Times New Roman" w:hint="eastAsia"/>
          <w:szCs w:val="24"/>
        </w:rPr>
        <w:t>基金合同生效后，在每个开放期届满时，有下列情形之一的，经基金管理人与基金托管人协商一致并履行适当程序后，本基金将转换为“招商增浩混合型证券投资基金”，不再以定期开放的方式运作</w:t>
      </w:r>
      <w:r w:rsidRPr="00076F81">
        <w:rPr>
          <w:rFonts w:ascii="Times New Roman" w:eastAsia="宋体" w:hAnsi="Times New Roman" w:cs="Times New Roman" w:hint="eastAsia"/>
          <w:szCs w:val="24"/>
        </w:rPr>
        <w:t>：</w:t>
      </w:r>
    </w:p>
    <w:p w:rsidR="002E1BC7" w:rsidRDefault="00076F81" w:rsidP="00076F81">
      <w:pPr>
        <w:adjustRightInd w:val="0"/>
        <w:snapToGrid w:val="0"/>
        <w:spacing w:line="360" w:lineRule="auto"/>
        <w:ind w:firstLineChars="200" w:firstLine="420"/>
        <w:rPr>
          <w:rFonts w:ascii="Times New Roman" w:eastAsia="宋体" w:hAnsi="Times New Roman" w:cs="Times New Roman"/>
          <w:szCs w:val="24"/>
        </w:rPr>
      </w:pPr>
      <w:r w:rsidRPr="00076F81">
        <w:rPr>
          <w:rFonts w:ascii="Times New Roman" w:eastAsia="宋体" w:hAnsi="Times New Roman" w:cs="Times New Roman" w:hint="eastAsia"/>
          <w:szCs w:val="24"/>
        </w:rPr>
        <w:t>1</w:t>
      </w:r>
      <w:r w:rsidRPr="00076F81">
        <w:rPr>
          <w:rFonts w:ascii="Times New Roman" w:eastAsia="宋体" w:hAnsi="Times New Roman" w:cs="Times New Roman" w:hint="eastAsia"/>
          <w:szCs w:val="24"/>
        </w:rPr>
        <w:t>、</w:t>
      </w:r>
      <w:r w:rsidR="002E1BC7" w:rsidRPr="002E1BC7">
        <w:rPr>
          <w:rFonts w:ascii="Times New Roman" w:eastAsia="宋体" w:hAnsi="Times New Roman" w:cs="Times New Roman" w:hint="eastAsia"/>
          <w:szCs w:val="24"/>
        </w:rPr>
        <w:t>基金份额持有人数量不满</w:t>
      </w:r>
      <w:r w:rsidR="002E1BC7" w:rsidRPr="002E1BC7">
        <w:rPr>
          <w:rFonts w:ascii="Times New Roman" w:eastAsia="宋体" w:hAnsi="Times New Roman" w:cs="Times New Roman"/>
          <w:szCs w:val="24"/>
        </w:rPr>
        <w:t>200</w:t>
      </w:r>
      <w:r w:rsidR="002E1BC7">
        <w:rPr>
          <w:rFonts w:ascii="Times New Roman" w:eastAsia="宋体" w:hAnsi="Times New Roman" w:cs="Times New Roman"/>
          <w:szCs w:val="24"/>
        </w:rPr>
        <w:t>人</w:t>
      </w:r>
      <w:r w:rsidRPr="00076F81">
        <w:rPr>
          <w:rFonts w:ascii="Times New Roman" w:eastAsia="宋体" w:hAnsi="Times New Roman" w:cs="Times New Roman" w:hint="eastAsia"/>
          <w:szCs w:val="24"/>
        </w:rPr>
        <w:t>。</w:t>
      </w:r>
    </w:p>
    <w:p w:rsidR="002E1BC7" w:rsidRDefault="00076F81" w:rsidP="00076F81">
      <w:pPr>
        <w:adjustRightInd w:val="0"/>
        <w:snapToGrid w:val="0"/>
        <w:spacing w:line="360" w:lineRule="auto"/>
        <w:ind w:firstLineChars="200" w:firstLine="420"/>
        <w:rPr>
          <w:rFonts w:ascii="Times New Roman" w:eastAsia="宋体" w:hAnsi="Times New Roman" w:cs="Times New Roman"/>
          <w:szCs w:val="24"/>
        </w:rPr>
      </w:pPr>
      <w:r w:rsidRPr="00076F81">
        <w:rPr>
          <w:rFonts w:ascii="Times New Roman" w:eastAsia="宋体" w:hAnsi="Times New Roman" w:cs="Times New Roman" w:hint="eastAsia"/>
          <w:szCs w:val="24"/>
        </w:rPr>
        <w:t>2</w:t>
      </w:r>
      <w:r w:rsidRPr="00076F81">
        <w:rPr>
          <w:rFonts w:ascii="Times New Roman" w:eastAsia="宋体" w:hAnsi="Times New Roman" w:cs="Times New Roman" w:hint="eastAsia"/>
          <w:szCs w:val="24"/>
        </w:rPr>
        <w:t>、</w:t>
      </w:r>
      <w:r w:rsidR="002E1BC7" w:rsidRPr="002E1BC7">
        <w:rPr>
          <w:rFonts w:ascii="Times New Roman" w:eastAsia="宋体" w:hAnsi="Times New Roman" w:cs="Times New Roman" w:hint="eastAsia"/>
          <w:szCs w:val="24"/>
        </w:rPr>
        <w:t>基金资产净值低于</w:t>
      </w:r>
      <w:r w:rsidR="002E1BC7" w:rsidRPr="002E1BC7">
        <w:rPr>
          <w:rFonts w:ascii="Times New Roman" w:eastAsia="宋体" w:hAnsi="Times New Roman" w:cs="Times New Roman"/>
          <w:szCs w:val="24"/>
        </w:rPr>
        <w:t>5000</w:t>
      </w:r>
      <w:r w:rsidR="002E1BC7" w:rsidRPr="002E1BC7">
        <w:rPr>
          <w:rFonts w:ascii="Times New Roman" w:eastAsia="宋体" w:hAnsi="Times New Roman" w:cs="Times New Roman"/>
          <w:szCs w:val="24"/>
        </w:rPr>
        <w:t>万元</w:t>
      </w:r>
      <w:r w:rsidRPr="00076F81">
        <w:rPr>
          <w:rFonts w:ascii="Times New Roman" w:eastAsia="宋体" w:hAnsi="Times New Roman" w:cs="Times New Roman" w:hint="eastAsia"/>
          <w:szCs w:val="24"/>
        </w:rPr>
        <w:t>。</w:t>
      </w:r>
    </w:p>
    <w:p w:rsidR="002E1BC7" w:rsidRDefault="002E1BC7" w:rsidP="00076F81">
      <w:pPr>
        <w:adjustRightInd w:val="0"/>
        <w:snapToGrid w:val="0"/>
        <w:spacing w:line="360" w:lineRule="auto"/>
        <w:ind w:firstLineChars="200" w:firstLine="420"/>
        <w:rPr>
          <w:rFonts w:ascii="Times New Roman" w:eastAsia="宋体" w:hAnsi="Times New Roman" w:cs="Times New Roman"/>
          <w:szCs w:val="24"/>
        </w:rPr>
      </w:pPr>
      <w:r w:rsidRPr="002E1BC7">
        <w:rPr>
          <w:rFonts w:ascii="Times New Roman" w:eastAsia="宋体" w:hAnsi="Times New Roman" w:cs="Times New Roman" w:hint="eastAsia"/>
          <w:szCs w:val="24"/>
        </w:rPr>
        <w:t>由上述情形导致本基金运作方式转换的，无需召开基金份额持有人大会。</w:t>
      </w:r>
    </w:p>
    <w:p w:rsidR="002E1BC7" w:rsidRDefault="002E1BC7" w:rsidP="00076F81">
      <w:pPr>
        <w:adjustRightInd w:val="0"/>
        <w:snapToGrid w:val="0"/>
        <w:spacing w:line="360" w:lineRule="auto"/>
        <w:ind w:firstLineChars="200" w:firstLine="420"/>
        <w:rPr>
          <w:rFonts w:ascii="Times New Roman" w:eastAsia="宋体" w:hAnsi="Times New Roman" w:cs="Times New Roman"/>
          <w:szCs w:val="24"/>
        </w:rPr>
      </w:pPr>
      <w:r w:rsidRPr="002E1BC7">
        <w:rPr>
          <w:rFonts w:ascii="Times New Roman" w:eastAsia="宋体" w:hAnsi="Times New Roman" w:cs="Times New Roman" w:hint="eastAsia"/>
          <w:szCs w:val="24"/>
        </w:rPr>
        <w:t>法律法规或中国证监会另有规定时，从其规定。</w:t>
      </w:r>
      <w:r w:rsidR="00076F81" w:rsidRPr="00076F81">
        <w:rPr>
          <w:rFonts w:ascii="Times New Roman" w:eastAsia="宋体" w:hAnsi="Times New Roman" w:cs="Times New Roman" w:hint="eastAsia"/>
          <w:szCs w:val="24"/>
        </w:rPr>
        <w:t>”</w:t>
      </w:r>
    </w:p>
    <w:p w:rsidR="00076F81" w:rsidRPr="00076F81" w:rsidRDefault="00076F81" w:rsidP="00076F81">
      <w:pPr>
        <w:adjustRightInd w:val="0"/>
        <w:snapToGrid w:val="0"/>
        <w:spacing w:line="360" w:lineRule="auto"/>
        <w:ind w:firstLineChars="200" w:firstLine="420"/>
        <w:rPr>
          <w:rFonts w:ascii="Times New Roman" w:eastAsia="宋体" w:hAnsi="Times New Roman" w:cs="Times New Roman"/>
          <w:szCs w:val="24"/>
        </w:rPr>
      </w:pPr>
      <w:r w:rsidRPr="00076F81">
        <w:rPr>
          <w:rFonts w:ascii="Times New Roman" w:eastAsia="宋体" w:hAnsi="Times New Roman" w:cs="Times New Roman" w:hint="eastAsia"/>
          <w:szCs w:val="24"/>
        </w:rPr>
        <w:t>本基金转为普通开放式基金后，基金名称变更为“</w:t>
      </w:r>
      <w:r w:rsidR="002E1BC7" w:rsidRPr="002E1BC7">
        <w:rPr>
          <w:rFonts w:ascii="Times New Roman" w:eastAsia="宋体" w:hAnsi="Times New Roman" w:cs="Times New Roman" w:hint="eastAsia"/>
          <w:szCs w:val="24"/>
        </w:rPr>
        <w:t>招商增浩混合型证券投资基金</w:t>
      </w:r>
      <w:r w:rsidRPr="00076F81">
        <w:rPr>
          <w:rFonts w:ascii="Times New Roman" w:eastAsia="宋体" w:hAnsi="Times New Roman" w:cs="Times New Roman" w:hint="eastAsia"/>
          <w:szCs w:val="24"/>
        </w:rPr>
        <w:t>”，同时基金的投资范围、</w:t>
      </w:r>
      <w:r w:rsidR="00DF0B2A" w:rsidRPr="00DF0B2A">
        <w:rPr>
          <w:rFonts w:ascii="Times New Roman" w:eastAsia="宋体" w:hAnsi="Times New Roman" w:cs="Times New Roman" w:hint="eastAsia"/>
          <w:szCs w:val="24"/>
        </w:rPr>
        <w:t>投资策略、</w:t>
      </w:r>
      <w:r w:rsidRPr="00076F81">
        <w:rPr>
          <w:rFonts w:ascii="Times New Roman" w:eastAsia="宋体" w:hAnsi="Times New Roman" w:cs="Times New Roman" w:hint="eastAsia"/>
          <w:szCs w:val="24"/>
        </w:rPr>
        <w:t>投资限制、开放申购与赎回等相关内容也将根据基金合同的相关约定做相应修改</w:t>
      </w:r>
      <w:r w:rsidR="00DF0B2A" w:rsidRPr="00DF0B2A">
        <w:rPr>
          <w:rFonts w:ascii="Times New Roman" w:eastAsia="宋体" w:hAnsi="Times New Roman" w:cs="Times New Roman" w:hint="eastAsia"/>
          <w:szCs w:val="24"/>
        </w:rPr>
        <w:t>，上述变更无需经基金份额持有人大会</w:t>
      </w:r>
      <w:r w:rsidR="00DF0B2A">
        <w:rPr>
          <w:rFonts w:ascii="Times New Roman" w:eastAsia="宋体" w:hAnsi="Times New Roman" w:cs="Times New Roman" w:hint="eastAsia"/>
          <w:szCs w:val="24"/>
        </w:rPr>
        <w:t>决议</w:t>
      </w:r>
      <w:r w:rsidRPr="00076F81">
        <w:rPr>
          <w:rFonts w:ascii="Times New Roman" w:eastAsia="宋体" w:hAnsi="Times New Roman" w:cs="Times New Roman" w:hint="eastAsia"/>
          <w:szCs w:val="24"/>
        </w:rPr>
        <w:t>。</w:t>
      </w:r>
    </w:p>
    <w:p w:rsidR="00076F81" w:rsidRPr="00076F81" w:rsidRDefault="00076F81" w:rsidP="00076F81">
      <w:pPr>
        <w:adjustRightInd w:val="0"/>
        <w:snapToGrid w:val="0"/>
        <w:spacing w:line="360" w:lineRule="auto"/>
        <w:ind w:firstLineChars="200" w:firstLine="420"/>
        <w:rPr>
          <w:rFonts w:ascii="Times New Roman" w:eastAsia="宋体" w:hAnsi="Times New Roman" w:cs="Times New Roman"/>
          <w:szCs w:val="24"/>
        </w:rPr>
      </w:pPr>
      <w:r w:rsidRPr="00076F81">
        <w:rPr>
          <w:rFonts w:ascii="Times New Roman" w:eastAsia="宋体" w:hAnsi="Times New Roman" w:cs="Times New Roman" w:hint="eastAsia"/>
          <w:szCs w:val="24"/>
        </w:rPr>
        <w:t>本次开放期届满时，本基金的基金资产净值低于</w:t>
      </w:r>
      <w:r w:rsidRPr="00076F81">
        <w:rPr>
          <w:rFonts w:ascii="Times New Roman" w:eastAsia="宋体" w:hAnsi="Times New Roman" w:cs="Times New Roman" w:hint="eastAsia"/>
          <w:szCs w:val="24"/>
        </w:rPr>
        <w:t>5000</w:t>
      </w:r>
      <w:r w:rsidRPr="00076F81">
        <w:rPr>
          <w:rFonts w:ascii="Times New Roman" w:eastAsia="宋体" w:hAnsi="Times New Roman" w:cs="Times New Roman" w:hint="eastAsia"/>
          <w:szCs w:val="24"/>
        </w:rPr>
        <w:t>万元，触发上述转型条款。经与基金托管人</w:t>
      </w:r>
      <w:r w:rsidR="002E1BC7" w:rsidRPr="002E1BC7">
        <w:rPr>
          <w:rFonts w:ascii="Times New Roman" w:eastAsia="宋体" w:hAnsi="Times New Roman" w:cs="Times New Roman" w:hint="eastAsia"/>
          <w:szCs w:val="24"/>
        </w:rPr>
        <w:t>中国光大银行股份有限公司</w:t>
      </w:r>
      <w:r w:rsidRPr="00076F81">
        <w:rPr>
          <w:rFonts w:ascii="Times New Roman" w:eastAsia="宋体" w:hAnsi="Times New Roman" w:cs="Times New Roman" w:hint="eastAsia"/>
          <w:szCs w:val="24"/>
        </w:rPr>
        <w:t>协商一致，本基金自</w:t>
      </w:r>
      <w:r w:rsidR="00A50B6F" w:rsidRPr="00076F81">
        <w:rPr>
          <w:rFonts w:ascii="Times New Roman" w:eastAsia="宋体" w:hAnsi="Times New Roman" w:cs="Times New Roman" w:hint="eastAsia"/>
          <w:szCs w:val="24"/>
        </w:rPr>
        <w:t>202</w:t>
      </w:r>
      <w:r w:rsidR="00A50B6F">
        <w:rPr>
          <w:rFonts w:ascii="Times New Roman" w:eastAsia="宋体" w:hAnsi="Times New Roman" w:cs="Times New Roman"/>
          <w:szCs w:val="24"/>
        </w:rPr>
        <w:t>5</w:t>
      </w:r>
      <w:r w:rsidRPr="00076F81">
        <w:rPr>
          <w:rFonts w:ascii="Times New Roman" w:eastAsia="宋体" w:hAnsi="Times New Roman" w:cs="Times New Roman" w:hint="eastAsia"/>
          <w:szCs w:val="24"/>
        </w:rPr>
        <w:t>年</w:t>
      </w:r>
      <w:r w:rsidR="00A50B6F">
        <w:rPr>
          <w:rFonts w:ascii="Times New Roman" w:eastAsia="宋体" w:hAnsi="Times New Roman" w:cs="Times New Roman"/>
          <w:szCs w:val="24"/>
        </w:rPr>
        <w:t>2</w:t>
      </w:r>
      <w:r w:rsidRPr="00076F81">
        <w:rPr>
          <w:rFonts w:ascii="Times New Roman" w:eastAsia="宋体" w:hAnsi="Times New Roman" w:cs="Times New Roman" w:hint="eastAsia"/>
          <w:szCs w:val="24"/>
        </w:rPr>
        <w:t>月</w:t>
      </w:r>
      <w:r w:rsidR="00A50B6F">
        <w:rPr>
          <w:rFonts w:ascii="Times New Roman" w:eastAsia="宋体" w:hAnsi="Times New Roman" w:cs="Times New Roman"/>
          <w:szCs w:val="24"/>
        </w:rPr>
        <w:t>25</w:t>
      </w:r>
      <w:r w:rsidRPr="00076F81">
        <w:rPr>
          <w:rFonts w:ascii="Times New Roman" w:eastAsia="宋体" w:hAnsi="Times New Roman" w:cs="Times New Roman" w:hint="eastAsia"/>
          <w:szCs w:val="24"/>
        </w:rPr>
        <w:t>日起正式转型为</w:t>
      </w:r>
      <w:r w:rsidR="002E1BC7" w:rsidRPr="002E1BC7">
        <w:rPr>
          <w:rFonts w:ascii="Times New Roman" w:eastAsia="宋体" w:hAnsi="Times New Roman" w:cs="Times New Roman" w:hint="eastAsia"/>
          <w:szCs w:val="24"/>
        </w:rPr>
        <w:t>招商增浩混合型证券投资基金</w:t>
      </w:r>
      <w:r w:rsidRPr="00076F81">
        <w:rPr>
          <w:rFonts w:ascii="Times New Roman" w:eastAsia="宋体" w:hAnsi="Times New Roman" w:cs="Times New Roman" w:hint="eastAsia"/>
          <w:szCs w:val="24"/>
        </w:rPr>
        <w:t>。为维护投资者利益，满足投资者投资需求，现将转型相关事宜公告如下：</w:t>
      </w:r>
    </w:p>
    <w:p w:rsidR="00076F81" w:rsidRPr="00076F81" w:rsidRDefault="00076F81" w:rsidP="00076F81">
      <w:pPr>
        <w:adjustRightInd w:val="0"/>
        <w:snapToGrid w:val="0"/>
        <w:spacing w:line="360" w:lineRule="auto"/>
        <w:ind w:firstLineChars="200" w:firstLine="420"/>
        <w:rPr>
          <w:rFonts w:ascii="Times New Roman" w:eastAsia="宋体" w:hAnsi="Times New Roman" w:cs="Times New Roman"/>
          <w:szCs w:val="24"/>
        </w:rPr>
      </w:pPr>
      <w:r w:rsidRPr="00076F81">
        <w:rPr>
          <w:rFonts w:ascii="Times New Roman" w:eastAsia="宋体" w:hAnsi="Times New Roman" w:cs="Times New Roman" w:hint="eastAsia"/>
          <w:szCs w:val="24"/>
        </w:rPr>
        <w:t>一、自</w:t>
      </w:r>
      <w:r w:rsidR="006A61C6" w:rsidRPr="00076F81">
        <w:rPr>
          <w:rFonts w:ascii="Times New Roman" w:eastAsia="宋体" w:hAnsi="Times New Roman" w:cs="Times New Roman" w:hint="eastAsia"/>
          <w:szCs w:val="24"/>
        </w:rPr>
        <w:t>202</w:t>
      </w:r>
      <w:r w:rsidR="006A61C6">
        <w:rPr>
          <w:rFonts w:ascii="Times New Roman" w:eastAsia="宋体" w:hAnsi="Times New Roman" w:cs="Times New Roman"/>
          <w:szCs w:val="24"/>
        </w:rPr>
        <w:t>5</w:t>
      </w:r>
      <w:r w:rsidR="006A61C6" w:rsidRPr="00076F81">
        <w:rPr>
          <w:rFonts w:ascii="Times New Roman" w:eastAsia="宋体" w:hAnsi="Times New Roman" w:cs="Times New Roman" w:hint="eastAsia"/>
          <w:szCs w:val="24"/>
        </w:rPr>
        <w:t>年</w:t>
      </w:r>
      <w:r w:rsidR="006A61C6">
        <w:rPr>
          <w:rFonts w:ascii="Times New Roman" w:eastAsia="宋体" w:hAnsi="Times New Roman" w:cs="Times New Roman"/>
          <w:szCs w:val="24"/>
        </w:rPr>
        <w:t>2</w:t>
      </w:r>
      <w:r w:rsidR="006A61C6" w:rsidRPr="00076F81">
        <w:rPr>
          <w:rFonts w:ascii="Times New Roman" w:eastAsia="宋体" w:hAnsi="Times New Roman" w:cs="Times New Roman" w:hint="eastAsia"/>
          <w:szCs w:val="24"/>
        </w:rPr>
        <w:t>月</w:t>
      </w:r>
      <w:r w:rsidR="006A61C6">
        <w:rPr>
          <w:rFonts w:ascii="Times New Roman" w:eastAsia="宋体" w:hAnsi="Times New Roman" w:cs="Times New Roman"/>
          <w:szCs w:val="24"/>
        </w:rPr>
        <w:t>25</w:t>
      </w:r>
      <w:r w:rsidR="006A61C6" w:rsidRPr="00076F81">
        <w:rPr>
          <w:rFonts w:ascii="Times New Roman" w:eastAsia="宋体" w:hAnsi="Times New Roman" w:cs="Times New Roman" w:hint="eastAsia"/>
          <w:szCs w:val="24"/>
        </w:rPr>
        <w:t>日</w:t>
      </w:r>
      <w:r w:rsidRPr="00076F81">
        <w:rPr>
          <w:rFonts w:ascii="Times New Roman" w:eastAsia="宋体" w:hAnsi="Times New Roman" w:cs="Times New Roman" w:hint="eastAsia"/>
          <w:szCs w:val="24"/>
        </w:rPr>
        <w:t>起，本基金转为普通开放式基金，不再以定期开放的方式运作。转型后基金名称为“</w:t>
      </w:r>
      <w:r w:rsidR="002E1BC7" w:rsidRPr="002E1BC7">
        <w:rPr>
          <w:rFonts w:ascii="Times New Roman" w:eastAsia="宋体" w:hAnsi="Times New Roman" w:cs="Times New Roman" w:hint="eastAsia"/>
          <w:szCs w:val="24"/>
        </w:rPr>
        <w:t>招商增浩混合型证券投资基金</w:t>
      </w:r>
      <w:r w:rsidRPr="00076F81">
        <w:rPr>
          <w:rFonts w:ascii="Times New Roman" w:eastAsia="宋体" w:hAnsi="Times New Roman" w:cs="Times New Roman" w:hint="eastAsia"/>
          <w:szCs w:val="24"/>
        </w:rPr>
        <w:t>”，基金简称为“</w:t>
      </w:r>
      <w:r w:rsidR="00B95CB8" w:rsidRPr="002E1BC7">
        <w:rPr>
          <w:rFonts w:ascii="Times New Roman" w:eastAsia="宋体" w:hAnsi="Times New Roman" w:cs="Times New Roman" w:hint="eastAsia"/>
          <w:szCs w:val="24"/>
        </w:rPr>
        <w:t>招商增浩混合</w:t>
      </w:r>
      <w:r w:rsidRPr="00076F81">
        <w:rPr>
          <w:rFonts w:ascii="Times New Roman" w:eastAsia="宋体" w:hAnsi="Times New Roman" w:cs="Times New Roman" w:hint="eastAsia"/>
          <w:szCs w:val="24"/>
        </w:rPr>
        <w:t>”，基金</w:t>
      </w:r>
      <w:r w:rsidR="00D0335D">
        <w:rPr>
          <w:rFonts w:ascii="Times New Roman" w:eastAsia="宋体" w:hAnsi="Times New Roman" w:cs="Times New Roman" w:hint="eastAsia"/>
          <w:szCs w:val="24"/>
        </w:rPr>
        <w:t>主</w:t>
      </w:r>
      <w:r w:rsidRPr="00076F81">
        <w:rPr>
          <w:rFonts w:ascii="Times New Roman" w:eastAsia="宋体" w:hAnsi="Times New Roman" w:cs="Times New Roman" w:hint="eastAsia"/>
          <w:szCs w:val="24"/>
        </w:rPr>
        <w:t>代码为“</w:t>
      </w:r>
      <w:r w:rsidR="00B95CB8" w:rsidRPr="00076F81">
        <w:rPr>
          <w:rFonts w:ascii="Times New Roman" w:eastAsia="宋体" w:hAnsi="Times New Roman" w:cs="Times New Roman" w:hint="eastAsia"/>
          <w:szCs w:val="24"/>
        </w:rPr>
        <w:t>00</w:t>
      </w:r>
      <w:r w:rsidR="00B95CB8">
        <w:rPr>
          <w:rFonts w:ascii="Times New Roman" w:eastAsia="宋体" w:hAnsi="Times New Roman" w:cs="Times New Roman"/>
          <w:szCs w:val="24"/>
        </w:rPr>
        <w:t>9718</w:t>
      </w:r>
      <w:r w:rsidRPr="00076F81">
        <w:rPr>
          <w:rFonts w:ascii="Times New Roman" w:eastAsia="宋体" w:hAnsi="Times New Roman" w:cs="Times New Roman" w:hint="eastAsia"/>
          <w:szCs w:val="24"/>
        </w:rPr>
        <w:t>”，转型后基金的投资范围、</w:t>
      </w:r>
      <w:r w:rsidR="00DF0B2A" w:rsidRPr="00DF0B2A">
        <w:rPr>
          <w:rFonts w:ascii="Times New Roman" w:eastAsia="宋体" w:hAnsi="Times New Roman" w:cs="Times New Roman" w:hint="eastAsia"/>
          <w:szCs w:val="24"/>
        </w:rPr>
        <w:t>投资策略、</w:t>
      </w:r>
      <w:r w:rsidRPr="00076F81">
        <w:rPr>
          <w:rFonts w:ascii="Times New Roman" w:eastAsia="宋体" w:hAnsi="Times New Roman" w:cs="Times New Roman" w:hint="eastAsia"/>
          <w:szCs w:val="24"/>
        </w:rPr>
        <w:t>投资限制、开放申购与赎回等相关内容相应调整，投资者可通过本基金管理人网站刊登的《</w:t>
      </w:r>
      <w:r w:rsidR="00B95CB8" w:rsidRPr="002E1BC7">
        <w:rPr>
          <w:rFonts w:ascii="Times New Roman" w:eastAsia="宋体" w:hAnsi="Times New Roman" w:cs="Times New Roman" w:hint="eastAsia"/>
          <w:szCs w:val="24"/>
        </w:rPr>
        <w:t>招商增浩混合型证券投资基金</w:t>
      </w:r>
      <w:r w:rsidR="00DF0B2A" w:rsidRPr="00DF0B2A">
        <w:rPr>
          <w:rFonts w:ascii="Times New Roman" w:eastAsia="宋体" w:hAnsi="Times New Roman" w:cs="Times New Roman" w:hint="eastAsia"/>
          <w:szCs w:val="24"/>
        </w:rPr>
        <w:t>（原招商增浩一年定期开放混合型证券投资基金）</w:t>
      </w:r>
      <w:r w:rsidRPr="00076F81">
        <w:rPr>
          <w:rFonts w:ascii="Times New Roman" w:eastAsia="宋体" w:hAnsi="Times New Roman" w:cs="Times New Roman" w:hint="eastAsia"/>
          <w:szCs w:val="24"/>
        </w:rPr>
        <w:t>基金合同》及《</w:t>
      </w:r>
      <w:r w:rsidR="00B95CB8" w:rsidRPr="002E1BC7">
        <w:rPr>
          <w:rFonts w:ascii="Times New Roman" w:eastAsia="宋体" w:hAnsi="Times New Roman" w:cs="Times New Roman" w:hint="eastAsia"/>
          <w:szCs w:val="24"/>
        </w:rPr>
        <w:t>招商增浩混合型证券投资基金</w:t>
      </w:r>
      <w:r w:rsidR="00DF0B2A" w:rsidRPr="00DF0B2A">
        <w:rPr>
          <w:rFonts w:ascii="Times New Roman" w:eastAsia="宋体" w:hAnsi="Times New Roman" w:cs="Times New Roman" w:hint="eastAsia"/>
          <w:szCs w:val="24"/>
        </w:rPr>
        <w:t>（原招商增浩一年定期开放混合型证券投资基金）</w:t>
      </w:r>
      <w:r w:rsidR="00DF0B2A" w:rsidRPr="00076F81">
        <w:rPr>
          <w:rFonts w:ascii="Times New Roman" w:eastAsia="宋体" w:hAnsi="Times New Roman" w:cs="Times New Roman" w:hint="eastAsia"/>
          <w:szCs w:val="24"/>
        </w:rPr>
        <w:t>更新</w:t>
      </w:r>
      <w:r w:rsidR="00DF0B2A">
        <w:rPr>
          <w:rFonts w:ascii="Times New Roman" w:eastAsia="宋体" w:hAnsi="Times New Roman" w:cs="Times New Roman" w:hint="eastAsia"/>
          <w:szCs w:val="24"/>
        </w:rPr>
        <w:t>的</w:t>
      </w:r>
      <w:r w:rsidRPr="00076F81">
        <w:rPr>
          <w:rFonts w:ascii="Times New Roman" w:eastAsia="宋体" w:hAnsi="Times New Roman" w:cs="Times New Roman" w:hint="eastAsia"/>
          <w:szCs w:val="24"/>
        </w:rPr>
        <w:t>招募说明书》了解基金详细信息。</w:t>
      </w:r>
    </w:p>
    <w:p w:rsidR="00076F81" w:rsidRPr="00076F81" w:rsidRDefault="00076F81" w:rsidP="00076F81">
      <w:pPr>
        <w:adjustRightInd w:val="0"/>
        <w:snapToGrid w:val="0"/>
        <w:spacing w:line="360" w:lineRule="auto"/>
        <w:ind w:firstLineChars="200" w:firstLine="420"/>
        <w:rPr>
          <w:rFonts w:ascii="Times New Roman" w:eastAsia="宋体" w:hAnsi="Times New Roman" w:cs="Times New Roman"/>
          <w:szCs w:val="24"/>
        </w:rPr>
      </w:pPr>
      <w:r w:rsidRPr="00076F81">
        <w:rPr>
          <w:rFonts w:ascii="Times New Roman" w:eastAsia="宋体" w:hAnsi="Times New Roman" w:cs="Times New Roman" w:hint="eastAsia"/>
          <w:szCs w:val="24"/>
        </w:rPr>
        <w:t>二、自</w:t>
      </w:r>
      <w:r w:rsidR="006A61C6" w:rsidRPr="00076F81">
        <w:rPr>
          <w:rFonts w:ascii="Times New Roman" w:eastAsia="宋体" w:hAnsi="Times New Roman" w:cs="Times New Roman" w:hint="eastAsia"/>
          <w:szCs w:val="24"/>
        </w:rPr>
        <w:t>202</w:t>
      </w:r>
      <w:r w:rsidR="006A61C6">
        <w:rPr>
          <w:rFonts w:ascii="Times New Roman" w:eastAsia="宋体" w:hAnsi="Times New Roman" w:cs="Times New Roman"/>
          <w:szCs w:val="24"/>
        </w:rPr>
        <w:t>5</w:t>
      </w:r>
      <w:r w:rsidR="006A61C6" w:rsidRPr="00076F81">
        <w:rPr>
          <w:rFonts w:ascii="Times New Roman" w:eastAsia="宋体" w:hAnsi="Times New Roman" w:cs="Times New Roman" w:hint="eastAsia"/>
          <w:szCs w:val="24"/>
        </w:rPr>
        <w:t>年</w:t>
      </w:r>
      <w:r w:rsidR="006A61C6">
        <w:rPr>
          <w:rFonts w:ascii="Times New Roman" w:eastAsia="宋体" w:hAnsi="Times New Roman" w:cs="Times New Roman"/>
          <w:szCs w:val="24"/>
        </w:rPr>
        <w:t>2</w:t>
      </w:r>
      <w:r w:rsidR="006A61C6" w:rsidRPr="00076F81">
        <w:rPr>
          <w:rFonts w:ascii="Times New Roman" w:eastAsia="宋体" w:hAnsi="Times New Roman" w:cs="Times New Roman" w:hint="eastAsia"/>
          <w:szCs w:val="24"/>
        </w:rPr>
        <w:t>月</w:t>
      </w:r>
      <w:r w:rsidR="006A61C6">
        <w:rPr>
          <w:rFonts w:ascii="Times New Roman" w:eastAsia="宋体" w:hAnsi="Times New Roman" w:cs="Times New Roman"/>
          <w:szCs w:val="24"/>
        </w:rPr>
        <w:t>25</w:t>
      </w:r>
      <w:r w:rsidR="006A61C6" w:rsidRPr="00076F81">
        <w:rPr>
          <w:rFonts w:ascii="Times New Roman" w:eastAsia="宋体" w:hAnsi="Times New Roman" w:cs="Times New Roman" w:hint="eastAsia"/>
          <w:szCs w:val="24"/>
        </w:rPr>
        <w:t>日</w:t>
      </w:r>
      <w:r w:rsidRPr="00076F81">
        <w:rPr>
          <w:rFonts w:ascii="Times New Roman" w:eastAsia="宋体" w:hAnsi="Times New Roman" w:cs="Times New Roman" w:hint="eastAsia"/>
          <w:szCs w:val="24"/>
        </w:rPr>
        <w:t>起，</w:t>
      </w:r>
      <w:r w:rsidR="00B95CB8" w:rsidRPr="002E1BC7">
        <w:rPr>
          <w:rFonts w:ascii="Times New Roman" w:eastAsia="宋体" w:hAnsi="Times New Roman" w:cs="Times New Roman" w:hint="eastAsia"/>
          <w:szCs w:val="24"/>
        </w:rPr>
        <w:t>招商增浩混合型证券投资基金</w:t>
      </w:r>
      <w:r w:rsidRPr="00076F81">
        <w:rPr>
          <w:rFonts w:ascii="Times New Roman" w:eastAsia="宋体" w:hAnsi="Times New Roman" w:cs="Times New Roman" w:hint="eastAsia"/>
          <w:szCs w:val="24"/>
        </w:rPr>
        <w:t>开放日常申购、赎回、转换、定期定额</w:t>
      </w:r>
      <w:r w:rsidR="00DF0B2A">
        <w:rPr>
          <w:rFonts w:ascii="Times New Roman" w:eastAsia="宋体" w:hAnsi="Times New Roman" w:cs="Times New Roman" w:hint="eastAsia"/>
          <w:szCs w:val="24"/>
        </w:rPr>
        <w:t>投资</w:t>
      </w:r>
      <w:r w:rsidRPr="00076F81">
        <w:rPr>
          <w:rFonts w:ascii="Times New Roman" w:eastAsia="宋体" w:hAnsi="Times New Roman" w:cs="Times New Roman" w:hint="eastAsia"/>
          <w:szCs w:val="24"/>
        </w:rPr>
        <w:t>业务。投资者可通过本基金管理人发布的《</w:t>
      </w:r>
      <w:r w:rsidR="00791423" w:rsidRPr="00791423">
        <w:rPr>
          <w:rFonts w:ascii="Times New Roman" w:eastAsia="宋体" w:hAnsi="Times New Roman" w:cs="Times New Roman" w:hint="eastAsia"/>
          <w:szCs w:val="24"/>
        </w:rPr>
        <w:t>关于开放</w:t>
      </w:r>
      <w:r w:rsidR="00791423" w:rsidRPr="002E1BC7">
        <w:rPr>
          <w:rFonts w:ascii="Times New Roman" w:eastAsia="宋体" w:hAnsi="Times New Roman" w:cs="Times New Roman" w:hint="eastAsia"/>
          <w:szCs w:val="24"/>
        </w:rPr>
        <w:t>招商增浩混合型证券投资基金</w:t>
      </w:r>
      <w:r w:rsidR="00791423" w:rsidRPr="00791423">
        <w:rPr>
          <w:rFonts w:ascii="Times New Roman" w:eastAsia="宋体" w:hAnsi="Times New Roman" w:cs="Times New Roman" w:hint="eastAsia"/>
          <w:szCs w:val="24"/>
        </w:rPr>
        <w:t>日常申购赎回及转换和定期定额投资业务的公告</w:t>
      </w:r>
      <w:r w:rsidRPr="00076F81">
        <w:rPr>
          <w:rFonts w:ascii="Times New Roman" w:eastAsia="宋体" w:hAnsi="Times New Roman" w:cs="Times New Roman" w:hint="eastAsia"/>
          <w:szCs w:val="24"/>
        </w:rPr>
        <w:t>》了解相关业务办理事宜。</w:t>
      </w:r>
    </w:p>
    <w:p w:rsidR="00076F81" w:rsidRPr="00076F81" w:rsidRDefault="00076F81" w:rsidP="00076F81">
      <w:pPr>
        <w:adjustRightInd w:val="0"/>
        <w:snapToGrid w:val="0"/>
        <w:spacing w:line="360" w:lineRule="auto"/>
        <w:ind w:firstLineChars="200" w:firstLine="420"/>
        <w:rPr>
          <w:rFonts w:ascii="Times New Roman" w:eastAsia="宋体" w:hAnsi="Times New Roman" w:cs="Times New Roman"/>
          <w:szCs w:val="24"/>
        </w:rPr>
      </w:pPr>
      <w:r w:rsidRPr="00076F81">
        <w:rPr>
          <w:rFonts w:ascii="Times New Roman" w:eastAsia="宋体" w:hAnsi="Times New Roman" w:cs="Times New Roman" w:hint="eastAsia"/>
          <w:szCs w:val="24"/>
        </w:rPr>
        <w:t>投资者可登录本基金管理人网站（</w:t>
      </w:r>
      <w:r w:rsidR="00791423" w:rsidRPr="00791423">
        <w:rPr>
          <w:rFonts w:ascii="Times New Roman" w:eastAsia="宋体" w:hAnsi="Times New Roman" w:cs="Times New Roman"/>
          <w:szCs w:val="24"/>
        </w:rPr>
        <w:t>www.cmfchina.com</w:t>
      </w:r>
      <w:r w:rsidRPr="00076F81">
        <w:rPr>
          <w:rFonts w:ascii="Times New Roman" w:eastAsia="宋体" w:hAnsi="Times New Roman" w:cs="Times New Roman" w:hint="eastAsia"/>
          <w:szCs w:val="24"/>
        </w:rPr>
        <w:t>）或拨打本基金管理人客户服务电话（</w:t>
      </w:r>
      <w:r w:rsidR="00791423" w:rsidRPr="00791423">
        <w:rPr>
          <w:rFonts w:ascii="Times New Roman" w:eastAsia="宋体" w:hAnsi="Times New Roman" w:cs="Times New Roman"/>
          <w:szCs w:val="24"/>
        </w:rPr>
        <w:t>400-887-9555</w:t>
      </w:r>
      <w:r w:rsidRPr="00076F81">
        <w:rPr>
          <w:rFonts w:ascii="Times New Roman" w:eastAsia="宋体" w:hAnsi="Times New Roman" w:cs="Times New Roman" w:hint="eastAsia"/>
          <w:szCs w:val="24"/>
        </w:rPr>
        <w:t>）咨询详情。</w:t>
      </w:r>
    </w:p>
    <w:p w:rsidR="00076F81" w:rsidRPr="00076F81" w:rsidRDefault="00076F81" w:rsidP="00076F81">
      <w:pPr>
        <w:adjustRightInd w:val="0"/>
        <w:snapToGrid w:val="0"/>
        <w:spacing w:line="360" w:lineRule="auto"/>
        <w:ind w:firstLineChars="200" w:firstLine="420"/>
        <w:rPr>
          <w:rFonts w:ascii="Times New Roman" w:eastAsia="宋体" w:hAnsi="Times New Roman" w:cs="Times New Roman"/>
          <w:szCs w:val="24"/>
        </w:rPr>
      </w:pPr>
      <w:r w:rsidRPr="00076F81">
        <w:rPr>
          <w:rFonts w:ascii="Times New Roman" w:eastAsia="宋体" w:hAnsi="Times New Roman" w:cs="Times New Roman" w:hint="eastAsia"/>
          <w:szCs w:val="24"/>
        </w:rPr>
        <w:lastRenderedPageBreak/>
        <w:t>风险提示：</w:t>
      </w:r>
      <w:r w:rsidR="00BD5A95" w:rsidRPr="00BD5A95">
        <w:rPr>
          <w:rFonts w:ascii="Times New Roman" w:eastAsia="宋体" w:hAnsi="Times New Roman" w:cs="Times New Roman" w:hint="eastAsia"/>
          <w:szCs w:val="24"/>
        </w:rPr>
        <w:t>基金管理人承诺以诚实信用、勤勉尽责的原则管理和运用基金资产，但不保证基金一定盈利，也不保证最低收益。基金的过往业绩及其净值高低并不预示其未来业绩表现。投资有风险，敬请投资者在投资基金前认真阅读</w:t>
      </w:r>
      <w:r w:rsidR="00194916" w:rsidRPr="00194916">
        <w:rPr>
          <w:rFonts w:ascii="Times New Roman" w:eastAsia="宋体" w:hAnsi="Times New Roman" w:cs="Times New Roman" w:hint="eastAsia"/>
          <w:szCs w:val="24"/>
        </w:rPr>
        <w:t>《基金合同》《招募说明书》和《基金产品资料概要》</w:t>
      </w:r>
      <w:r w:rsidR="00BD5A95" w:rsidRPr="00BD5A95">
        <w:rPr>
          <w:rFonts w:ascii="Times New Roman" w:eastAsia="宋体" w:hAnsi="Times New Roman" w:cs="Times New Roman" w:hint="eastAsia"/>
          <w:szCs w:val="24"/>
        </w:rPr>
        <w:t>等基金法律文件，全面认识基金产品的风险收益特征，在了解产品情况及听取销售机构适当性意见的基础上，根据自身的风险承受能力、投资期限和投资目标，对基金投资作出独立决策，选择合适的基金产品。敬请投资者在购买基金前认真考虑、谨慎决策</w:t>
      </w:r>
      <w:r w:rsidRPr="00076F81">
        <w:rPr>
          <w:rFonts w:ascii="Times New Roman" w:eastAsia="宋体" w:hAnsi="Times New Roman" w:cs="Times New Roman" w:hint="eastAsia"/>
          <w:szCs w:val="24"/>
        </w:rPr>
        <w:t>。</w:t>
      </w:r>
    </w:p>
    <w:p w:rsidR="00076F81" w:rsidRPr="00076F81" w:rsidRDefault="00076F81" w:rsidP="00076F81">
      <w:pPr>
        <w:adjustRightInd w:val="0"/>
        <w:snapToGrid w:val="0"/>
        <w:spacing w:line="360" w:lineRule="auto"/>
        <w:ind w:firstLineChars="200" w:firstLine="420"/>
        <w:rPr>
          <w:rFonts w:ascii="Times New Roman" w:eastAsia="宋体" w:hAnsi="Times New Roman" w:cs="Times New Roman"/>
          <w:szCs w:val="24"/>
        </w:rPr>
      </w:pPr>
      <w:r w:rsidRPr="00076F81">
        <w:rPr>
          <w:rFonts w:ascii="Times New Roman" w:eastAsia="宋体" w:hAnsi="Times New Roman" w:cs="Times New Roman" w:hint="eastAsia"/>
          <w:szCs w:val="24"/>
        </w:rPr>
        <w:t>特此公告</w:t>
      </w:r>
    </w:p>
    <w:p w:rsidR="00BD5A95" w:rsidRDefault="00BD5A95" w:rsidP="00076F81">
      <w:pPr>
        <w:adjustRightInd w:val="0"/>
        <w:snapToGrid w:val="0"/>
        <w:spacing w:line="360" w:lineRule="auto"/>
        <w:ind w:firstLineChars="200" w:firstLine="420"/>
        <w:rPr>
          <w:rFonts w:ascii="Times New Roman" w:eastAsia="宋体" w:hAnsi="Times New Roman" w:cs="Times New Roman"/>
          <w:szCs w:val="24"/>
        </w:rPr>
      </w:pPr>
    </w:p>
    <w:p w:rsidR="00BD5A95" w:rsidRDefault="00BD5A95" w:rsidP="00076F81">
      <w:pPr>
        <w:adjustRightInd w:val="0"/>
        <w:snapToGrid w:val="0"/>
        <w:spacing w:line="360" w:lineRule="auto"/>
        <w:ind w:firstLineChars="200" w:firstLine="420"/>
        <w:rPr>
          <w:rFonts w:ascii="Times New Roman" w:eastAsia="宋体" w:hAnsi="Times New Roman" w:cs="Times New Roman"/>
          <w:szCs w:val="24"/>
        </w:rPr>
      </w:pPr>
    </w:p>
    <w:p w:rsidR="00076F81" w:rsidRPr="00076F81" w:rsidRDefault="00BD5A95" w:rsidP="00BD5A95">
      <w:pPr>
        <w:adjustRightInd w:val="0"/>
        <w:snapToGrid w:val="0"/>
        <w:spacing w:line="360" w:lineRule="auto"/>
        <w:ind w:firstLineChars="200" w:firstLine="420"/>
        <w:jc w:val="right"/>
        <w:rPr>
          <w:rFonts w:ascii="Times New Roman" w:eastAsia="宋体" w:hAnsi="Times New Roman" w:cs="Times New Roman"/>
          <w:szCs w:val="24"/>
        </w:rPr>
      </w:pPr>
      <w:r w:rsidRPr="00BD5A95">
        <w:rPr>
          <w:rFonts w:ascii="Times New Roman" w:eastAsia="宋体" w:hAnsi="Times New Roman" w:cs="Times New Roman" w:hint="eastAsia"/>
          <w:szCs w:val="24"/>
        </w:rPr>
        <w:t>招商基金管理有限公司</w:t>
      </w:r>
    </w:p>
    <w:p w:rsidR="00076F81" w:rsidRPr="00076F81" w:rsidRDefault="006A61C6" w:rsidP="00BD5A95">
      <w:pPr>
        <w:adjustRightInd w:val="0"/>
        <w:snapToGrid w:val="0"/>
        <w:spacing w:line="360" w:lineRule="auto"/>
        <w:ind w:right="210" w:firstLineChars="200" w:firstLine="420"/>
        <w:jc w:val="right"/>
        <w:rPr>
          <w:rFonts w:ascii="Times New Roman" w:eastAsia="宋体" w:hAnsi="Times New Roman" w:cs="Times New Roman"/>
          <w:szCs w:val="24"/>
        </w:rPr>
      </w:pPr>
      <w:r w:rsidRPr="00BD5A95">
        <w:rPr>
          <w:rFonts w:ascii="Times New Roman" w:eastAsia="宋体" w:hAnsi="Times New Roman" w:cs="Times New Roman"/>
          <w:szCs w:val="24"/>
        </w:rPr>
        <w:t>202</w:t>
      </w:r>
      <w:r>
        <w:rPr>
          <w:rFonts w:ascii="Times New Roman" w:eastAsia="宋体" w:hAnsi="Times New Roman" w:cs="Times New Roman"/>
          <w:szCs w:val="24"/>
        </w:rPr>
        <w:t>5</w:t>
      </w:r>
      <w:r w:rsidR="00BD5A95" w:rsidRPr="00BD5A95">
        <w:rPr>
          <w:rFonts w:ascii="Times New Roman" w:eastAsia="宋体" w:hAnsi="Times New Roman" w:cs="Times New Roman"/>
          <w:szCs w:val="24"/>
        </w:rPr>
        <w:t>年</w:t>
      </w:r>
      <w:r>
        <w:rPr>
          <w:rFonts w:ascii="Times New Roman" w:eastAsia="宋体" w:hAnsi="Times New Roman" w:cs="Times New Roman"/>
          <w:szCs w:val="24"/>
        </w:rPr>
        <w:t>2</w:t>
      </w:r>
      <w:r w:rsidR="00BD5A95" w:rsidRPr="00BD5A95">
        <w:rPr>
          <w:rFonts w:ascii="Times New Roman" w:eastAsia="宋体" w:hAnsi="Times New Roman" w:cs="Times New Roman"/>
          <w:szCs w:val="24"/>
        </w:rPr>
        <w:t>月</w:t>
      </w:r>
      <w:r>
        <w:rPr>
          <w:rFonts w:ascii="Times New Roman" w:eastAsia="宋体" w:hAnsi="Times New Roman" w:cs="Times New Roman"/>
          <w:szCs w:val="24"/>
        </w:rPr>
        <w:t>25</w:t>
      </w:r>
      <w:r w:rsidR="00BD5A95" w:rsidRPr="00BD5A95">
        <w:rPr>
          <w:rFonts w:ascii="Times New Roman" w:eastAsia="宋体" w:hAnsi="Times New Roman" w:cs="Times New Roman"/>
          <w:szCs w:val="24"/>
        </w:rPr>
        <w:t>日</w:t>
      </w:r>
    </w:p>
    <w:p w:rsidR="007C449C" w:rsidRDefault="00034C87" w:rsidP="00D2672B">
      <w:pPr>
        <w:adjustRightInd w:val="0"/>
        <w:snapToGrid w:val="0"/>
        <w:spacing w:line="360" w:lineRule="auto"/>
        <w:rPr>
          <w:rFonts w:ascii="Times New Roman" w:eastAsia="宋体" w:hAnsi="Times New Roman" w:cs="Times New Roman"/>
          <w:szCs w:val="24"/>
        </w:rPr>
      </w:pPr>
    </w:p>
    <w:p w:rsidR="00D2672B" w:rsidRDefault="00D2672B" w:rsidP="00D2672B">
      <w:pPr>
        <w:adjustRightInd w:val="0"/>
        <w:snapToGrid w:val="0"/>
        <w:spacing w:line="360" w:lineRule="auto"/>
        <w:rPr>
          <w:rFonts w:ascii="Times New Roman" w:eastAsia="宋体" w:hAnsi="Times New Roman" w:cs="Times New Roman"/>
          <w:szCs w:val="24"/>
        </w:rPr>
      </w:pPr>
      <w:r>
        <w:rPr>
          <w:rFonts w:ascii="Times New Roman" w:eastAsia="宋体" w:hAnsi="Times New Roman" w:cs="Times New Roman"/>
          <w:szCs w:val="24"/>
        </w:rPr>
        <w:br w:type="page"/>
      </w:r>
    </w:p>
    <w:p w:rsidR="00D2672B" w:rsidRPr="00D2672B" w:rsidRDefault="00D2672B" w:rsidP="00D2672B">
      <w:pPr>
        <w:adjustRightInd w:val="0"/>
        <w:snapToGrid w:val="0"/>
        <w:spacing w:line="360" w:lineRule="auto"/>
        <w:rPr>
          <w:rFonts w:ascii="Times New Roman" w:eastAsia="宋体" w:hAnsi="Times New Roman" w:cs="Times New Roman"/>
          <w:b/>
          <w:szCs w:val="24"/>
        </w:rPr>
      </w:pPr>
      <w:r w:rsidRPr="00D2672B">
        <w:rPr>
          <w:rFonts w:ascii="Times New Roman" w:eastAsia="宋体" w:hAnsi="Times New Roman" w:cs="Times New Roman" w:hint="eastAsia"/>
          <w:b/>
          <w:szCs w:val="24"/>
        </w:rPr>
        <w:lastRenderedPageBreak/>
        <w:t>附件：基金合同“第二十部分</w:t>
      </w:r>
      <w:r w:rsidRPr="00D2672B">
        <w:rPr>
          <w:rFonts w:ascii="Times New Roman" w:eastAsia="宋体" w:hAnsi="Times New Roman" w:cs="Times New Roman"/>
          <w:b/>
          <w:szCs w:val="24"/>
        </w:rPr>
        <w:t xml:space="preserve">  </w:t>
      </w:r>
      <w:r w:rsidRPr="00D2672B">
        <w:rPr>
          <w:rFonts w:ascii="Times New Roman" w:eastAsia="宋体" w:hAnsi="Times New Roman" w:cs="Times New Roman"/>
          <w:b/>
          <w:szCs w:val="24"/>
        </w:rPr>
        <w:t>基金的转型</w:t>
      </w:r>
      <w:r w:rsidRPr="00D2672B">
        <w:rPr>
          <w:rFonts w:ascii="Times New Roman" w:eastAsia="宋体" w:hAnsi="Times New Roman" w:cs="Times New Roman" w:hint="eastAsia"/>
          <w:b/>
          <w:szCs w:val="24"/>
        </w:rPr>
        <w:t>”</w:t>
      </w:r>
    </w:p>
    <w:p w:rsidR="00D2672B" w:rsidRDefault="00D2672B" w:rsidP="00D2672B">
      <w:pPr>
        <w:adjustRightInd w:val="0"/>
        <w:snapToGrid w:val="0"/>
        <w:spacing w:line="360" w:lineRule="auto"/>
        <w:rPr>
          <w:rFonts w:ascii="Times New Roman" w:eastAsia="宋体" w:hAnsi="Times New Roman" w:cs="Times New Roman"/>
          <w:szCs w:val="24"/>
        </w:rPr>
      </w:pPr>
    </w:p>
    <w:p w:rsidR="00E932C8" w:rsidRPr="00E932C8" w:rsidRDefault="00E932C8" w:rsidP="00E932C8">
      <w:pPr>
        <w:adjustRightInd w:val="0"/>
        <w:snapToGrid w:val="0"/>
        <w:spacing w:line="360" w:lineRule="auto"/>
        <w:ind w:firstLineChars="200" w:firstLine="420"/>
        <w:rPr>
          <w:rFonts w:ascii="宋体" w:eastAsia="宋体" w:hAnsi="宋体"/>
        </w:rPr>
      </w:pPr>
      <w:r w:rsidRPr="00E932C8">
        <w:rPr>
          <w:rFonts w:ascii="宋体" w:eastAsia="宋体" w:hAnsi="宋体" w:hint="eastAsia"/>
        </w:rPr>
        <w:t>一、</w:t>
      </w:r>
      <w:r w:rsidRPr="00E932C8">
        <w:rPr>
          <w:rFonts w:ascii="宋体" w:eastAsia="宋体" w:hAnsi="宋体"/>
        </w:rPr>
        <w:t>基金转型的条件</w:t>
      </w:r>
    </w:p>
    <w:p w:rsidR="00E932C8" w:rsidRPr="00E932C8" w:rsidRDefault="00E932C8" w:rsidP="00E932C8">
      <w:pPr>
        <w:adjustRightInd w:val="0"/>
        <w:snapToGrid w:val="0"/>
        <w:spacing w:line="360" w:lineRule="auto"/>
        <w:ind w:firstLineChars="200" w:firstLine="420"/>
        <w:rPr>
          <w:rFonts w:ascii="宋体" w:eastAsia="宋体" w:hAnsi="宋体"/>
        </w:rPr>
      </w:pPr>
      <w:r w:rsidRPr="00E932C8">
        <w:rPr>
          <w:rFonts w:ascii="宋体" w:eastAsia="宋体" w:hAnsi="宋体" w:hint="eastAsia"/>
        </w:rPr>
        <w:t>基金合同生效后，在每个开放期届满时，有下列情形之一的，经基金管理人与基金托管人协商一致并履行适当程序后，本基金将转换为“招商增浩混合型证券投资基金”，不再以定期开放的方式运作：</w:t>
      </w:r>
    </w:p>
    <w:p w:rsidR="00E932C8" w:rsidRPr="00E932C8" w:rsidRDefault="00E932C8" w:rsidP="00E932C8">
      <w:pPr>
        <w:adjustRightInd w:val="0"/>
        <w:snapToGrid w:val="0"/>
        <w:spacing w:line="360" w:lineRule="auto"/>
        <w:ind w:firstLineChars="200" w:firstLine="420"/>
        <w:rPr>
          <w:rFonts w:ascii="宋体" w:eastAsia="宋体" w:hAnsi="宋体"/>
        </w:rPr>
      </w:pPr>
      <w:r w:rsidRPr="00E932C8">
        <w:rPr>
          <w:rFonts w:ascii="宋体" w:eastAsia="宋体" w:hAnsi="宋体"/>
        </w:rPr>
        <w:t>1</w:t>
      </w:r>
      <w:r w:rsidRPr="00E932C8">
        <w:rPr>
          <w:rFonts w:ascii="宋体" w:eastAsia="宋体" w:hAnsi="宋体" w:hint="eastAsia"/>
        </w:rPr>
        <w:t>、基金份额持有人数量不满</w:t>
      </w:r>
      <w:r w:rsidRPr="00E932C8">
        <w:rPr>
          <w:rFonts w:ascii="宋体" w:eastAsia="宋体" w:hAnsi="宋体"/>
        </w:rPr>
        <w:t>200</w:t>
      </w:r>
      <w:r w:rsidRPr="00E932C8">
        <w:rPr>
          <w:rFonts w:ascii="宋体" w:eastAsia="宋体" w:hAnsi="宋体" w:hint="eastAsia"/>
        </w:rPr>
        <w:t>人。</w:t>
      </w:r>
    </w:p>
    <w:p w:rsidR="00E932C8" w:rsidRPr="00E932C8" w:rsidRDefault="00E932C8" w:rsidP="00E932C8">
      <w:pPr>
        <w:adjustRightInd w:val="0"/>
        <w:snapToGrid w:val="0"/>
        <w:spacing w:line="360" w:lineRule="auto"/>
        <w:ind w:firstLineChars="200" w:firstLine="420"/>
        <w:rPr>
          <w:rFonts w:ascii="宋体" w:eastAsia="宋体" w:hAnsi="宋体"/>
        </w:rPr>
      </w:pPr>
      <w:r w:rsidRPr="00E932C8">
        <w:rPr>
          <w:rFonts w:ascii="宋体" w:eastAsia="宋体" w:hAnsi="宋体"/>
        </w:rPr>
        <w:t>2</w:t>
      </w:r>
      <w:r w:rsidRPr="00E932C8">
        <w:rPr>
          <w:rFonts w:ascii="宋体" w:eastAsia="宋体" w:hAnsi="宋体" w:hint="eastAsia"/>
        </w:rPr>
        <w:t>、基金资产净值低于</w:t>
      </w:r>
      <w:r w:rsidRPr="00E932C8">
        <w:rPr>
          <w:rFonts w:ascii="宋体" w:eastAsia="宋体" w:hAnsi="宋体"/>
        </w:rPr>
        <w:t>5000</w:t>
      </w:r>
      <w:r w:rsidRPr="00E932C8">
        <w:rPr>
          <w:rFonts w:ascii="宋体" w:eastAsia="宋体" w:hAnsi="宋体" w:hint="eastAsia"/>
        </w:rPr>
        <w:t>万元。</w:t>
      </w:r>
    </w:p>
    <w:p w:rsidR="00E932C8" w:rsidRPr="00E932C8" w:rsidRDefault="00E932C8" w:rsidP="00E932C8">
      <w:pPr>
        <w:adjustRightInd w:val="0"/>
        <w:snapToGrid w:val="0"/>
        <w:spacing w:line="360" w:lineRule="auto"/>
        <w:ind w:leftChars="200" w:left="420"/>
        <w:rPr>
          <w:rFonts w:ascii="宋体" w:eastAsia="宋体" w:hAnsi="宋体"/>
        </w:rPr>
      </w:pPr>
      <w:r w:rsidRPr="00E932C8">
        <w:rPr>
          <w:rFonts w:ascii="宋体" w:eastAsia="宋体" w:hAnsi="宋体"/>
        </w:rPr>
        <w:t>由上述情形导致本基金运作方式转换的，无需召开基金份额持有人大会。</w:t>
      </w:r>
      <w:r w:rsidRPr="00E932C8">
        <w:rPr>
          <w:rFonts w:ascii="宋体" w:eastAsia="宋体" w:hAnsi="宋体"/>
        </w:rPr>
        <w:br/>
        <w:t>二、基金转型后的名称</w:t>
      </w:r>
    </w:p>
    <w:p w:rsidR="00E932C8" w:rsidRPr="00E932C8" w:rsidRDefault="00E932C8" w:rsidP="00E932C8">
      <w:pPr>
        <w:adjustRightInd w:val="0"/>
        <w:snapToGrid w:val="0"/>
        <w:spacing w:line="360" w:lineRule="auto"/>
        <w:ind w:firstLineChars="200" w:firstLine="420"/>
        <w:rPr>
          <w:rFonts w:ascii="宋体" w:eastAsia="宋体" w:hAnsi="宋体"/>
        </w:rPr>
      </w:pPr>
      <w:r w:rsidRPr="00E932C8">
        <w:rPr>
          <w:rFonts w:ascii="宋体" w:eastAsia="宋体" w:hAnsi="宋体"/>
        </w:rPr>
        <w:t>本基金转为普通开放式基金后，基金名称变更为“</w:t>
      </w:r>
      <w:r w:rsidRPr="00E932C8">
        <w:rPr>
          <w:rFonts w:ascii="宋体" w:eastAsia="宋体" w:hAnsi="宋体" w:hint="eastAsia"/>
        </w:rPr>
        <w:t>招商增浩混合型证券投资基金</w:t>
      </w:r>
      <w:r w:rsidRPr="00E932C8">
        <w:rPr>
          <w:rFonts w:ascii="宋体" w:eastAsia="宋体" w:hAnsi="宋体"/>
        </w:rPr>
        <w:t>”，同时，基金的投资范围、投资策略、投资限制、开放申购与赎回等相关内容也将根据《基金合同》的相关约定做相应修改，上述变更无需经基金份额持有人大会决议。</w:t>
      </w:r>
    </w:p>
    <w:p w:rsidR="00E932C8" w:rsidRPr="00E932C8" w:rsidRDefault="00E932C8" w:rsidP="00E932C8">
      <w:pPr>
        <w:adjustRightInd w:val="0"/>
        <w:snapToGrid w:val="0"/>
        <w:spacing w:line="360" w:lineRule="auto"/>
        <w:ind w:firstLineChars="200" w:firstLine="420"/>
        <w:rPr>
          <w:rFonts w:ascii="宋体" w:eastAsia="宋体" w:hAnsi="宋体"/>
        </w:rPr>
      </w:pPr>
      <w:r w:rsidRPr="00E932C8">
        <w:rPr>
          <w:rFonts w:ascii="宋体" w:eastAsia="宋体" w:hAnsi="宋体"/>
        </w:rPr>
        <w:t>三、基金转型后的投资</w:t>
      </w:r>
    </w:p>
    <w:p w:rsidR="00E932C8" w:rsidRPr="00E932C8" w:rsidRDefault="00E932C8" w:rsidP="00E932C8">
      <w:pPr>
        <w:adjustRightInd w:val="0"/>
        <w:snapToGrid w:val="0"/>
        <w:spacing w:line="360" w:lineRule="auto"/>
        <w:ind w:firstLineChars="200" w:firstLine="420"/>
        <w:rPr>
          <w:rFonts w:ascii="宋体" w:eastAsia="宋体" w:hAnsi="宋体"/>
        </w:rPr>
      </w:pPr>
      <w:r w:rsidRPr="00E932C8">
        <w:rPr>
          <w:rFonts w:ascii="宋体" w:eastAsia="宋体" w:hAnsi="宋体" w:hint="eastAsia"/>
        </w:rPr>
        <w:t>（一）</w:t>
      </w:r>
      <w:r w:rsidRPr="00E932C8">
        <w:rPr>
          <w:rFonts w:ascii="宋体" w:eastAsia="宋体" w:hAnsi="宋体"/>
        </w:rPr>
        <w:t>基金转型后的投资范围</w:t>
      </w:r>
    </w:p>
    <w:p w:rsidR="00E932C8" w:rsidRPr="00E932C8" w:rsidRDefault="00E932C8" w:rsidP="00E932C8">
      <w:pPr>
        <w:adjustRightInd w:val="0"/>
        <w:snapToGrid w:val="0"/>
        <w:spacing w:line="360" w:lineRule="auto"/>
        <w:ind w:firstLineChars="200" w:firstLine="420"/>
        <w:rPr>
          <w:rFonts w:ascii="宋体" w:eastAsia="宋体" w:hAnsi="宋体"/>
        </w:rPr>
      </w:pPr>
      <w:r w:rsidRPr="00E932C8">
        <w:rPr>
          <w:rFonts w:ascii="宋体" w:eastAsia="宋体" w:hAnsi="宋体" w:hint="eastAsia"/>
        </w:rPr>
        <w:t>本基金的投资范围为具有良好流动性的金融工具，包括国内依法发行上市的股票和存托凭证（包括主板、创业板、中小板及其他中国证监会允许基金投资的股票和存托凭证）、港股通标的股票、债券（包括国债、央行票据、金融债券、企业债券、公司债券、中期票据、短期融资券、超短期融资券、次级债券、政府支持机构债券、政府支持债券、地方政府债、可转换债券、可分离交易可转债、可交换债券及其他中国证监会允许基金投资的债券）、资产支持证券、债券回购、同业存单、银行存款、货币市场工具、股指期货、国债期货以及法律法规或中国证监会允许基金投资的其他金融工具（但须符合中国证监会相关规定）。</w:t>
      </w:r>
    </w:p>
    <w:p w:rsidR="00E932C8" w:rsidRPr="00E932C8" w:rsidRDefault="00E932C8" w:rsidP="00E932C8">
      <w:pPr>
        <w:adjustRightInd w:val="0"/>
        <w:snapToGrid w:val="0"/>
        <w:spacing w:line="360" w:lineRule="auto"/>
        <w:ind w:firstLineChars="200" w:firstLine="420"/>
        <w:rPr>
          <w:rFonts w:ascii="宋体" w:eastAsia="宋体" w:hAnsi="宋体"/>
        </w:rPr>
      </w:pPr>
      <w:r w:rsidRPr="00E932C8">
        <w:rPr>
          <w:rFonts w:ascii="宋体" w:eastAsia="宋体" w:hAnsi="宋体" w:hint="eastAsia"/>
        </w:rPr>
        <w:t>本基金投资于评级在AA+及以上级别的信用债，其中投资于AAA评级的信用债占信用债投资比例为60%-100%，投资于AA+评级的信用债占信用债投资比例为0-40%。相关资信评级机构须取得中国证监会证券评级业务许可。</w:t>
      </w:r>
    </w:p>
    <w:p w:rsidR="00E932C8" w:rsidRPr="00E932C8" w:rsidRDefault="00E932C8" w:rsidP="00E932C8">
      <w:pPr>
        <w:adjustRightInd w:val="0"/>
        <w:snapToGrid w:val="0"/>
        <w:spacing w:line="360" w:lineRule="auto"/>
        <w:ind w:firstLineChars="200" w:firstLine="420"/>
        <w:rPr>
          <w:rFonts w:ascii="宋体" w:eastAsia="宋体" w:hAnsi="宋体"/>
        </w:rPr>
      </w:pPr>
      <w:r w:rsidRPr="00E932C8">
        <w:rPr>
          <w:rFonts w:ascii="宋体" w:eastAsia="宋体" w:hAnsi="宋体" w:hint="eastAsia"/>
        </w:rPr>
        <w:t>如法律法规或监管机构以后允许基金投资其他品种，基金管理人在履行适当程序后，可以将其纳入投资范围。</w:t>
      </w:r>
    </w:p>
    <w:p w:rsidR="00E932C8" w:rsidRPr="00E932C8" w:rsidRDefault="00E932C8" w:rsidP="00E932C8">
      <w:pPr>
        <w:adjustRightInd w:val="0"/>
        <w:snapToGrid w:val="0"/>
        <w:spacing w:line="360" w:lineRule="auto"/>
        <w:ind w:firstLineChars="200" w:firstLine="420"/>
        <w:rPr>
          <w:rFonts w:ascii="宋体" w:eastAsia="宋体" w:hAnsi="宋体"/>
        </w:rPr>
      </w:pPr>
      <w:r w:rsidRPr="00E932C8">
        <w:rPr>
          <w:rFonts w:ascii="宋体" w:eastAsia="宋体" w:hAnsi="宋体" w:hint="eastAsia"/>
        </w:rPr>
        <w:t>本基金对股票、存托凭证资产的投资比例占基金资产的比例为</w:t>
      </w:r>
      <w:r w:rsidRPr="00E932C8">
        <w:rPr>
          <w:rFonts w:ascii="宋体" w:eastAsia="宋体" w:hAnsi="宋体"/>
        </w:rPr>
        <w:t>0%-45%</w:t>
      </w:r>
      <w:r w:rsidRPr="00E932C8">
        <w:rPr>
          <w:rFonts w:ascii="宋体" w:eastAsia="宋体" w:hAnsi="宋体" w:hint="eastAsia"/>
        </w:rPr>
        <w:t>，其中港股通标的股票投资比例不超过本基金股票资产的</w:t>
      </w:r>
      <w:r w:rsidRPr="00E932C8">
        <w:rPr>
          <w:rFonts w:ascii="宋体" w:eastAsia="宋体" w:hAnsi="宋体"/>
        </w:rPr>
        <w:t>50%</w:t>
      </w:r>
      <w:r w:rsidRPr="00E932C8">
        <w:rPr>
          <w:rFonts w:ascii="宋体" w:eastAsia="宋体" w:hAnsi="宋体" w:hint="eastAsia"/>
        </w:rPr>
        <w:t>。</w:t>
      </w:r>
    </w:p>
    <w:p w:rsidR="00E932C8" w:rsidRPr="00E932C8" w:rsidRDefault="00E932C8" w:rsidP="00E932C8">
      <w:pPr>
        <w:adjustRightInd w:val="0"/>
        <w:snapToGrid w:val="0"/>
        <w:spacing w:line="360" w:lineRule="auto"/>
        <w:ind w:firstLineChars="200" w:firstLine="420"/>
        <w:rPr>
          <w:rFonts w:ascii="宋体" w:eastAsia="宋体" w:hAnsi="宋体"/>
        </w:rPr>
      </w:pPr>
      <w:r w:rsidRPr="00E932C8">
        <w:rPr>
          <w:rFonts w:ascii="宋体" w:eastAsia="宋体" w:hAnsi="宋体" w:hint="eastAsia"/>
        </w:rPr>
        <w:t>本基金每个交易日日终在扣除股指期货合约和国债期货合约需缴纳的交易保证金后，应当保持不低于基金资产净值</w:t>
      </w:r>
      <w:r w:rsidRPr="00E932C8">
        <w:rPr>
          <w:rFonts w:ascii="宋体" w:eastAsia="宋体" w:hAnsi="宋体"/>
        </w:rPr>
        <w:t>5%</w:t>
      </w:r>
      <w:r w:rsidRPr="00E932C8">
        <w:rPr>
          <w:rFonts w:ascii="宋体" w:eastAsia="宋体" w:hAnsi="宋体" w:hint="eastAsia"/>
        </w:rPr>
        <w:t>的现金或到期日在一年以内的政府债券。其中，现金不包括结算备付金、存出保证金、应收申购款等。股指期货、国债期货的投资比例遵循国家相关法律法规。</w:t>
      </w:r>
    </w:p>
    <w:p w:rsidR="00E932C8" w:rsidRPr="00E932C8" w:rsidRDefault="00E932C8" w:rsidP="00E932C8">
      <w:pPr>
        <w:adjustRightInd w:val="0"/>
        <w:snapToGrid w:val="0"/>
        <w:spacing w:line="360" w:lineRule="auto"/>
        <w:ind w:firstLineChars="200" w:firstLine="420"/>
        <w:rPr>
          <w:rFonts w:ascii="宋体" w:eastAsia="宋体" w:hAnsi="宋体"/>
        </w:rPr>
      </w:pPr>
      <w:r w:rsidRPr="00E932C8">
        <w:rPr>
          <w:rFonts w:ascii="宋体" w:eastAsia="宋体" w:hAnsi="宋体" w:hint="eastAsia"/>
        </w:rPr>
        <w:t>本基金可根据投资策略需要或不同配置地市场环境的变化，选择将部分基金资产投资于港股通标的股票或选择不将基金资产投资于港股通标的股票，基金资产并非必然投资港股通标的股票。如果法律法规对基金合同约定投资组合比例限制进行变更的，待履行相应程序后，以变更后的规定为准，</w:t>
      </w:r>
      <w:r w:rsidRPr="00E932C8">
        <w:rPr>
          <w:rFonts w:ascii="宋体" w:eastAsia="宋体" w:hAnsi="宋体"/>
        </w:rPr>
        <w:t>本基金的投资比例会做相应调整。</w:t>
      </w:r>
    </w:p>
    <w:p w:rsidR="00E932C8" w:rsidRPr="00E932C8" w:rsidRDefault="00E932C8" w:rsidP="00E932C8">
      <w:pPr>
        <w:adjustRightInd w:val="0"/>
        <w:snapToGrid w:val="0"/>
        <w:spacing w:line="360" w:lineRule="auto"/>
        <w:ind w:firstLineChars="200" w:firstLine="420"/>
        <w:rPr>
          <w:rFonts w:ascii="宋体" w:eastAsia="宋体" w:hAnsi="宋体"/>
          <w:szCs w:val="24"/>
        </w:rPr>
      </w:pPr>
      <w:r w:rsidRPr="00E932C8">
        <w:rPr>
          <w:rFonts w:ascii="宋体" w:eastAsia="宋体" w:hAnsi="宋体" w:hint="eastAsia"/>
        </w:rPr>
        <w:t>（二）</w:t>
      </w:r>
      <w:r w:rsidRPr="00E932C8">
        <w:rPr>
          <w:rFonts w:ascii="宋体" w:eastAsia="宋体" w:hAnsi="宋体"/>
        </w:rPr>
        <w:t>基金转型后的投资策略</w:t>
      </w:r>
    </w:p>
    <w:p w:rsidR="00E932C8" w:rsidRPr="00E932C8" w:rsidRDefault="00E932C8" w:rsidP="00E932C8">
      <w:pPr>
        <w:adjustRightInd w:val="0"/>
        <w:snapToGrid w:val="0"/>
        <w:spacing w:line="360" w:lineRule="auto"/>
        <w:ind w:firstLineChars="200" w:firstLine="420"/>
        <w:rPr>
          <w:rFonts w:ascii="宋体" w:eastAsia="宋体" w:hAnsi="宋体"/>
          <w:szCs w:val="24"/>
        </w:rPr>
      </w:pPr>
      <w:r w:rsidRPr="00E932C8">
        <w:rPr>
          <w:rFonts w:ascii="宋体" w:eastAsia="宋体" w:hAnsi="宋体" w:hint="eastAsia"/>
          <w:szCs w:val="24"/>
        </w:rPr>
        <w:t>1、大类资产配置策略</w:t>
      </w:r>
    </w:p>
    <w:p w:rsidR="00E932C8" w:rsidRPr="00E932C8" w:rsidRDefault="00E932C8" w:rsidP="00E932C8">
      <w:pPr>
        <w:adjustRightInd w:val="0"/>
        <w:snapToGrid w:val="0"/>
        <w:spacing w:line="360" w:lineRule="auto"/>
        <w:ind w:firstLineChars="200" w:firstLine="420"/>
        <w:rPr>
          <w:rFonts w:ascii="宋体" w:eastAsia="宋体" w:hAnsi="宋体"/>
          <w:szCs w:val="24"/>
        </w:rPr>
      </w:pPr>
      <w:r w:rsidRPr="00E932C8">
        <w:rPr>
          <w:rFonts w:ascii="宋体" w:eastAsia="宋体" w:hAnsi="宋体" w:hint="eastAsia"/>
          <w:szCs w:val="24"/>
        </w:rPr>
        <w:t>本基金依据定期公布的宏观和金融数据以及投资部门对于宏观经济、股市政策、市场趋势的综合分析，重点关注包括</w:t>
      </w:r>
      <w:r w:rsidRPr="00E932C8">
        <w:rPr>
          <w:rFonts w:ascii="宋体" w:eastAsia="宋体" w:hAnsi="宋体"/>
          <w:szCs w:val="24"/>
        </w:rPr>
        <w:t xml:space="preserve"> GDP </w:t>
      </w:r>
      <w:r w:rsidRPr="00E932C8">
        <w:rPr>
          <w:rFonts w:ascii="宋体" w:eastAsia="宋体" w:hAnsi="宋体" w:hint="eastAsia"/>
          <w:szCs w:val="24"/>
        </w:rPr>
        <w:t>增速、固定资产投资增速、净出口增速、通胀率、货币供应、利率等宏观指标的变化趋势，同时强调金融市场投资者行为分析，关注资本市场资金供求关系变化等因素，在深入分析和充分论证的基础上评估宏观经济运行及政策对资本市场的影响方向和力度，形成资产配置的整体规划，灵活调整股票资产的仓位。</w:t>
      </w:r>
    </w:p>
    <w:p w:rsidR="00E932C8" w:rsidRPr="00E932C8" w:rsidRDefault="00E932C8" w:rsidP="00E932C8">
      <w:pPr>
        <w:adjustRightInd w:val="0"/>
        <w:snapToGrid w:val="0"/>
        <w:spacing w:line="360" w:lineRule="auto"/>
        <w:ind w:firstLineChars="200" w:firstLine="420"/>
        <w:rPr>
          <w:rFonts w:ascii="宋体" w:eastAsia="宋体" w:hAnsi="宋体"/>
          <w:szCs w:val="24"/>
        </w:rPr>
      </w:pPr>
      <w:r w:rsidRPr="00E932C8">
        <w:rPr>
          <w:rFonts w:ascii="宋体" w:eastAsia="宋体" w:hAnsi="宋体" w:hint="eastAsia"/>
          <w:szCs w:val="24"/>
        </w:rPr>
        <w:t>2、股票投资策略</w:t>
      </w:r>
    </w:p>
    <w:p w:rsidR="00E932C8" w:rsidRPr="00E932C8" w:rsidRDefault="00E932C8" w:rsidP="00E932C8">
      <w:pPr>
        <w:adjustRightInd w:val="0"/>
        <w:snapToGrid w:val="0"/>
        <w:spacing w:line="360" w:lineRule="auto"/>
        <w:ind w:firstLineChars="200" w:firstLine="420"/>
        <w:rPr>
          <w:rFonts w:ascii="宋体" w:eastAsia="宋体" w:hAnsi="宋体"/>
          <w:szCs w:val="24"/>
        </w:rPr>
      </w:pPr>
      <w:r w:rsidRPr="00E932C8">
        <w:rPr>
          <w:rFonts w:ascii="宋体" w:eastAsia="宋体" w:hAnsi="宋体" w:hint="eastAsia"/>
          <w:szCs w:val="24"/>
        </w:rPr>
        <w:t>（1）</w:t>
      </w:r>
      <w:r w:rsidRPr="00E932C8">
        <w:rPr>
          <w:rFonts w:ascii="宋体" w:eastAsia="宋体" w:hAnsi="宋体"/>
          <w:szCs w:val="24"/>
        </w:rPr>
        <w:t>A</w:t>
      </w:r>
      <w:r w:rsidRPr="00E932C8">
        <w:rPr>
          <w:rFonts w:ascii="宋体" w:eastAsia="宋体" w:hAnsi="宋体" w:hint="eastAsia"/>
          <w:szCs w:val="24"/>
        </w:rPr>
        <w:t>股投资策略</w:t>
      </w:r>
    </w:p>
    <w:p w:rsidR="00E932C8" w:rsidRPr="00E932C8" w:rsidRDefault="00E932C8" w:rsidP="00E932C8">
      <w:pPr>
        <w:adjustRightInd w:val="0"/>
        <w:snapToGrid w:val="0"/>
        <w:spacing w:line="360" w:lineRule="auto"/>
        <w:ind w:firstLineChars="200" w:firstLine="420"/>
        <w:rPr>
          <w:rFonts w:ascii="宋体" w:eastAsia="宋体" w:hAnsi="宋体"/>
          <w:szCs w:val="24"/>
        </w:rPr>
      </w:pPr>
      <w:r w:rsidRPr="00E932C8">
        <w:rPr>
          <w:rFonts w:ascii="宋体" w:eastAsia="宋体" w:hAnsi="宋体" w:hint="eastAsia"/>
          <w:szCs w:val="24"/>
        </w:rPr>
        <w:t>本基金主要采取自下而上的选股策略。</w:t>
      </w:r>
    </w:p>
    <w:p w:rsidR="00E932C8" w:rsidRPr="00E932C8" w:rsidRDefault="00E932C8" w:rsidP="00E932C8">
      <w:pPr>
        <w:adjustRightInd w:val="0"/>
        <w:snapToGrid w:val="0"/>
        <w:spacing w:line="360" w:lineRule="auto"/>
        <w:ind w:firstLineChars="200" w:firstLine="420"/>
        <w:rPr>
          <w:rFonts w:ascii="宋体" w:eastAsia="宋体" w:hAnsi="宋体"/>
          <w:szCs w:val="24"/>
        </w:rPr>
      </w:pPr>
      <w:r w:rsidRPr="00E932C8">
        <w:rPr>
          <w:rFonts w:ascii="宋体" w:eastAsia="宋体" w:hAnsi="宋体"/>
          <w:szCs w:val="24"/>
        </w:rPr>
        <w:t>1</w:t>
      </w:r>
      <w:r w:rsidRPr="00E932C8">
        <w:rPr>
          <w:rFonts w:ascii="宋体" w:eastAsia="宋体" w:hAnsi="宋体" w:hint="eastAsia"/>
          <w:szCs w:val="24"/>
        </w:rPr>
        <w:t>）使用定量分析的方法，通过财务和运营数据进行企业价值评估，初步筛选出具备优势的股票作为备选投资标的。本基金主要从盈利能力、成长能力以及估值水平等方面对股票进行考量。</w:t>
      </w:r>
    </w:p>
    <w:p w:rsidR="00E932C8" w:rsidRPr="00E932C8" w:rsidRDefault="00E932C8" w:rsidP="00E932C8">
      <w:pPr>
        <w:adjustRightInd w:val="0"/>
        <w:snapToGrid w:val="0"/>
        <w:spacing w:line="360" w:lineRule="auto"/>
        <w:ind w:firstLineChars="200" w:firstLine="420"/>
        <w:rPr>
          <w:rFonts w:ascii="宋体" w:eastAsia="宋体" w:hAnsi="宋体"/>
          <w:szCs w:val="24"/>
        </w:rPr>
      </w:pPr>
      <w:r w:rsidRPr="00E932C8">
        <w:rPr>
          <w:rFonts w:ascii="宋体" w:eastAsia="宋体" w:hAnsi="宋体" w:hint="eastAsia"/>
          <w:szCs w:val="24"/>
        </w:rPr>
        <w:t>盈利能力方面，本基金主要通过净资产收益率（</w:t>
      </w:r>
      <w:r w:rsidRPr="00E932C8">
        <w:rPr>
          <w:rFonts w:ascii="宋体" w:eastAsia="宋体" w:hAnsi="宋体"/>
          <w:szCs w:val="24"/>
        </w:rPr>
        <w:t>ROE</w:t>
      </w:r>
      <w:r w:rsidRPr="00E932C8">
        <w:rPr>
          <w:rFonts w:ascii="宋体" w:eastAsia="宋体" w:hAnsi="宋体" w:hint="eastAsia"/>
          <w:szCs w:val="24"/>
        </w:rPr>
        <w:t>），毛利率，净利率，</w:t>
      </w:r>
      <w:r w:rsidRPr="00E932C8">
        <w:rPr>
          <w:rFonts w:ascii="宋体" w:eastAsia="宋体" w:hAnsi="宋体"/>
          <w:szCs w:val="24"/>
        </w:rPr>
        <w:t>EBITDA/</w:t>
      </w:r>
      <w:r w:rsidRPr="00E932C8">
        <w:rPr>
          <w:rFonts w:ascii="宋体" w:eastAsia="宋体" w:hAnsi="宋体" w:hint="eastAsia"/>
          <w:szCs w:val="24"/>
        </w:rPr>
        <w:t>主营业务收入等指标分析评估上市公司创造利润的能力；</w:t>
      </w:r>
    </w:p>
    <w:p w:rsidR="00E932C8" w:rsidRPr="00E932C8" w:rsidRDefault="00E932C8" w:rsidP="00E932C8">
      <w:pPr>
        <w:adjustRightInd w:val="0"/>
        <w:snapToGrid w:val="0"/>
        <w:spacing w:line="360" w:lineRule="auto"/>
        <w:ind w:firstLineChars="200" w:firstLine="420"/>
        <w:rPr>
          <w:rFonts w:ascii="宋体" w:eastAsia="宋体" w:hAnsi="宋体"/>
          <w:szCs w:val="24"/>
        </w:rPr>
      </w:pPr>
      <w:r w:rsidRPr="00E932C8">
        <w:rPr>
          <w:rFonts w:ascii="宋体" w:eastAsia="宋体" w:hAnsi="宋体" w:hint="eastAsia"/>
          <w:szCs w:val="24"/>
        </w:rPr>
        <w:t>成长能力方面，本基金主要通过</w:t>
      </w:r>
      <w:r w:rsidRPr="00E932C8">
        <w:rPr>
          <w:rFonts w:ascii="宋体" w:eastAsia="宋体" w:hAnsi="宋体"/>
          <w:szCs w:val="24"/>
        </w:rPr>
        <w:t xml:space="preserve"> EPS </w:t>
      </w:r>
      <w:r w:rsidRPr="00E932C8">
        <w:rPr>
          <w:rFonts w:ascii="宋体" w:eastAsia="宋体" w:hAnsi="宋体" w:hint="eastAsia"/>
          <w:szCs w:val="24"/>
        </w:rPr>
        <w:t>增长率和主营业务收入增长率等指标分析评估上市公司未来的盈利增长速度；</w:t>
      </w:r>
    </w:p>
    <w:p w:rsidR="00E932C8" w:rsidRPr="00E932C8" w:rsidRDefault="00E932C8" w:rsidP="00E932C8">
      <w:pPr>
        <w:adjustRightInd w:val="0"/>
        <w:snapToGrid w:val="0"/>
        <w:spacing w:line="360" w:lineRule="auto"/>
        <w:ind w:firstLineChars="200" w:firstLine="420"/>
        <w:rPr>
          <w:rFonts w:ascii="宋体" w:eastAsia="宋体" w:hAnsi="宋体"/>
          <w:szCs w:val="24"/>
        </w:rPr>
      </w:pPr>
      <w:r w:rsidRPr="00E932C8">
        <w:rPr>
          <w:rFonts w:ascii="宋体" w:eastAsia="宋体" w:hAnsi="宋体" w:hint="eastAsia"/>
          <w:szCs w:val="24"/>
        </w:rPr>
        <w:t>估值水平方面，本基金主要通过市盈率（</w:t>
      </w:r>
      <w:r w:rsidRPr="00E932C8">
        <w:rPr>
          <w:rFonts w:ascii="宋体" w:eastAsia="宋体" w:hAnsi="宋体"/>
          <w:szCs w:val="24"/>
        </w:rPr>
        <w:t>P/E</w:t>
      </w:r>
      <w:r w:rsidRPr="00E932C8">
        <w:rPr>
          <w:rFonts w:ascii="宋体" w:eastAsia="宋体" w:hAnsi="宋体" w:hint="eastAsia"/>
          <w:szCs w:val="24"/>
        </w:rPr>
        <w:t>）、市净率（</w:t>
      </w:r>
      <w:r w:rsidRPr="00E932C8">
        <w:rPr>
          <w:rFonts w:ascii="宋体" w:eastAsia="宋体" w:hAnsi="宋体"/>
          <w:szCs w:val="24"/>
        </w:rPr>
        <w:t>P/B</w:t>
      </w:r>
      <w:r w:rsidRPr="00E932C8">
        <w:rPr>
          <w:rFonts w:ascii="宋体" w:eastAsia="宋体" w:hAnsi="宋体" w:hint="eastAsia"/>
          <w:szCs w:val="24"/>
        </w:rPr>
        <w:t>）、市盈增长比率（</w:t>
      </w:r>
      <w:r w:rsidRPr="00E932C8">
        <w:rPr>
          <w:rFonts w:ascii="宋体" w:eastAsia="宋体" w:hAnsi="宋体"/>
          <w:szCs w:val="24"/>
        </w:rPr>
        <w:t>PEG</w:t>
      </w:r>
      <w:r w:rsidRPr="00E932C8">
        <w:rPr>
          <w:rFonts w:ascii="宋体" w:eastAsia="宋体" w:hAnsi="宋体" w:hint="eastAsia"/>
          <w:szCs w:val="24"/>
        </w:rPr>
        <w:t>）、自由现金流贴现（</w:t>
      </w:r>
      <w:r w:rsidRPr="00E932C8">
        <w:rPr>
          <w:rFonts w:ascii="宋体" w:eastAsia="宋体" w:hAnsi="宋体"/>
          <w:szCs w:val="24"/>
        </w:rPr>
        <w:t>FCFF</w:t>
      </w:r>
      <w:r w:rsidRPr="00E932C8">
        <w:rPr>
          <w:rFonts w:ascii="宋体" w:eastAsia="宋体" w:hAnsi="宋体" w:hint="eastAsia"/>
          <w:szCs w:val="24"/>
        </w:rPr>
        <w:t>，</w:t>
      </w:r>
      <w:r w:rsidRPr="00E932C8">
        <w:rPr>
          <w:rFonts w:ascii="宋体" w:eastAsia="宋体" w:hAnsi="宋体"/>
          <w:szCs w:val="24"/>
        </w:rPr>
        <w:t>FCFE</w:t>
      </w:r>
      <w:r w:rsidRPr="00E932C8">
        <w:rPr>
          <w:rFonts w:ascii="宋体" w:eastAsia="宋体" w:hAnsi="宋体" w:hint="eastAsia"/>
          <w:szCs w:val="24"/>
        </w:rPr>
        <w:t>）和企业价值</w:t>
      </w:r>
      <w:r w:rsidRPr="00E932C8">
        <w:rPr>
          <w:rFonts w:ascii="宋体" w:eastAsia="宋体" w:hAnsi="宋体"/>
          <w:szCs w:val="24"/>
        </w:rPr>
        <w:t xml:space="preserve">/EBITDA </w:t>
      </w:r>
      <w:r w:rsidRPr="00E932C8">
        <w:rPr>
          <w:rFonts w:ascii="宋体" w:eastAsia="宋体" w:hAnsi="宋体" w:hint="eastAsia"/>
          <w:szCs w:val="24"/>
        </w:rPr>
        <w:t>等指标分析评估股票的估值是否有吸引力。</w:t>
      </w:r>
    </w:p>
    <w:p w:rsidR="00E932C8" w:rsidRPr="00E932C8" w:rsidRDefault="00E932C8" w:rsidP="00E932C8">
      <w:pPr>
        <w:adjustRightInd w:val="0"/>
        <w:snapToGrid w:val="0"/>
        <w:spacing w:line="360" w:lineRule="auto"/>
        <w:ind w:firstLineChars="200" w:firstLine="420"/>
        <w:rPr>
          <w:rFonts w:ascii="宋体" w:eastAsia="宋体" w:hAnsi="宋体"/>
          <w:szCs w:val="24"/>
        </w:rPr>
      </w:pPr>
      <w:r w:rsidRPr="00E932C8">
        <w:rPr>
          <w:rFonts w:ascii="宋体" w:eastAsia="宋体" w:hAnsi="宋体"/>
          <w:szCs w:val="24"/>
        </w:rPr>
        <w:t>2</w:t>
      </w:r>
      <w:r w:rsidRPr="00E932C8">
        <w:rPr>
          <w:rFonts w:ascii="宋体" w:eastAsia="宋体" w:hAnsi="宋体" w:hint="eastAsia"/>
          <w:szCs w:val="24"/>
        </w:rPr>
        <w:t>）公司质量评估</w:t>
      </w:r>
    </w:p>
    <w:p w:rsidR="00E932C8" w:rsidRPr="00E932C8" w:rsidRDefault="00E932C8" w:rsidP="00E932C8">
      <w:pPr>
        <w:adjustRightInd w:val="0"/>
        <w:snapToGrid w:val="0"/>
        <w:spacing w:line="360" w:lineRule="auto"/>
        <w:ind w:firstLineChars="200" w:firstLine="420"/>
        <w:rPr>
          <w:rFonts w:ascii="宋体" w:eastAsia="宋体" w:hAnsi="宋体"/>
          <w:szCs w:val="24"/>
        </w:rPr>
      </w:pPr>
      <w:r w:rsidRPr="00E932C8">
        <w:rPr>
          <w:rFonts w:ascii="宋体" w:eastAsia="宋体" w:hAnsi="宋体" w:hint="eastAsia"/>
          <w:szCs w:val="24"/>
        </w:rPr>
        <w:t>在定量分析的基础上，基金管理人将深入调研上市公司，并基于公司治理、公司发展战略、基本面变化、竞争优势、管理水平、估值比较和行业景气度趋势等关健因素，评估上市公司的中长期发展前景、成长性和核心竞争力，进一步优化备选投资标的。</w:t>
      </w:r>
    </w:p>
    <w:p w:rsidR="00E932C8" w:rsidRPr="00E932C8" w:rsidRDefault="00E932C8" w:rsidP="00E932C8">
      <w:pPr>
        <w:adjustRightInd w:val="0"/>
        <w:snapToGrid w:val="0"/>
        <w:spacing w:line="360" w:lineRule="auto"/>
        <w:ind w:firstLineChars="200" w:firstLine="420"/>
        <w:rPr>
          <w:rFonts w:ascii="宋体" w:eastAsia="宋体" w:hAnsi="宋体"/>
          <w:szCs w:val="24"/>
        </w:rPr>
      </w:pPr>
      <w:r w:rsidRPr="00E932C8">
        <w:rPr>
          <w:rFonts w:ascii="宋体" w:eastAsia="宋体" w:hAnsi="宋体" w:hint="eastAsia"/>
          <w:szCs w:val="24"/>
        </w:rPr>
        <w:t>（</w:t>
      </w:r>
      <w:r w:rsidRPr="00E932C8">
        <w:rPr>
          <w:rFonts w:ascii="宋体" w:eastAsia="宋体" w:hAnsi="宋体"/>
          <w:szCs w:val="24"/>
        </w:rPr>
        <w:t>2</w:t>
      </w:r>
      <w:r w:rsidRPr="00E932C8">
        <w:rPr>
          <w:rFonts w:ascii="宋体" w:eastAsia="宋体" w:hAnsi="宋体" w:hint="eastAsia"/>
          <w:szCs w:val="24"/>
        </w:rPr>
        <w:t>）港股投资策略</w:t>
      </w:r>
    </w:p>
    <w:p w:rsidR="00E932C8" w:rsidRPr="00E932C8" w:rsidRDefault="00E932C8" w:rsidP="00E932C8">
      <w:pPr>
        <w:adjustRightInd w:val="0"/>
        <w:snapToGrid w:val="0"/>
        <w:spacing w:line="360" w:lineRule="auto"/>
        <w:ind w:firstLineChars="200" w:firstLine="420"/>
        <w:rPr>
          <w:rFonts w:ascii="宋体" w:eastAsia="宋体" w:hAnsi="宋体"/>
          <w:szCs w:val="24"/>
        </w:rPr>
      </w:pPr>
      <w:r w:rsidRPr="00E932C8">
        <w:rPr>
          <w:rFonts w:ascii="宋体" w:eastAsia="宋体" w:hAnsi="宋体" w:hint="eastAsia"/>
          <w:szCs w:val="24"/>
        </w:rPr>
        <w:t>本基金所投资香港市场股票标的除适用上述股票投资策略外，还需关注：</w:t>
      </w:r>
      <w:r w:rsidRPr="00E932C8">
        <w:rPr>
          <w:rFonts w:ascii="宋体" w:eastAsia="宋体" w:hAnsi="宋体"/>
          <w:szCs w:val="24"/>
        </w:rPr>
        <w:t>1</w:t>
      </w:r>
      <w:r w:rsidRPr="00E932C8">
        <w:rPr>
          <w:rFonts w:ascii="宋体" w:eastAsia="宋体" w:hAnsi="宋体" w:hint="eastAsia"/>
          <w:szCs w:val="24"/>
        </w:rPr>
        <w:t>）香港股票市场制度与大陆股票市场存在的差异对股票投资价值的影响，比如行业分布、交易制度、市场流动性、投资者结构、市场波动性、涨跌停限制、估值与盈利回报等方面；</w:t>
      </w:r>
      <w:r w:rsidRPr="00E932C8">
        <w:rPr>
          <w:rFonts w:ascii="宋体" w:eastAsia="宋体" w:hAnsi="宋体"/>
          <w:szCs w:val="24"/>
        </w:rPr>
        <w:t>2</w:t>
      </w:r>
      <w:r w:rsidRPr="00E932C8">
        <w:rPr>
          <w:rFonts w:ascii="宋体" w:eastAsia="宋体" w:hAnsi="宋体" w:hint="eastAsia"/>
          <w:szCs w:val="24"/>
        </w:rPr>
        <w:t>）人民币与港币之间的汇兑比率变化情况。</w:t>
      </w:r>
    </w:p>
    <w:p w:rsidR="00E932C8" w:rsidRPr="00E932C8" w:rsidRDefault="00E932C8" w:rsidP="00E932C8">
      <w:pPr>
        <w:adjustRightInd w:val="0"/>
        <w:snapToGrid w:val="0"/>
        <w:spacing w:line="360" w:lineRule="auto"/>
        <w:ind w:firstLineChars="200" w:firstLine="420"/>
        <w:rPr>
          <w:rFonts w:ascii="宋体" w:eastAsia="宋体" w:hAnsi="宋体"/>
          <w:szCs w:val="24"/>
        </w:rPr>
      </w:pPr>
      <w:r w:rsidRPr="00E932C8">
        <w:rPr>
          <w:rFonts w:ascii="宋体" w:eastAsia="宋体" w:hAnsi="宋体" w:hint="eastAsia"/>
          <w:szCs w:val="24"/>
        </w:rPr>
        <w:t>3、债券投资策略</w:t>
      </w:r>
    </w:p>
    <w:p w:rsidR="00E932C8" w:rsidRPr="00E932C8" w:rsidRDefault="00E932C8" w:rsidP="00E932C8">
      <w:pPr>
        <w:adjustRightInd w:val="0"/>
        <w:snapToGrid w:val="0"/>
        <w:spacing w:line="360" w:lineRule="auto"/>
        <w:ind w:firstLineChars="200" w:firstLine="420"/>
        <w:rPr>
          <w:rFonts w:ascii="宋体" w:eastAsia="宋体" w:hAnsi="宋体"/>
          <w:szCs w:val="24"/>
        </w:rPr>
      </w:pPr>
      <w:r w:rsidRPr="00E932C8">
        <w:rPr>
          <w:rFonts w:ascii="宋体" w:eastAsia="宋体" w:hAnsi="宋体" w:hint="eastAsia"/>
          <w:szCs w:val="24"/>
        </w:rPr>
        <w:t>本基金采用债券投资策略包括：久期策略、期限结构策略、个券选择策略和相对价值判断策略等，对于可转换公司债、信用债等投资品种，将根据其特点采取相应的投资策略。</w:t>
      </w:r>
    </w:p>
    <w:p w:rsidR="00E932C8" w:rsidRPr="00E932C8" w:rsidRDefault="00E932C8" w:rsidP="00E932C8">
      <w:pPr>
        <w:adjustRightInd w:val="0"/>
        <w:snapToGrid w:val="0"/>
        <w:spacing w:line="360" w:lineRule="auto"/>
        <w:ind w:firstLineChars="200" w:firstLine="420"/>
        <w:rPr>
          <w:rFonts w:ascii="宋体" w:eastAsia="宋体" w:hAnsi="宋体"/>
          <w:szCs w:val="24"/>
        </w:rPr>
      </w:pPr>
      <w:r w:rsidRPr="00E932C8">
        <w:rPr>
          <w:rFonts w:ascii="宋体" w:eastAsia="宋体" w:hAnsi="宋体" w:hint="eastAsia"/>
          <w:szCs w:val="24"/>
        </w:rPr>
        <w:t>（1）久期策略</w:t>
      </w:r>
    </w:p>
    <w:p w:rsidR="00E932C8" w:rsidRPr="00E932C8" w:rsidRDefault="00E932C8" w:rsidP="00E932C8">
      <w:pPr>
        <w:adjustRightInd w:val="0"/>
        <w:snapToGrid w:val="0"/>
        <w:spacing w:line="360" w:lineRule="auto"/>
        <w:ind w:firstLineChars="200" w:firstLine="420"/>
        <w:rPr>
          <w:rFonts w:ascii="宋体" w:eastAsia="宋体" w:hAnsi="宋体"/>
          <w:szCs w:val="24"/>
        </w:rPr>
      </w:pPr>
      <w:r w:rsidRPr="00E932C8">
        <w:rPr>
          <w:rFonts w:ascii="宋体" w:eastAsia="宋体" w:hAnsi="宋体" w:hint="eastAsia"/>
          <w:szCs w:val="24"/>
        </w:rPr>
        <w:t>根据国内外的宏观经济形势、经济周期、国家的货币政策、汇率政策等经济因素，对未来利率走势做出预测，并确定本基金投资组合久期的长短。</w:t>
      </w:r>
    </w:p>
    <w:p w:rsidR="00E932C8" w:rsidRPr="00E932C8" w:rsidRDefault="00E932C8" w:rsidP="00E932C8">
      <w:pPr>
        <w:adjustRightInd w:val="0"/>
        <w:snapToGrid w:val="0"/>
        <w:spacing w:line="360" w:lineRule="auto"/>
        <w:ind w:firstLineChars="200" w:firstLine="420"/>
        <w:rPr>
          <w:rFonts w:ascii="宋体" w:eastAsia="宋体" w:hAnsi="宋体"/>
          <w:szCs w:val="24"/>
        </w:rPr>
      </w:pPr>
      <w:r w:rsidRPr="00E932C8">
        <w:rPr>
          <w:rFonts w:ascii="宋体" w:eastAsia="宋体" w:hAnsi="宋体" w:hint="eastAsia"/>
          <w:szCs w:val="24"/>
        </w:rPr>
        <w:t>（2）期限结构策略</w:t>
      </w:r>
    </w:p>
    <w:p w:rsidR="00E932C8" w:rsidRPr="00E932C8" w:rsidRDefault="00E932C8" w:rsidP="00E932C8">
      <w:pPr>
        <w:adjustRightInd w:val="0"/>
        <w:snapToGrid w:val="0"/>
        <w:spacing w:line="360" w:lineRule="auto"/>
        <w:ind w:firstLineChars="200" w:firstLine="420"/>
        <w:rPr>
          <w:rFonts w:ascii="宋体" w:eastAsia="宋体" w:hAnsi="宋体"/>
          <w:szCs w:val="24"/>
        </w:rPr>
      </w:pPr>
      <w:r w:rsidRPr="00E932C8">
        <w:rPr>
          <w:rFonts w:ascii="宋体" w:eastAsia="宋体" w:hAnsi="宋体" w:hint="eastAsia"/>
          <w:szCs w:val="24"/>
        </w:rPr>
        <w:t>根据国际国内经济形势、国家的货币政策、汇率政策、货币市场的供需关系、投资者对未来利率的预期等因素，对收益率曲线的变动趋势及变动幅度做出预测，收益率曲线的变动趋势包括：向上平行移动、向下平行移动、曲线趋缓转折、曲线陡峭转折、曲线正蝶式移动、曲线反蝶式移动，并根据变动趋势及变动幅度预测来决定信用投资产品组合的期限结构，然后选择采取相应的期限结构策略。</w:t>
      </w:r>
    </w:p>
    <w:p w:rsidR="00E932C8" w:rsidRPr="00E932C8" w:rsidRDefault="00E932C8" w:rsidP="00E932C8">
      <w:pPr>
        <w:adjustRightInd w:val="0"/>
        <w:snapToGrid w:val="0"/>
        <w:spacing w:line="360" w:lineRule="auto"/>
        <w:ind w:firstLineChars="200" w:firstLine="420"/>
        <w:rPr>
          <w:rFonts w:ascii="宋体" w:eastAsia="宋体" w:hAnsi="宋体"/>
          <w:szCs w:val="24"/>
        </w:rPr>
      </w:pPr>
      <w:r w:rsidRPr="00E932C8">
        <w:rPr>
          <w:rFonts w:ascii="宋体" w:eastAsia="宋体" w:hAnsi="宋体" w:hint="eastAsia"/>
          <w:szCs w:val="24"/>
        </w:rPr>
        <w:t>（3）个券选择策略</w:t>
      </w:r>
    </w:p>
    <w:p w:rsidR="00E932C8" w:rsidRPr="00E932C8" w:rsidRDefault="00E932C8" w:rsidP="00E932C8">
      <w:pPr>
        <w:adjustRightInd w:val="0"/>
        <w:snapToGrid w:val="0"/>
        <w:spacing w:line="360" w:lineRule="auto"/>
        <w:ind w:firstLineChars="200" w:firstLine="420"/>
        <w:rPr>
          <w:rFonts w:ascii="宋体" w:eastAsia="宋体" w:hAnsi="宋体"/>
          <w:szCs w:val="24"/>
        </w:rPr>
      </w:pPr>
      <w:r w:rsidRPr="00E932C8">
        <w:rPr>
          <w:rFonts w:ascii="宋体" w:eastAsia="宋体" w:hAnsi="宋体" w:hint="eastAsia"/>
          <w:szCs w:val="24"/>
        </w:rPr>
        <w:t>通过分析债券收益率曲线变动、各期限段品种收益率及收益率基差波动等因素，预测收益率曲线的变动趋势，并结合流动性偏好、信用分析等多种市场因素进行分析，综合评判个券的投资价值。在个券选择的基础上，构建模拟组合，并比较不同模拟组合之间的收益和风险匹配情况，确定风险、收益匹配最佳的组合。</w:t>
      </w:r>
    </w:p>
    <w:p w:rsidR="00E932C8" w:rsidRPr="00E932C8" w:rsidRDefault="00E932C8" w:rsidP="00E932C8">
      <w:pPr>
        <w:adjustRightInd w:val="0"/>
        <w:snapToGrid w:val="0"/>
        <w:spacing w:line="360" w:lineRule="auto"/>
        <w:ind w:firstLineChars="200" w:firstLine="420"/>
        <w:rPr>
          <w:rFonts w:ascii="宋体" w:eastAsia="宋体" w:hAnsi="宋体"/>
          <w:szCs w:val="24"/>
        </w:rPr>
      </w:pPr>
      <w:r w:rsidRPr="00E932C8">
        <w:rPr>
          <w:rFonts w:ascii="宋体" w:eastAsia="宋体" w:hAnsi="宋体" w:hint="eastAsia"/>
          <w:szCs w:val="24"/>
        </w:rPr>
        <w:t>（</w:t>
      </w:r>
      <w:r w:rsidRPr="00E932C8">
        <w:rPr>
          <w:rFonts w:ascii="宋体" w:eastAsia="宋体" w:hAnsi="宋体"/>
          <w:szCs w:val="24"/>
        </w:rPr>
        <w:t>4</w:t>
      </w:r>
      <w:r w:rsidRPr="00E932C8">
        <w:rPr>
          <w:rFonts w:ascii="宋体" w:eastAsia="宋体" w:hAnsi="宋体" w:hint="eastAsia"/>
          <w:szCs w:val="24"/>
        </w:rPr>
        <w:t>）相对价值判断策略</w:t>
      </w:r>
    </w:p>
    <w:p w:rsidR="00E932C8" w:rsidRPr="00E932C8" w:rsidRDefault="00E932C8" w:rsidP="00E932C8">
      <w:pPr>
        <w:adjustRightInd w:val="0"/>
        <w:snapToGrid w:val="0"/>
        <w:spacing w:line="360" w:lineRule="auto"/>
        <w:ind w:firstLineChars="200" w:firstLine="420"/>
        <w:rPr>
          <w:rFonts w:ascii="宋体" w:eastAsia="宋体" w:hAnsi="宋体"/>
          <w:szCs w:val="24"/>
        </w:rPr>
      </w:pPr>
      <w:r w:rsidRPr="00E932C8">
        <w:rPr>
          <w:rFonts w:ascii="宋体" w:eastAsia="宋体" w:hAnsi="宋体" w:hint="eastAsia"/>
          <w:szCs w:val="24"/>
        </w:rPr>
        <w:t>根据对同类债券的相对价值判断，选择合适的交易时机，增持相对低估、价格将上升的债券，减持相对高估、价格将下降的债券。</w:t>
      </w:r>
    </w:p>
    <w:p w:rsidR="00E932C8" w:rsidRPr="00E932C8" w:rsidRDefault="00E932C8" w:rsidP="00E932C8">
      <w:pPr>
        <w:adjustRightInd w:val="0"/>
        <w:snapToGrid w:val="0"/>
        <w:spacing w:line="360" w:lineRule="auto"/>
        <w:ind w:firstLineChars="200" w:firstLine="420"/>
        <w:rPr>
          <w:rFonts w:ascii="宋体" w:eastAsia="宋体" w:hAnsi="宋体"/>
          <w:szCs w:val="24"/>
        </w:rPr>
      </w:pPr>
      <w:r w:rsidRPr="00E932C8">
        <w:rPr>
          <w:rFonts w:ascii="宋体" w:eastAsia="宋体" w:hAnsi="宋体" w:hint="eastAsia"/>
          <w:szCs w:val="24"/>
        </w:rPr>
        <w:t>（5）可转换公司债投资策略</w:t>
      </w:r>
    </w:p>
    <w:p w:rsidR="00E932C8" w:rsidRPr="00E932C8" w:rsidRDefault="00E932C8" w:rsidP="00E932C8">
      <w:pPr>
        <w:adjustRightInd w:val="0"/>
        <w:snapToGrid w:val="0"/>
        <w:spacing w:line="360" w:lineRule="auto"/>
        <w:ind w:firstLineChars="200" w:firstLine="420"/>
        <w:rPr>
          <w:rFonts w:ascii="宋体" w:eastAsia="宋体" w:hAnsi="宋体"/>
          <w:szCs w:val="24"/>
        </w:rPr>
      </w:pPr>
      <w:r w:rsidRPr="00E932C8">
        <w:rPr>
          <w:rFonts w:ascii="宋体" w:eastAsia="宋体" w:hAnsi="宋体" w:hint="eastAsia"/>
          <w:szCs w:val="24"/>
        </w:rPr>
        <w:t>由于可转债兼具债性和股性，其投资风险和收益介于股票和债券之间，可转债相对价值分析策略通过分析不同市场环境下其股性和债性的相对价值，把握可转债的价值走向，选择相应券种，从而获取较高投资收益。</w:t>
      </w:r>
    </w:p>
    <w:p w:rsidR="00E932C8" w:rsidRPr="00E932C8" w:rsidRDefault="00E932C8" w:rsidP="00E932C8">
      <w:pPr>
        <w:adjustRightInd w:val="0"/>
        <w:snapToGrid w:val="0"/>
        <w:spacing w:line="360" w:lineRule="auto"/>
        <w:ind w:firstLineChars="200" w:firstLine="420"/>
        <w:rPr>
          <w:rFonts w:ascii="宋体" w:eastAsia="宋体" w:hAnsi="宋体"/>
          <w:szCs w:val="24"/>
        </w:rPr>
      </w:pPr>
      <w:r w:rsidRPr="00E932C8">
        <w:rPr>
          <w:rFonts w:ascii="宋体" w:eastAsia="宋体" w:hAnsi="宋体" w:hint="eastAsia"/>
          <w:szCs w:val="24"/>
        </w:rPr>
        <w:t>（6）信用债投资策略</w:t>
      </w:r>
    </w:p>
    <w:p w:rsidR="00E932C8" w:rsidRPr="00E932C8" w:rsidRDefault="00E932C8" w:rsidP="00E932C8">
      <w:pPr>
        <w:adjustRightInd w:val="0"/>
        <w:snapToGrid w:val="0"/>
        <w:spacing w:line="360" w:lineRule="auto"/>
        <w:ind w:firstLineChars="200" w:firstLine="420"/>
        <w:rPr>
          <w:rFonts w:ascii="宋体" w:eastAsia="宋体" w:hAnsi="宋体"/>
          <w:szCs w:val="24"/>
        </w:rPr>
      </w:pPr>
      <w:r w:rsidRPr="00E932C8">
        <w:rPr>
          <w:rFonts w:ascii="宋体" w:eastAsia="宋体" w:hAnsi="宋体" w:hint="eastAsia"/>
          <w:szCs w:val="24"/>
        </w:rPr>
        <w:t>信用品种收益率的主要影响因素为利率品种基准收益与信用利差。信用利差是信用产品相对国债、央行票据等利率产品获取较高收益的来源。信用利差主要受两方面的影响，一方面为债券所对应信用等级的市场平均信用利差水平，另一方面为发行人本身的信用状况。</w:t>
      </w:r>
    </w:p>
    <w:p w:rsidR="00E932C8" w:rsidRPr="00E932C8" w:rsidRDefault="00E932C8" w:rsidP="00E932C8">
      <w:pPr>
        <w:adjustRightInd w:val="0"/>
        <w:snapToGrid w:val="0"/>
        <w:spacing w:line="360" w:lineRule="auto"/>
        <w:ind w:firstLineChars="200" w:firstLine="420"/>
        <w:rPr>
          <w:rFonts w:ascii="宋体" w:eastAsia="宋体" w:hAnsi="宋体"/>
          <w:szCs w:val="24"/>
        </w:rPr>
      </w:pPr>
      <w:r w:rsidRPr="00E932C8">
        <w:rPr>
          <w:rFonts w:ascii="宋体" w:eastAsia="宋体" w:hAnsi="宋体" w:hint="eastAsia"/>
          <w:szCs w:val="24"/>
        </w:rPr>
        <w:t>信用债市场整体的信用利差水平和信用债发行主体自身信用状况的变化都会对信用债个券的利差水平产生重要影响，因此，一方面，本基金将从经济周期、国家政策、行业景气度和债券市场的供求状况等多个方面考量信用利差的整体变化趋势；另一方面，本基金还将以内部信用评级为主、外部信用评级为辅，即采用内外结合的信用研究和评级制度，研究债券发行主体企业的基本面，以确定企业主体债的实际信用状况。</w:t>
      </w:r>
    </w:p>
    <w:p w:rsidR="00E932C8" w:rsidRPr="00E932C8" w:rsidRDefault="00E932C8" w:rsidP="00E932C8">
      <w:pPr>
        <w:adjustRightInd w:val="0"/>
        <w:snapToGrid w:val="0"/>
        <w:spacing w:line="360" w:lineRule="auto"/>
        <w:ind w:firstLineChars="200" w:firstLine="420"/>
        <w:rPr>
          <w:rFonts w:ascii="宋体" w:eastAsia="宋体" w:hAnsi="宋体"/>
          <w:szCs w:val="24"/>
        </w:rPr>
      </w:pPr>
      <w:r w:rsidRPr="00E932C8">
        <w:rPr>
          <w:rFonts w:ascii="宋体" w:eastAsia="宋体" w:hAnsi="宋体" w:hint="eastAsia"/>
          <w:szCs w:val="24"/>
        </w:rPr>
        <w:t>4、股指期货投资策略</w:t>
      </w:r>
    </w:p>
    <w:p w:rsidR="00E932C8" w:rsidRPr="00E932C8" w:rsidRDefault="00E932C8" w:rsidP="00E932C8">
      <w:pPr>
        <w:adjustRightInd w:val="0"/>
        <w:snapToGrid w:val="0"/>
        <w:spacing w:line="360" w:lineRule="auto"/>
        <w:ind w:firstLineChars="200" w:firstLine="420"/>
        <w:rPr>
          <w:rFonts w:ascii="宋体" w:eastAsia="宋体" w:hAnsi="宋体"/>
          <w:szCs w:val="24"/>
        </w:rPr>
      </w:pPr>
      <w:r w:rsidRPr="00E932C8">
        <w:rPr>
          <w:rFonts w:ascii="宋体" w:eastAsia="宋体" w:hAnsi="宋体" w:hint="eastAsia"/>
          <w:szCs w:val="24"/>
        </w:rPr>
        <w:t>为更好地实现投资目标，本基金在注重风险管理的前提下，以套期保值为目的，适度运用股指期货等金融衍生品。本基金利用股指期货合约流动性好、交易成本低和杠杆操作等特点，提高投资组合运作效率，有效管理市场风险。</w:t>
      </w:r>
    </w:p>
    <w:p w:rsidR="00E932C8" w:rsidRPr="00E932C8" w:rsidRDefault="00E932C8" w:rsidP="00E932C8">
      <w:pPr>
        <w:adjustRightInd w:val="0"/>
        <w:snapToGrid w:val="0"/>
        <w:spacing w:line="360" w:lineRule="auto"/>
        <w:ind w:firstLineChars="200" w:firstLine="420"/>
        <w:rPr>
          <w:rFonts w:ascii="宋体" w:eastAsia="宋体" w:hAnsi="宋体"/>
          <w:szCs w:val="24"/>
        </w:rPr>
      </w:pPr>
      <w:r w:rsidRPr="00E932C8">
        <w:rPr>
          <w:rFonts w:ascii="宋体" w:eastAsia="宋体" w:hAnsi="宋体" w:hint="eastAsia"/>
          <w:szCs w:val="24"/>
        </w:rPr>
        <w:t>5、国债期货投资策略</w:t>
      </w:r>
    </w:p>
    <w:p w:rsidR="00E932C8" w:rsidRPr="00E932C8" w:rsidRDefault="00E932C8" w:rsidP="00E932C8">
      <w:pPr>
        <w:adjustRightInd w:val="0"/>
        <w:snapToGrid w:val="0"/>
        <w:spacing w:line="360" w:lineRule="auto"/>
        <w:ind w:firstLineChars="200" w:firstLine="420"/>
        <w:rPr>
          <w:rFonts w:ascii="宋体" w:eastAsia="宋体" w:hAnsi="宋体"/>
          <w:szCs w:val="24"/>
        </w:rPr>
      </w:pPr>
      <w:r w:rsidRPr="00E932C8">
        <w:rPr>
          <w:rFonts w:ascii="宋体" w:eastAsia="宋体" w:hAnsi="宋体" w:hint="eastAsia"/>
          <w:szCs w:val="24"/>
        </w:rPr>
        <w:t>本基金参与国债期货投资是为了有效控制债券市场的系统性风险，本基金将根据风险管理原则，以套期保值为主要目的，适度运用国债期货提高投资组合运作效率。在国债期货投资过程中，基金管理人通过对宏观经济和利率市场走势的分析与判断，并充分考虑国债期货的收益性、流动性及风险特征，通过资产配置，谨慎进行投资，以调整债券组合的久期，降低投资组合的整体风险。</w:t>
      </w:r>
    </w:p>
    <w:p w:rsidR="00E932C8" w:rsidRPr="00E932C8" w:rsidRDefault="00E932C8" w:rsidP="00E932C8">
      <w:pPr>
        <w:adjustRightInd w:val="0"/>
        <w:snapToGrid w:val="0"/>
        <w:spacing w:line="360" w:lineRule="auto"/>
        <w:ind w:firstLineChars="200" w:firstLine="420"/>
        <w:rPr>
          <w:rFonts w:ascii="宋体" w:eastAsia="宋体" w:hAnsi="宋体"/>
          <w:szCs w:val="24"/>
        </w:rPr>
      </w:pPr>
      <w:r w:rsidRPr="00E932C8">
        <w:rPr>
          <w:rFonts w:ascii="宋体" w:eastAsia="宋体" w:hAnsi="宋体" w:hint="eastAsia"/>
          <w:szCs w:val="24"/>
        </w:rPr>
        <w:t>6、资产支持证券投资策略</w:t>
      </w:r>
    </w:p>
    <w:p w:rsidR="00E932C8" w:rsidRPr="00E932C8" w:rsidRDefault="00E932C8" w:rsidP="00E932C8">
      <w:pPr>
        <w:adjustRightInd w:val="0"/>
        <w:snapToGrid w:val="0"/>
        <w:spacing w:line="360" w:lineRule="auto"/>
        <w:ind w:firstLineChars="200" w:firstLine="420"/>
        <w:rPr>
          <w:rFonts w:ascii="宋体" w:eastAsia="宋体" w:hAnsi="宋体"/>
          <w:szCs w:val="24"/>
        </w:rPr>
      </w:pPr>
      <w:r w:rsidRPr="00E932C8">
        <w:rPr>
          <w:rFonts w:ascii="宋体" w:eastAsia="宋体" w:hAnsi="宋体" w:hint="eastAsia"/>
          <w:szCs w:val="24"/>
        </w:rPr>
        <w:t>在控制风险的前提下，本基金对资产支持证券从五个方面综合定价，选择低估的品种进行投资。五个方面包括信用因素、流动性因素、利率因素、税收因素和提前还款因素。而当前的信用因素是需要重点考虑的因素。</w:t>
      </w:r>
    </w:p>
    <w:p w:rsidR="00E932C8" w:rsidRPr="00E932C8" w:rsidRDefault="00E932C8" w:rsidP="00E932C8">
      <w:pPr>
        <w:adjustRightInd w:val="0"/>
        <w:snapToGrid w:val="0"/>
        <w:spacing w:line="360" w:lineRule="auto"/>
        <w:ind w:firstLineChars="200" w:firstLine="420"/>
        <w:rPr>
          <w:rFonts w:ascii="宋体" w:eastAsia="宋体" w:hAnsi="宋体"/>
        </w:rPr>
      </w:pPr>
      <w:r w:rsidRPr="00E932C8">
        <w:rPr>
          <w:rFonts w:ascii="宋体" w:eastAsia="宋体" w:hAnsi="宋体" w:hint="eastAsia"/>
        </w:rPr>
        <w:t>7、存托凭证投资策略</w:t>
      </w:r>
    </w:p>
    <w:p w:rsidR="00E932C8" w:rsidRPr="00E932C8" w:rsidRDefault="00E932C8" w:rsidP="00E932C8">
      <w:pPr>
        <w:adjustRightInd w:val="0"/>
        <w:snapToGrid w:val="0"/>
        <w:spacing w:line="360" w:lineRule="auto"/>
        <w:ind w:firstLineChars="200" w:firstLine="420"/>
        <w:rPr>
          <w:rFonts w:ascii="宋体" w:eastAsia="宋体" w:hAnsi="宋体"/>
          <w:szCs w:val="24"/>
        </w:rPr>
      </w:pPr>
      <w:r w:rsidRPr="00E932C8">
        <w:rPr>
          <w:rFonts w:ascii="宋体" w:eastAsia="宋体" w:hAnsi="宋体" w:hint="eastAsia"/>
        </w:rPr>
        <w:t>在控制风险的前提下，本基金将根据本基金的投资目标和股票投资策略，基于对基础证券投资价值的深入研究判断，进行存托凭证的投资。</w:t>
      </w:r>
    </w:p>
    <w:p w:rsidR="00E932C8" w:rsidRPr="00E932C8" w:rsidRDefault="00E932C8" w:rsidP="00E932C8">
      <w:pPr>
        <w:adjustRightInd w:val="0"/>
        <w:snapToGrid w:val="0"/>
        <w:spacing w:line="360" w:lineRule="auto"/>
        <w:ind w:firstLineChars="200" w:firstLine="420"/>
        <w:rPr>
          <w:rFonts w:ascii="宋体" w:eastAsia="宋体" w:hAnsi="宋体"/>
          <w:szCs w:val="24"/>
        </w:rPr>
      </w:pPr>
      <w:r w:rsidRPr="00E932C8">
        <w:rPr>
          <w:rFonts w:ascii="宋体" w:eastAsia="宋体" w:hAnsi="宋体"/>
          <w:szCs w:val="24"/>
        </w:rPr>
        <w:t>（三）基金转型后的投资限制</w:t>
      </w:r>
    </w:p>
    <w:p w:rsidR="00E932C8" w:rsidRPr="00E932C8" w:rsidRDefault="00E932C8" w:rsidP="00E932C8">
      <w:pPr>
        <w:adjustRightInd w:val="0"/>
        <w:snapToGrid w:val="0"/>
        <w:spacing w:line="360" w:lineRule="auto"/>
        <w:ind w:firstLineChars="200" w:firstLine="420"/>
        <w:rPr>
          <w:rFonts w:ascii="宋体" w:eastAsia="宋体" w:hAnsi="宋体"/>
          <w:szCs w:val="24"/>
        </w:rPr>
      </w:pPr>
      <w:r w:rsidRPr="00E932C8">
        <w:rPr>
          <w:rFonts w:ascii="宋体" w:eastAsia="宋体" w:hAnsi="宋体"/>
          <w:szCs w:val="24"/>
        </w:rPr>
        <w:t>1</w:t>
      </w:r>
      <w:r w:rsidRPr="00E932C8">
        <w:rPr>
          <w:rFonts w:ascii="宋体" w:eastAsia="宋体" w:hAnsi="宋体" w:hint="eastAsia"/>
          <w:szCs w:val="24"/>
        </w:rPr>
        <w:t>、组合限制</w:t>
      </w:r>
    </w:p>
    <w:p w:rsidR="00E932C8" w:rsidRPr="00E932C8" w:rsidRDefault="00E932C8" w:rsidP="00E932C8">
      <w:pPr>
        <w:adjustRightInd w:val="0"/>
        <w:snapToGrid w:val="0"/>
        <w:spacing w:line="360" w:lineRule="auto"/>
        <w:ind w:firstLineChars="200" w:firstLine="420"/>
        <w:rPr>
          <w:rFonts w:ascii="宋体" w:eastAsia="宋体" w:hAnsi="宋体"/>
        </w:rPr>
      </w:pPr>
      <w:r w:rsidRPr="00E932C8">
        <w:rPr>
          <w:rFonts w:ascii="宋体" w:eastAsia="宋体" w:hAnsi="宋体" w:hint="eastAsia"/>
          <w:szCs w:val="24"/>
        </w:rPr>
        <w:t>基金的投资组合应遵循以下限制：</w:t>
      </w:r>
    </w:p>
    <w:p w:rsidR="00E932C8" w:rsidRPr="00E932C8" w:rsidRDefault="00E932C8" w:rsidP="00E932C8">
      <w:pPr>
        <w:adjustRightInd w:val="0"/>
        <w:snapToGrid w:val="0"/>
        <w:spacing w:line="360" w:lineRule="auto"/>
        <w:ind w:firstLineChars="200" w:firstLine="420"/>
        <w:rPr>
          <w:rFonts w:ascii="宋体" w:eastAsia="宋体" w:hAnsi="宋体"/>
        </w:rPr>
      </w:pPr>
      <w:r w:rsidRPr="00E932C8">
        <w:rPr>
          <w:rFonts w:ascii="宋体" w:eastAsia="宋体" w:hAnsi="宋体" w:hint="eastAsia"/>
        </w:rPr>
        <w:t>（</w:t>
      </w:r>
      <w:r w:rsidRPr="00E932C8">
        <w:rPr>
          <w:rFonts w:ascii="宋体" w:eastAsia="宋体" w:hAnsi="宋体"/>
        </w:rPr>
        <w:t>1</w:t>
      </w:r>
      <w:r w:rsidRPr="00E932C8">
        <w:rPr>
          <w:rFonts w:ascii="宋体" w:eastAsia="宋体" w:hAnsi="宋体" w:hint="eastAsia"/>
        </w:rPr>
        <w:t>）</w:t>
      </w:r>
      <w:r w:rsidRPr="00E932C8">
        <w:rPr>
          <w:rFonts w:ascii="宋体" w:eastAsia="宋体" w:hAnsi="宋体" w:hint="eastAsia"/>
          <w:szCs w:val="24"/>
        </w:rPr>
        <w:t>本</w:t>
      </w:r>
      <w:r w:rsidRPr="00E932C8">
        <w:rPr>
          <w:rFonts w:ascii="宋体" w:eastAsia="宋体" w:hAnsi="宋体" w:hint="eastAsia"/>
        </w:rPr>
        <w:t>基金股票、存托凭证投资</w:t>
      </w:r>
      <w:r w:rsidRPr="00E932C8">
        <w:rPr>
          <w:rFonts w:ascii="宋体" w:eastAsia="宋体" w:hAnsi="宋体" w:hint="eastAsia"/>
          <w:szCs w:val="24"/>
        </w:rPr>
        <w:t>占基金资产的</w:t>
      </w:r>
      <w:r w:rsidRPr="00E932C8">
        <w:rPr>
          <w:rFonts w:ascii="宋体" w:eastAsia="宋体" w:hAnsi="宋体" w:hint="eastAsia"/>
        </w:rPr>
        <w:t>比例</w:t>
      </w:r>
      <w:r w:rsidRPr="00E932C8">
        <w:rPr>
          <w:rFonts w:ascii="宋体" w:eastAsia="宋体" w:hAnsi="宋体" w:hint="eastAsia"/>
          <w:szCs w:val="24"/>
        </w:rPr>
        <w:t>为</w:t>
      </w:r>
      <w:r w:rsidRPr="00E932C8">
        <w:rPr>
          <w:rFonts w:ascii="宋体" w:eastAsia="宋体" w:hAnsi="宋体"/>
        </w:rPr>
        <w:t>0</w:t>
      </w:r>
      <w:r w:rsidRPr="00E932C8">
        <w:rPr>
          <w:rFonts w:ascii="宋体" w:eastAsia="宋体" w:hAnsi="宋体" w:hint="eastAsia"/>
        </w:rPr>
        <w:t>%</w:t>
      </w:r>
      <w:r w:rsidRPr="00E932C8">
        <w:rPr>
          <w:rFonts w:ascii="宋体" w:eastAsia="宋体" w:hAnsi="宋体"/>
        </w:rPr>
        <w:t>-45%</w:t>
      </w:r>
      <w:r w:rsidRPr="00E932C8">
        <w:rPr>
          <w:rFonts w:ascii="宋体" w:eastAsia="宋体" w:hAnsi="宋体" w:hint="eastAsia"/>
        </w:rPr>
        <w:t>，其中港股通标的股票投资比例不超过本基金股票资产的50%；</w:t>
      </w:r>
      <w:r w:rsidRPr="00E932C8" w:rsidDel="00A076AB">
        <w:rPr>
          <w:rFonts w:ascii="宋体" w:eastAsia="宋体" w:hAnsi="宋体" w:hint="eastAsia"/>
        </w:rPr>
        <w:t xml:space="preserve"> </w:t>
      </w:r>
    </w:p>
    <w:p w:rsidR="00E932C8" w:rsidRPr="00E932C8" w:rsidRDefault="00E932C8" w:rsidP="00E932C8">
      <w:pPr>
        <w:adjustRightInd w:val="0"/>
        <w:snapToGrid w:val="0"/>
        <w:spacing w:line="360" w:lineRule="auto"/>
        <w:ind w:firstLineChars="200" w:firstLine="420"/>
        <w:rPr>
          <w:rFonts w:ascii="宋体" w:eastAsia="宋体" w:hAnsi="宋体"/>
        </w:rPr>
      </w:pPr>
      <w:r w:rsidRPr="00E932C8">
        <w:rPr>
          <w:rFonts w:ascii="宋体" w:eastAsia="宋体" w:hAnsi="宋体" w:hint="eastAsia"/>
        </w:rPr>
        <w:t>（</w:t>
      </w:r>
      <w:r w:rsidRPr="00E932C8">
        <w:rPr>
          <w:rFonts w:ascii="宋体" w:eastAsia="宋体" w:hAnsi="宋体"/>
        </w:rPr>
        <w:t>2</w:t>
      </w:r>
      <w:r w:rsidRPr="00E932C8">
        <w:rPr>
          <w:rFonts w:ascii="宋体" w:eastAsia="宋体" w:hAnsi="宋体" w:hint="eastAsia"/>
        </w:rPr>
        <w:t>）本基金持有一家公司发行的证券（含存托凭证，同一家公司在境内和香港同时上市的A股和H股合并计算），其市值不超过基金资产净值的</w:t>
      </w:r>
      <w:r w:rsidRPr="00E932C8">
        <w:rPr>
          <w:rFonts w:ascii="宋体" w:eastAsia="宋体" w:hAnsi="宋体"/>
        </w:rPr>
        <w:t>10</w:t>
      </w:r>
      <w:r w:rsidRPr="00E932C8">
        <w:rPr>
          <w:rFonts w:ascii="宋体" w:eastAsia="宋体" w:hAnsi="宋体"/>
          <w:szCs w:val="24"/>
        </w:rPr>
        <w:t>%</w:t>
      </w:r>
      <w:r w:rsidRPr="00E932C8">
        <w:rPr>
          <w:rFonts w:ascii="宋体" w:eastAsia="宋体" w:hAnsi="宋体" w:hint="eastAsia"/>
        </w:rPr>
        <w:t>；</w:t>
      </w:r>
    </w:p>
    <w:p w:rsidR="00E932C8" w:rsidRPr="00E932C8" w:rsidRDefault="00E932C8" w:rsidP="00E932C8">
      <w:pPr>
        <w:adjustRightInd w:val="0"/>
        <w:snapToGrid w:val="0"/>
        <w:spacing w:line="360" w:lineRule="auto"/>
        <w:ind w:firstLineChars="200" w:firstLine="420"/>
        <w:rPr>
          <w:rFonts w:ascii="宋体" w:eastAsia="宋体" w:hAnsi="宋体"/>
        </w:rPr>
      </w:pPr>
      <w:r w:rsidRPr="00E932C8">
        <w:rPr>
          <w:rFonts w:ascii="宋体" w:eastAsia="宋体" w:hAnsi="宋体" w:hint="eastAsia"/>
        </w:rPr>
        <w:t>（</w:t>
      </w:r>
      <w:r w:rsidRPr="00E932C8">
        <w:rPr>
          <w:rFonts w:ascii="宋体" w:eastAsia="宋体" w:hAnsi="宋体"/>
        </w:rPr>
        <w:t>3</w:t>
      </w:r>
      <w:r w:rsidRPr="00E932C8">
        <w:rPr>
          <w:rFonts w:ascii="宋体" w:eastAsia="宋体" w:hAnsi="宋体" w:hint="eastAsia"/>
        </w:rPr>
        <w:t>）本基金管理人管理的全部基金持有一家公司发行的证券（含存托凭证，同一家公司在境内和香港同时上市的A股和H股合并计算），不超过该证券的</w:t>
      </w:r>
      <w:r w:rsidRPr="00E932C8">
        <w:rPr>
          <w:rFonts w:ascii="宋体" w:eastAsia="宋体" w:hAnsi="宋体"/>
        </w:rPr>
        <w:t>10</w:t>
      </w:r>
      <w:r w:rsidRPr="00E932C8">
        <w:rPr>
          <w:rFonts w:ascii="宋体" w:eastAsia="宋体" w:hAnsi="宋体"/>
          <w:szCs w:val="24"/>
        </w:rPr>
        <w:t>%</w:t>
      </w:r>
      <w:r w:rsidRPr="00E932C8">
        <w:rPr>
          <w:rFonts w:ascii="宋体" w:eastAsia="宋体" w:hAnsi="宋体" w:hint="eastAsia"/>
        </w:rPr>
        <w:t>；</w:t>
      </w:r>
    </w:p>
    <w:p w:rsidR="00E932C8" w:rsidRPr="00E932C8" w:rsidRDefault="00E932C8" w:rsidP="00E932C8">
      <w:pPr>
        <w:adjustRightInd w:val="0"/>
        <w:snapToGrid w:val="0"/>
        <w:spacing w:line="360" w:lineRule="auto"/>
        <w:ind w:firstLineChars="200" w:firstLine="420"/>
        <w:rPr>
          <w:rFonts w:ascii="宋体" w:eastAsia="宋体" w:hAnsi="宋体"/>
        </w:rPr>
      </w:pPr>
      <w:r w:rsidRPr="00E932C8">
        <w:rPr>
          <w:rFonts w:ascii="宋体" w:eastAsia="宋体" w:hAnsi="宋体" w:hint="eastAsia"/>
        </w:rPr>
        <w:t>（</w:t>
      </w:r>
      <w:r w:rsidRPr="00E932C8">
        <w:rPr>
          <w:rFonts w:ascii="宋体" w:eastAsia="宋体" w:hAnsi="宋体"/>
        </w:rPr>
        <w:t>4</w:t>
      </w:r>
      <w:r w:rsidRPr="00E932C8">
        <w:rPr>
          <w:rFonts w:ascii="宋体" w:eastAsia="宋体" w:hAnsi="宋体" w:hint="eastAsia"/>
        </w:rPr>
        <w:t>）本基金投资于同一原始权益人的各类资产支持证券的比例，不得超过基金资产净值的</w:t>
      </w:r>
      <w:r w:rsidRPr="00E932C8">
        <w:rPr>
          <w:rFonts w:ascii="宋体" w:eastAsia="宋体" w:hAnsi="宋体"/>
        </w:rPr>
        <w:t>10</w:t>
      </w:r>
      <w:r w:rsidRPr="00E932C8">
        <w:rPr>
          <w:rFonts w:ascii="宋体" w:eastAsia="宋体" w:hAnsi="宋体"/>
          <w:szCs w:val="24"/>
        </w:rPr>
        <w:t>%</w:t>
      </w:r>
      <w:r w:rsidRPr="00E932C8">
        <w:rPr>
          <w:rFonts w:ascii="宋体" w:eastAsia="宋体" w:hAnsi="宋体" w:hint="eastAsia"/>
        </w:rPr>
        <w:t>；</w:t>
      </w:r>
    </w:p>
    <w:p w:rsidR="00E932C8" w:rsidRPr="00E932C8" w:rsidRDefault="00E932C8" w:rsidP="00E932C8">
      <w:pPr>
        <w:adjustRightInd w:val="0"/>
        <w:snapToGrid w:val="0"/>
        <w:spacing w:line="360" w:lineRule="auto"/>
        <w:ind w:firstLineChars="200" w:firstLine="420"/>
        <w:rPr>
          <w:rFonts w:ascii="宋体" w:eastAsia="宋体" w:hAnsi="宋体"/>
        </w:rPr>
      </w:pPr>
      <w:r w:rsidRPr="00E932C8">
        <w:rPr>
          <w:rFonts w:ascii="宋体" w:eastAsia="宋体" w:hAnsi="宋体" w:hint="eastAsia"/>
        </w:rPr>
        <w:t>（</w:t>
      </w:r>
      <w:r w:rsidRPr="00E932C8">
        <w:rPr>
          <w:rFonts w:ascii="宋体" w:eastAsia="宋体" w:hAnsi="宋体"/>
        </w:rPr>
        <w:t>5</w:t>
      </w:r>
      <w:r w:rsidRPr="00E932C8">
        <w:rPr>
          <w:rFonts w:ascii="宋体" w:eastAsia="宋体" w:hAnsi="宋体" w:hint="eastAsia"/>
        </w:rPr>
        <w:t>）本基金持有的全部资产支持证券，其市值不得超过基金资产净值的</w:t>
      </w:r>
      <w:r w:rsidRPr="00E932C8">
        <w:rPr>
          <w:rFonts w:ascii="宋体" w:eastAsia="宋体" w:hAnsi="宋体"/>
        </w:rPr>
        <w:t>20</w:t>
      </w:r>
      <w:r w:rsidRPr="00E932C8">
        <w:rPr>
          <w:rFonts w:ascii="宋体" w:eastAsia="宋体" w:hAnsi="宋体"/>
          <w:szCs w:val="24"/>
        </w:rPr>
        <w:t>%</w:t>
      </w:r>
      <w:r w:rsidRPr="00E932C8">
        <w:rPr>
          <w:rFonts w:ascii="宋体" w:eastAsia="宋体" w:hAnsi="宋体" w:hint="eastAsia"/>
        </w:rPr>
        <w:t>；</w:t>
      </w:r>
    </w:p>
    <w:p w:rsidR="00E932C8" w:rsidRPr="00E932C8" w:rsidRDefault="00E932C8" w:rsidP="00E932C8">
      <w:pPr>
        <w:adjustRightInd w:val="0"/>
        <w:snapToGrid w:val="0"/>
        <w:spacing w:line="360" w:lineRule="auto"/>
        <w:ind w:firstLineChars="200" w:firstLine="420"/>
        <w:rPr>
          <w:rFonts w:ascii="宋体" w:eastAsia="宋体" w:hAnsi="宋体"/>
        </w:rPr>
      </w:pPr>
      <w:r w:rsidRPr="00E932C8">
        <w:rPr>
          <w:rFonts w:ascii="宋体" w:eastAsia="宋体" w:hAnsi="宋体" w:hint="eastAsia"/>
        </w:rPr>
        <w:t>（</w:t>
      </w:r>
      <w:r w:rsidRPr="00E932C8">
        <w:rPr>
          <w:rFonts w:ascii="宋体" w:eastAsia="宋体" w:hAnsi="宋体"/>
        </w:rPr>
        <w:t>6</w:t>
      </w:r>
      <w:r w:rsidRPr="00E932C8">
        <w:rPr>
          <w:rFonts w:ascii="宋体" w:eastAsia="宋体" w:hAnsi="宋体" w:hint="eastAsia"/>
        </w:rPr>
        <w:t>）本基金持有的同一（指同一信用级别）资产支持证券的比例，不得超过该资产支持证券规模的</w:t>
      </w:r>
      <w:r w:rsidRPr="00E932C8">
        <w:rPr>
          <w:rFonts w:ascii="宋体" w:eastAsia="宋体" w:hAnsi="宋体"/>
        </w:rPr>
        <w:t>10</w:t>
      </w:r>
      <w:r w:rsidRPr="00E932C8">
        <w:rPr>
          <w:rFonts w:ascii="宋体" w:eastAsia="宋体" w:hAnsi="宋体"/>
          <w:szCs w:val="24"/>
        </w:rPr>
        <w:t>%</w:t>
      </w:r>
      <w:r w:rsidRPr="00E932C8">
        <w:rPr>
          <w:rFonts w:ascii="宋体" w:eastAsia="宋体" w:hAnsi="宋体" w:hint="eastAsia"/>
        </w:rPr>
        <w:t>；</w:t>
      </w:r>
    </w:p>
    <w:p w:rsidR="00E932C8" w:rsidRPr="00E932C8" w:rsidRDefault="00E932C8" w:rsidP="00E932C8">
      <w:pPr>
        <w:adjustRightInd w:val="0"/>
        <w:snapToGrid w:val="0"/>
        <w:spacing w:line="360" w:lineRule="auto"/>
        <w:ind w:firstLineChars="200" w:firstLine="420"/>
        <w:rPr>
          <w:rFonts w:ascii="宋体" w:eastAsia="宋体" w:hAnsi="宋体"/>
        </w:rPr>
      </w:pPr>
      <w:r w:rsidRPr="00E932C8">
        <w:rPr>
          <w:rFonts w:ascii="宋体" w:eastAsia="宋体" w:hAnsi="宋体" w:hint="eastAsia"/>
        </w:rPr>
        <w:t>（</w:t>
      </w:r>
      <w:r w:rsidRPr="00E932C8">
        <w:rPr>
          <w:rFonts w:ascii="宋体" w:eastAsia="宋体" w:hAnsi="宋体"/>
        </w:rPr>
        <w:t>7</w:t>
      </w:r>
      <w:r w:rsidRPr="00E932C8">
        <w:rPr>
          <w:rFonts w:ascii="宋体" w:eastAsia="宋体" w:hAnsi="宋体" w:hint="eastAsia"/>
        </w:rPr>
        <w:t>）本基金管理人管理的全部基金投资于同一原始权益人的各类资产支持证券，不得超过其各类资产支持证券合计规模的</w:t>
      </w:r>
      <w:r w:rsidRPr="00E932C8">
        <w:rPr>
          <w:rFonts w:ascii="宋体" w:eastAsia="宋体" w:hAnsi="宋体"/>
        </w:rPr>
        <w:t>10</w:t>
      </w:r>
      <w:r w:rsidRPr="00E932C8">
        <w:rPr>
          <w:rFonts w:ascii="宋体" w:eastAsia="宋体" w:hAnsi="宋体"/>
          <w:szCs w:val="24"/>
        </w:rPr>
        <w:t>%</w:t>
      </w:r>
      <w:r w:rsidRPr="00E932C8">
        <w:rPr>
          <w:rFonts w:ascii="宋体" w:eastAsia="宋体" w:hAnsi="宋体" w:hint="eastAsia"/>
        </w:rPr>
        <w:t>；</w:t>
      </w:r>
    </w:p>
    <w:p w:rsidR="00E932C8" w:rsidRPr="00E932C8" w:rsidRDefault="00E932C8" w:rsidP="00E932C8">
      <w:pPr>
        <w:adjustRightInd w:val="0"/>
        <w:snapToGrid w:val="0"/>
        <w:spacing w:line="360" w:lineRule="auto"/>
        <w:ind w:firstLineChars="200" w:firstLine="420"/>
        <w:rPr>
          <w:rFonts w:ascii="宋体" w:eastAsia="宋体" w:hAnsi="宋体"/>
        </w:rPr>
      </w:pPr>
      <w:r w:rsidRPr="00E932C8">
        <w:rPr>
          <w:rFonts w:ascii="宋体" w:eastAsia="宋体" w:hAnsi="宋体" w:hint="eastAsia"/>
        </w:rPr>
        <w:t>（</w:t>
      </w:r>
      <w:r w:rsidRPr="00E932C8">
        <w:rPr>
          <w:rFonts w:ascii="宋体" w:eastAsia="宋体" w:hAnsi="宋体"/>
        </w:rPr>
        <w:t>8</w:t>
      </w:r>
      <w:r w:rsidRPr="00E932C8">
        <w:rPr>
          <w:rFonts w:ascii="宋体" w:eastAsia="宋体" w:hAnsi="宋体" w:hint="eastAsia"/>
        </w:rPr>
        <w:t>）本基金应投资于信用级别评级为</w:t>
      </w:r>
      <w:r w:rsidRPr="00E932C8">
        <w:rPr>
          <w:rFonts w:ascii="宋体" w:eastAsia="宋体" w:hAnsi="宋体"/>
        </w:rPr>
        <w:t>BBB</w:t>
      </w:r>
      <w:r w:rsidRPr="00E932C8">
        <w:rPr>
          <w:rFonts w:ascii="宋体" w:eastAsia="宋体" w:hAnsi="宋体" w:hint="eastAsia"/>
        </w:rPr>
        <w:t>以上（含</w:t>
      </w:r>
      <w:r w:rsidRPr="00E932C8">
        <w:rPr>
          <w:rFonts w:ascii="宋体" w:eastAsia="宋体" w:hAnsi="宋体"/>
        </w:rPr>
        <w:t>BBB</w:t>
      </w:r>
      <w:r w:rsidRPr="00E932C8">
        <w:rPr>
          <w:rFonts w:ascii="宋体" w:eastAsia="宋体" w:hAnsi="宋体" w:hint="eastAsia"/>
        </w:rPr>
        <w:t>）的资产支持证券。基金持有资产支持证券期间，如果其信用等级下降、不再符合投资标准，应在评级报告发布之日起</w:t>
      </w:r>
      <w:r w:rsidRPr="00E932C8">
        <w:rPr>
          <w:rFonts w:ascii="宋体" w:eastAsia="宋体" w:hAnsi="宋体"/>
        </w:rPr>
        <w:t>3</w:t>
      </w:r>
      <w:r w:rsidRPr="00E932C8">
        <w:rPr>
          <w:rFonts w:ascii="宋体" w:eastAsia="宋体" w:hAnsi="宋体" w:hint="eastAsia"/>
        </w:rPr>
        <w:t>个月内予以全部卖出；</w:t>
      </w:r>
    </w:p>
    <w:p w:rsidR="00E932C8" w:rsidRPr="00E932C8" w:rsidRDefault="00E932C8" w:rsidP="00E932C8">
      <w:pPr>
        <w:adjustRightInd w:val="0"/>
        <w:snapToGrid w:val="0"/>
        <w:spacing w:line="360" w:lineRule="auto"/>
        <w:ind w:firstLineChars="200" w:firstLine="420"/>
        <w:rPr>
          <w:rFonts w:ascii="宋体" w:eastAsia="宋体" w:hAnsi="宋体"/>
        </w:rPr>
      </w:pPr>
      <w:r w:rsidRPr="00E932C8">
        <w:rPr>
          <w:rFonts w:ascii="宋体" w:eastAsia="宋体" w:hAnsi="宋体" w:hint="eastAsia"/>
        </w:rPr>
        <w:t>（</w:t>
      </w:r>
      <w:r w:rsidRPr="00E932C8">
        <w:rPr>
          <w:rFonts w:ascii="宋体" w:eastAsia="宋体" w:hAnsi="宋体"/>
        </w:rPr>
        <w:t>9</w:t>
      </w:r>
      <w:r w:rsidRPr="00E932C8">
        <w:rPr>
          <w:rFonts w:ascii="宋体" w:eastAsia="宋体" w:hAnsi="宋体" w:hint="eastAsia"/>
        </w:rPr>
        <w:t>）基金财产参与股票发行申购，本基金所申报的金额不超过本基金的总资产，本基金所申报的股票数量不超过拟发行股票公司本次发行股票的总量；</w:t>
      </w:r>
    </w:p>
    <w:p w:rsidR="00E932C8" w:rsidRPr="00E932C8" w:rsidRDefault="00E932C8" w:rsidP="00E932C8">
      <w:pPr>
        <w:adjustRightInd w:val="0"/>
        <w:snapToGrid w:val="0"/>
        <w:spacing w:line="360" w:lineRule="auto"/>
        <w:ind w:firstLineChars="200" w:firstLine="420"/>
        <w:rPr>
          <w:rFonts w:ascii="宋体" w:eastAsia="宋体" w:hAnsi="宋体"/>
        </w:rPr>
      </w:pPr>
      <w:r w:rsidRPr="00E932C8">
        <w:rPr>
          <w:rFonts w:ascii="宋体" w:eastAsia="宋体" w:hAnsi="宋体" w:hint="eastAsia"/>
        </w:rPr>
        <w:t>（</w:t>
      </w:r>
      <w:r w:rsidRPr="00E932C8">
        <w:rPr>
          <w:rFonts w:ascii="宋体" w:eastAsia="宋体" w:hAnsi="宋体"/>
        </w:rPr>
        <w:t>10</w:t>
      </w:r>
      <w:r w:rsidRPr="00E932C8">
        <w:rPr>
          <w:rFonts w:ascii="宋体" w:eastAsia="宋体" w:hAnsi="宋体" w:hint="eastAsia"/>
        </w:rPr>
        <w:t>）本基金进入全国银行间同业市场进行债券回购的资金余额不得超过基金资产净值的</w:t>
      </w:r>
      <w:r w:rsidRPr="00E932C8">
        <w:rPr>
          <w:rFonts w:ascii="宋体" w:eastAsia="宋体" w:hAnsi="宋体"/>
        </w:rPr>
        <w:t>40</w:t>
      </w:r>
      <w:r w:rsidRPr="00E932C8">
        <w:rPr>
          <w:rFonts w:ascii="宋体" w:eastAsia="宋体" w:hAnsi="宋体" w:hint="eastAsia"/>
        </w:rPr>
        <w:t>％。进入全国银行间同业市场进行债券回购的最长期限为1年，债券回购到期后不得展期</w:t>
      </w:r>
      <w:r w:rsidRPr="00E932C8">
        <w:rPr>
          <w:rFonts w:ascii="宋体" w:eastAsia="宋体" w:hAnsi="宋体" w:hint="eastAsia"/>
          <w:color w:val="000000"/>
        </w:rPr>
        <w:t>；</w:t>
      </w:r>
    </w:p>
    <w:p w:rsidR="00E932C8" w:rsidRPr="00E932C8" w:rsidRDefault="00E932C8" w:rsidP="00E932C8">
      <w:pPr>
        <w:adjustRightInd w:val="0"/>
        <w:snapToGrid w:val="0"/>
        <w:spacing w:line="360" w:lineRule="auto"/>
        <w:ind w:firstLineChars="200" w:firstLine="420"/>
        <w:rPr>
          <w:rFonts w:ascii="宋体" w:eastAsia="宋体" w:hAnsi="宋体"/>
          <w:szCs w:val="24"/>
        </w:rPr>
      </w:pPr>
      <w:r w:rsidRPr="00E932C8">
        <w:rPr>
          <w:rFonts w:ascii="宋体" w:eastAsia="宋体" w:hAnsi="宋体" w:hint="eastAsia"/>
        </w:rPr>
        <w:t>（</w:t>
      </w:r>
      <w:r w:rsidRPr="00E932C8">
        <w:rPr>
          <w:rFonts w:ascii="宋体" w:eastAsia="宋体" w:hAnsi="宋体"/>
        </w:rPr>
        <w:t>11</w:t>
      </w:r>
      <w:r w:rsidRPr="00E932C8">
        <w:rPr>
          <w:rFonts w:ascii="宋体" w:eastAsia="宋体" w:hAnsi="宋体" w:hint="eastAsia"/>
        </w:rPr>
        <w:t>）本基金在任何交易日日终，持有的买入股指期货合约价值，不得超过基金资产净值的</w:t>
      </w:r>
      <w:r w:rsidRPr="00E932C8">
        <w:rPr>
          <w:rFonts w:ascii="宋体" w:eastAsia="宋体" w:hAnsi="宋体"/>
        </w:rPr>
        <w:t>10</w:t>
      </w:r>
      <w:r w:rsidRPr="00E932C8">
        <w:rPr>
          <w:rFonts w:ascii="宋体" w:eastAsia="宋体" w:hAnsi="宋体"/>
          <w:szCs w:val="24"/>
        </w:rPr>
        <w:t>%</w:t>
      </w:r>
      <w:r w:rsidRPr="00E932C8">
        <w:rPr>
          <w:rFonts w:ascii="宋体" w:eastAsia="宋体" w:hAnsi="宋体" w:hint="eastAsia"/>
        </w:rPr>
        <w:t>；在任何交易日日终，持有的卖出股指期货合约价值不得超过基金持有的股票总市值的</w:t>
      </w:r>
      <w:r w:rsidRPr="00E932C8">
        <w:rPr>
          <w:rFonts w:ascii="宋体" w:eastAsia="宋体" w:hAnsi="宋体"/>
        </w:rPr>
        <w:t>20</w:t>
      </w:r>
      <w:r w:rsidRPr="00E932C8">
        <w:rPr>
          <w:rFonts w:ascii="宋体" w:eastAsia="宋体" w:hAnsi="宋体"/>
          <w:szCs w:val="24"/>
        </w:rPr>
        <w:t>%</w:t>
      </w:r>
      <w:r w:rsidRPr="00E932C8">
        <w:rPr>
          <w:rFonts w:ascii="宋体" w:eastAsia="宋体" w:hAnsi="宋体" w:hint="eastAsia"/>
        </w:rPr>
        <w:t>；本基金所持有的股票市值和买入、卖出股指期货合约价值，合计（轧差计算）应当符合基金合同关于股票投资比例的有关约定；在任何交易日内交易（不包括平仓）的股指期货合约的成交金额不得超过上一交易日基金资产净值的</w:t>
      </w:r>
      <w:r w:rsidRPr="00E932C8">
        <w:rPr>
          <w:rFonts w:ascii="宋体" w:eastAsia="宋体" w:hAnsi="宋体"/>
        </w:rPr>
        <w:t>20</w:t>
      </w:r>
      <w:r w:rsidRPr="00E932C8">
        <w:rPr>
          <w:rFonts w:ascii="宋体" w:eastAsia="宋体" w:hAnsi="宋体"/>
          <w:szCs w:val="24"/>
        </w:rPr>
        <w:t>%</w:t>
      </w:r>
      <w:r w:rsidRPr="00E932C8">
        <w:rPr>
          <w:rFonts w:ascii="宋体" w:eastAsia="宋体" w:hAnsi="宋体" w:hint="eastAsia"/>
        </w:rPr>
        <w:t>；</w:t>
      </w:r>
    </w:p>
    <w:p w:rsidR="00E932C8" w:rsidRPr="00E932C8" w:rsidRDefault="00E932C8" w:rsidP="00E932C8">
      <w:pPr>
        <w:adjustRightInd w:val="0"/>
        <w:snapToGrid w:val="0"/>
        <w:spacing w:line="360" w:lineRule="auto"/>
        <w:ind w:firstLineChars="200" w:firstLine="420"/>
        <w:rPr>
          <w:rFonts w:ascii="宋体" w:eastAsia="宋体" w:hAnsi="宋体"/>
          <w:szCs w:val="24"/>
        </w:rPr>
      </w:pPr>
      <w:r w:rsidRPr="00E932C8">
        <w:rPr>
          <w:rFonts w:ascii="宋体" w:eastAsia="宋体" w:hAnsi="宋体" w:hint="eastAsia"/>
          <w:szCs w:val="24"/>
        </w:rPr>
        <w:t>（</w:t>
      </w:r>
      <w:r w:rsidRPr="00E932C8">
        <w:rPr>
          <w:rFonts w:ascii="宋体" w:eastAsia="宋体" w:hAnsi="宋体"/>
          <w:szCs w:val="24"/>
        </w:rPr>
        <w:t>12）本基金在任何交易日日终，持有的买入国债期货合约价值，不得超过基金资产净值的15%</w:t>
      </w:r>
      <w:r w:rsidRPr="00E932C8">
        <w:rPr>
          <w:rFonts w:ascii="宋体" w:eastAsia="宋体" w:hAnsi="宋体" w:hint="eastAsia"/>
          <w:szCs w:val="24"/>
        </w:rPr>
        <w:t>；在任何交易日日终，持有的卖出国债期货合约价值不得超过基金持有的债券总市值的</w:t>
      </w:r>
      <w:r w:rsidRPr="00E932C8">
        <w:rPr>
          <w:rFonts w:ascii="宋体" w:eastAsia="宋体" w:hAnsi="宋体"/>
          <w:szCs w:val="24"/>
        </w:rPr>
        <w:t>30%</w:t>
      </w:r>
      <w:r w:rsidRPr="00E932C8">
        <w:rPr>
          <w:rFonts w:ascii="宋体" w:eastAsia="宋体" w:hAnsi="宋体" w:hint="eastAsia"/>
          <w:szCs w:val="24"/>
        </w:rPr>
        <w:t>；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w:t>
      </w:r>
      <w:r w:rsidRPr="00E932C8">
        <w:rPr>
          <w:rFonts w:ascii="宋体" w:eastAsia="宋体" w:hAnsi="宋体"/>
          <w:szCs w:val="24"/>
        </w:rPr>
        <w:t>30%</w:t>
      </w:r>
      <w:r w:rsidRPr="00E932C8">
        <w:rPr>
          <w:rFonts w:ascii="宋体" w:eastAsia="宋体" w:hAnsi="宋体" w:hint="eastAsia"/>
          <w:szCs w:val="24"/>
        </w:rPr>
        <w:t>；</w:t>
      </w:r>
    </w:p>
    <w:p w:rsidR="00E932C8" w:rsidRPr="00E932C8" w:rsidRDefault="00E932C8" w:rsidP="00E932C8">
      <w:pPr>
        <w:adjustRightInd w:val="0"/>
        <w:snapToGrid w:val="0"/>
        <w:spacing w:line="360" w:lineRule="auto"/>
        <w:ind w:firstLineChars="200" w:firstLine="420"/>
        <w:rPr>
          <w:rFonts w:ascii="宋体" w:eastAsia="宋体" w:hAnsi="宋体"/>
          <w:szCs w:val="24"/>
        </w:rPr>
      </w:pPr>
      <w:r w:rsidRPr="00E932C8">
        <w:rPr>
          <w:rFonts w:ascii="宋体" w:eastAsia="宋体" w:hAnsi="宋体" w:hint="eastAsia"/>
        </w:rPr>
        <w:t>（</w:t>
      </w:r>
      <w:r w:rsidRPr="00E932C8">
        <w:rPr>
          <w:rFonts w:ascii="宋体" w:eastAsia="宋体" w:hAnsi="宋体"/>
        </w:rPr>
        <w:t>13</w:t>
      </w:r>
      <w:r w:rsidRPr="00E932C8">
        <w:rPr>
          <w:rFonts w:ascii="宋体" w:eastAsia="宋体" w:hAnsi="宋体" w:hint="eastAsia"/>
        </w:rPr>
        <w:t>）</w:t>
      </w:r>
      <w:r w:rsidRPr="00E932C8">
        <w:rPr>
          <w:rFonts w:ascii="宋体" w:eastAsia="宋体" w:hAnsi="宋体"/>
          <w:szCs w:val="24"/>
        </w:rPr>
        <w:t>在任何交易日日终，持有的买入国债期货和股指期货合约价值与有价证券市值之和</w:t>
      </w:r>
      <w:r w:rsidRPr="00E932C8">
        <w:rPr>
          <w:rFonts w:ascii="宋体" w:eastAsia="宋体" w:hAnsi="宋体" w:hint="eastAsia"/>
          <w:szCs w:val="24"/>
        </w:rPr>
        <w:t>，</w:t>
      </w:r>
      <w:r w:rsidRPr="00E932C8">
        <w:rPr>
          <w:rFonts w:ascii="宋体" w:eastAsia="宋体" w:hAnsi="宋体"/>
          <w:szCs w:val="24"/>
        </w:rPr>
        <w:t>不得超过基金资产净值的95%</w:t>
      </w:r>
      <w:r w:rsidRPr="00E932C8">
        <w:rPr>
          <w:rFonts w:ascii="宋体" w:eastAsia="宋体" w:hAnsi="宋体" w:hint="eastAsia"/>
          <w:szCs w:val="24"/>
        </w:rPr>
        <w:t>，其中，有价证券指股票、债券（不含到期日在一年以内的政府债券）、资产支持证券、买入返售金融资产（不含质押式回购）等；</w:t>
      </w:r>
    </w:p>
    <w:p w:rsidR="00E932C8" w:rsidRPr="00E932C8" w:rsidRDefault="00E932C8" w:rsidP="00E932C8">
      <w:pPr>
        <w:adjustRightInd w:val="0"/>
        <w:snapToGrid w:val="0"/>
        <w:spacing w:line="360" w:lineRule="auto"/>
        <w:ind w:firstLineChars="200" w:firstLine="420"/>
        <w:rPr>
          <w:rFonts w:ascii="宋体" w:eastAsia="宋体" w:hAnsi="宋体"/>
          <w:szCs w:val="24"/>
        </w:rPr>
      </w:pPr>
      <w:r w:rsidRPr="00E932C8">
        <w:rPr>
          <w:rFonts w:ascii="宋体" w:eastAsia="宋体" w:hAnsi="宋体" w:hint="eastAsia"/>
          <w:szCs w:val="24"/>
        </w:rPr>
        <w:t>（</w:t>
      </w:r>
      <w:r w:rsidRPr="00E932C8">
        <w:rPr>
          <w:rFonts w:ascii="宋体" w:eastAsia="宋体" w:hAnsi="宋体"/>
          <w:szCs w:val="24"/>
        </w:rPr>
        <w:t>14）本基金每个交易日日终在扣除股指期货和国债期货合约需缴纳的交易保证金后，应当保持不低于基金资产净值5%的现金或到期日在一年以内的政府债券</w:t>
      </w:r>
      <w:r w:rsidRPr="00E932C8">
        <w:rPr>
          <w:rFonts w:ascii="宋体" w:eastAsia="宋体" w:hAnsi="宋体" w:hint="eastAsia"/>
          <w:szCs w:val="24"/>
        </w:rPr>
        <w:t>，</w:t>
      </w:r>
      <w:r w:rsidRPr="00E932C8">
        <w:rPr>
          <w:rFonts w:ascii="宋体" w:eastAsia="宋体" w:hAnsi="宋体" w:hint="eastAsia"/>
        </w:rPr>
        <w:t>其中，现金不包括结算备付金、存出保证金、应收申购款等</w:t>
      </w:r>
      <w:r w:rsidRPr="00E932C8">
        <w:rPr>
          <w:rFonts w:ascii="宋体" w:eastAsia="宋体" w:hAnsi="宋体"/>
          <w:szCs w:val="24"/>
        </w:rPr>
        <w:t>；</w:t>
      </w:r>
    </w:p>
    <w:p w:rsidR="00E932C8" w:rsidRPr="00E932C8" w:rsidRDefault="00E932C8" w:rsidP="00E932C8">
      <w:pPr>
        <w:adjustRightInd w:val="0"/>
        <w:snapToGrid w:val="0"/>
        <w:spacing w:line="360" w:lineRule="auto"/>
        <w:ind w:firstLineChars="200" w:firstLine="420"/>
        <w:rPr>
          <w:rFonts w:ascii="宋体" w:eastAsia="宋体" w:hAnsi="宋体"/>
          <w:szCs w:val="24"/>
        </w:rPr>
      </w:pPr>
      <w:r w:rsidRPr="00E932C8">
        <w:rPr>
          <w:rFonts w:ascii="宋体" w:eastAsia="宋体" w:hAnsi="宋体" w:hint="eastAsia"/>
          <w:szCs w:val="24"/>
        </w:rPr>
        <w:t>（1</w:t>
      </w:r>
      <w:r w:rsidRPr="00E932C8">
        <w:rPr>
          <w:rFonts w:ascii="宋体" w:eastAsia="宋体" w:hAnsi="宋体"/>
          <w:szCs w:val="24"/>
        </w:rPr>
        <w:t>5</w:t>
      </w:r>
      <w:r w:rsidRPr="00E932C8">
        <w:rPr>
          <w:rFonts w:ascii="宋体" w:eastAsia="宋体" w:hAnsi="宋体" w:hint="eastAsia"/>
          <w:szCs w:val="24"/>
        </w:rPr>
        <w:t>）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w:t>
      </w:r>
    </w:p>
    <w:p w:rsidR="00E932C8" w:rsidRPr="00E932C8" w:rsidRDefault="00E932C8" w:rsidP="00E932C8">
      <w:pPr>
        <w:adjustRightInd w:val="0"/>
        <w:snapToGrid w:val="0"/>
        <w:spacing w:line="360" w:lineRule="auto"/>
        <w:ind w:firstLineChars="200" w:firstLine="420"/>
        <w:rPr>
          <w:rFonts w:ascii="宋体" w:eastAsia="宋体" w:hAnsi="宋体"/>
        </w:rPr>
      </w:pPr>
      <w:r w:rsidRPr="00E932C8">
        <w:rPr>
          <w:rFonts w:ascii="宋体" w:eastAsia="宋体" w:hAnsi="宋体" w:hint="eastAsia"/>
          <w:szCs w:val="24"/>
        </w:rPr>
        <w:t>（</w:t>
      </w:r>
      <w:r w:rsidRPr="00E932C8">
        <w:rPr>
          <w:rFonts w:ascii="宋体" w:eastAsia="宋体" w:hAnsi="宋体"/>
          <w:szCs w:val="24"/>
        </w:rPr>
        <w:t>16）</w:t>
      </w:r>
      <w:r w:rsidRPr="00E932C8">
        <w:rPr>
          <w:rFonts w:ascii="宋体" w:eastAsia="宋体" w:hAnsi="宋体" w:hint="eastAsia"/>
        </w:rPr>
        <w:t>本基金主动投资于流动性受限资产的市值合计不得超过本基金资产净值的</w:t>
      </w:r>
      <w:r w:rsidRPr="00E932C8">
        <w:rPr>
          <w:rFonts w:ascii="宋体" w:eastAsia="宋体" w:hAnsi="宋体"/>
        </w:rPr>
        <w:t>15%</w:t>
      </w:r>
      <w:r w:rsidRPr="00E932C8">
        <w:rPr>
          <w:rFonts w:ascii="宋体" w:eastAsia="宋体" w:hAnsi="宋体" w:hint="eastAsia"/>
        </w:rPr>
        <w:t>；因证券市场波动、上市公司股票停牌、基金规模变动等基金管理人之外的因素致使基金不符合该比例限制的，基金管理人不得主动新增流动性受限资产的投资；</w:t>
      </w:r>
    </w:p>
    <w:p w:rsidR="00E932C8" w:rsidRPr="00E932C8" w:rsidRDefault="00E932C8" w:rsidP="00E932C8">
      <w:pPr>
        <w:adjustRightInd w:val="0"/>
        <w:snapToGrid w:val="0"/>
        <w:spacing w:line="360" w:lineRule="auto"/>
        <w:ind w:firstLineChars="200" w:firstLine="420"/>
        <w:rPr>
          <w:rFonts w:ascii="宋体" w:eastAsia="宋体" w:hAnsi="宋体"/>
        </w:rPr>
      </w:pPr>
      <w:r w:rsidRPr="00E932C8">
        <w:rPr>
          <w:rFonts w:ascii="宋体" w:eastAsia="宋体" w:hAnsi="宋体" w:hint="eastAsia"/>
        </w:rPr>
        <w:t>（</w:t>
      </w:r>
      <w:r w:rsidRPr="00E932C8">
        <w:rPr>
          <w:rFonts w:ascii="宋体" w:eastAsia="宋体" w:hAnsi="宋体"/>
        </w:rPr>
        <w:t>17</w:t>
      </w:r>
      <w:r w:rsidRPr="00E932C8">
        <w:rPr>
          <w:rFonts w:ascii="宋体" w:eastAsia="宋体" w:hAnsi="宋体" w:hint="eastAsia"/>
        </w:rPr>
        <w:t>）本基金与私募类证券资管产品及中国证监会认定的其他主体为交易对手开展逆回购交易的，可接受质押品的资质要求应当与基金合同约定的投资范围保持一致；</w:t>
      </w:r>
    </w:p>
    <w:p w:rsidR="00E932C8" w:rsidRPr="00E932C8" w:rsidRDefault="00E932C8" w:rsidP="00E932C8">
      <w:pPr>
        <w:adjustRightInd w:val="0"/>
        <w:snapToGrid w:val="0"/>
        <w:spacing w:line="360" w:lineRule="auto"/>
        <w:ind w:firstLineChars="200" w:firstLine="420"/>
        <w:rPr>
          <w:rFonts w:ascii="宋体" w:eastAsia="宋体" w:hAnsi="宋体"/>
        </w:rPr>
      </w:pPr>
      <w:r w:rsidRPr="00E932C8">
        <w:rPr>
          <w:rFonts w:ascii="宋体" w:eastAsia="宋体" w:hAnsi="宋体" w:hint="eastAsia"/>
        </w:rPr>
        <w:t>（</w:t>
      </w:r>
      <w:r w:rsidRPr="00E932C8">
        <w:rPr>
          <w:rFonts w:ascii="宋体" w:eastAsia="宋体" w:hAnsi="宋体"/>
          <w:szCs w:val="24"/>
        </w:rPr>
        <w:t>18</w:t>
      </w:r>
      <w:r w:rsidRPr="00E932C8">
        <w:rPr>
          <w:rFonts w:ascii="宋体" w:eastAsia="宋体" w:hAnsi="宋体" w:hint="eastAsia"/>
        </w:rPr>
        <w:t>）本基金总资产不得超过基金净资产的140%；</w:t>
      </w:r>
    </w:p>
    <w:p w:rsidR="00E932C8" w:rsidRPr="00E932C8" w:rsidRDefault="00E932C8" w:rsidP="00E932C8">
      <w:pPr>
        <w:adjustRightInd w:val="0"/>
        <w:snapToGrid w:val="0"/>
        <w:spacing w:line="360" w:lineRule="auto"/>
        <w:ind w:firstLineChars="200" w:firstLine="420"/>
        <w:rPr>
          <w:rFonts w:ascii="宋体" w:eastAsia="宋体" w:hAnsi="宋体"/>
        </w:rPr>
      </w:pPr>
      <w:r w:rsidRPr="00E932C8">
        <w:rPr>
          <w:rFonts w:ascii="宋体" w:eastAsia="宋体" w:hAnsi="宋体" w:hint="eastAsia"/>
        </w:rPr>
        <w:t>（1</w:t>
      </w:r>
      <w:r w:rsidRPr="00E932C8">
        <w:rPr>
          <w:rFonts w:ascii="宋体" w:eastAsia="宋体" w:hAnsi="宋体"/>
        </w:rPr>
        <w:t>9</w:t>
      </w:r>
      <w:r w:rsidRPr="00E932C8">
        <w:rPr>
          <w:rFonts w:ascii="宋体" w:eastAsia="宋体" w:hAnsi="宋体" w:hint="eastAsia"/>
        </w:rPr>
        <w:t>）本基金投资于同业存单的比例，不得超过基金资产净值的20%</w:t>
      </w:r>
    </w:p>
    <w:p w:rsidR="00E932C8" w:rsidRPr="00E932C8" w:rsidRDefault="00E932C8" w:rsidP="00E932C8">
      <w:pPr>
        <w:adjustRightInd w:val="0"/>
        <w:snapToGrid w:val="0"/>
        <w:spacing w:line="360" w:lineRule="auto"/>
        <w:ind w:firstLineChars="200" w:firstLine="420"/>
        <w:rPr>
          <w:rFonts w:ascii="宋体" w:eastAsia="宋体" w:hAnsi="宋体"/>
        </w:rPr>
      </w:pPr>
      <w:r w:rsidRPr="00E932C8">
        <w:rPr>
          <w:rFonts w:ascii="宋体" w:eastAsia="宋体" w:hAnsi="宋体" w:hint="eastAsia"/>
        </w:rPr>
        <w:t>（</w:t>
      </w:r>
      <w:r w:rsidRPr="00E932C8">
        <w:rPr>
          <w:rFonts w:ascii="宋体" w:eastAsia="宋体" w:hAnsi="宋体"/>
        </w:rPr>
        <w:t>20</w:t>
      </w:r>
      <w:r w:rsidRPr="00E932C8">
        <w:rPr>
          <w:rFonts w:ascii="宋体" w:eastAsia="宋体" w:hAnsi="宋体" w:hint="eastAsia"/>
        </w:rPr>
        <w:t>）法律法规及中国证监会规定的和《基金合同》约定的其他投资限制。</w:t>
      </w:r>
    </w:p>
    <w:p w:rsidR="00E932C8" w:rsidRPr="00E932C8" w:rsidRDefault="00E932C8" w:rsidP="00E932C8">
      <w:pPr>
        <w:adjustRightInd w:val="0"/>
        <w:snapToGrid w:val="0"/>
        <w:spacing w:line="360" w:lineRule="auto"/>
        <w:ind w:firstLineChars="200" w:firstLine="420"/>
        <w:rPr>
          <w:rFonts w:ascii="宋体" w:eastAsia="宋体" w:hAnsi="宋体"/>
        </w:rPr>
      </w:pPr>
      <w:r w:rsidRPr="00E932C8">
        <w:rPr>
          <w:rFonts w:ascii="宋体" w:eastAsia="宋体" w:hAnsi="宋体" w:hint="eastAsia"/>
        </w:rPr>
        <w:t>除上述（8）、（</w:t>
      </w:r>
      <w:r w:rsidRPr="00E932C8">
        <w:rPr>
          <w:rFonts w:ascii="宋体" w:eastAsia="宋体" w:hAnsi="宋体"/>
        </w:rPr>
        <w:t>14</w:t>
      </w:r>
      <w:r w:rsidRPr="00E932C8">
        <w:rPr>
          <w:rFonts w:ascii="宋体" w:eastAsia="宋体" w:hAnsi="宋体" w:hint="eastAsia"/>
        </w:rPr>
        <w:t>）、</w:t>
      </w:r>
      <w:r w:rsidRPr="00E932C8">
        <w:rPr>
          <w:rFonts w:ascii="宋体" w:eastAsia="宋体" w:hAnsi="宋体"/>
        </w:rPr>
        <w:t>（16）</w:t>
      </w:r>
      <w:r w:rsidRPr="00E932C8">
        <w:rPr>
          <w:rFonts w:ascii="宋体" w:eastAsia="宋体" w:hAnsi="宋体" w:hint="eastAsia"/>
        </w:rPr>
        <w:t>、（</w:t>
      </w:r>
      <w:r w:rsidRPr="00E932C8">
        <w:rPr>
          <w:rFonts w:ascii="宋体" w:eastAsia="宋体" w:hAnsi="宋体"/>
        </w:rPr>
        <w:t>17</w:t>
      </w:r>
      <w:r w:rsidRPr="00E932C8">
        <w:rPr>
          <w:rFonts w:ascii="宋体" w:eastAsia="宋体" w:hAnsi="宋体" w:hint="eastAsia"/>
        </w:rPr>
        <w:t>）情形之外，因</w:t>
      </w:r>
      <w:r w:rsidRPr="00E932C8">
        <w:rPr>
          <w:rFonts w:ascii="宋体" w:eastAsia="宋体" w:hAnsi="宋体"/>
        </w:rPr>
        <w:t>证券</w:t>
      </w:r>
      <w:r w:rsidRPr="00E932C8">
        <w:rPr>
          <w:rFonts w:ascii="宋体" w:eastAsia="宋体" w:hAnsi="宋体" w:hint="eastAsia"/>
        </w:rPr>
        <w:t>、期货</w:t>
      </w:r>
      <w:r w:rsidRPr="00E932C8">
        <w:rPr>
          <w:rFonts w:ascii="宋体" w:eastAsia="宋体" w:hAnsi="宋体"/>
        </w:rPr>
        <w:t>市场</w:t>
      </w:r>
      <w:r w:rsidRPr="00E932C8">
        <w:rPr>
          <w:rFonts w:ascii="宋体" w:eastAsia="宋体" w:hAnsi="宋体" w:hint="eastAsia"/>
        </w:rPr>
        <w:t>波动、证券发行人合并、基金规模变动等基金管理人之外的因素致使基金投资比例不符合上述规定投资比例的，基金管理人应当在</w:t>
      </w:r>
      <w:r w:rsidRPr="00E932C8">
        <w:rPr>
          <w:rFonts w:ascii="宋体" w:eastAsia="宋体" w:hAnsi="宋体"/>
        </w:rPr>
        <w:t>10</w:t>
      </w:r>
      <w:r w:rsidRPr="00E932C8">
        <w:rPr>
          <w:rFonts w:ascii="宋体" w:eastAsia="宋体" w:hAnsi="宋体" w:hint="eastAsia"/>
        </w:rPr>
        <w:t>个交易日内进行调整，但中国证监会规定的特殊情形除外。</w:t>
      </w:r>
    </w:p>
    <w:p w:rsidR="00E932C8" w:rsidRPr="00E932C8" w:rsidRDefault="00E932C8" w:rsidP="00E932C8">
      <w:pPr>
        <w:adjustRightInd w:val="0"/>
        <w:snapToGrid w:val="0"/>
        <w:spacing w:line="360" w:lineRule="auto"/>
        <w:ind w:firstLineChars="200" w:firstLine="420"/>
        <w:rPr>
          <w:rFonts w:ascii="宋体" w:eastAsia="宋体" w:hAnsi="宋体"/>
        </w:rPr>
      </w:pPr>
      <w:r w:rsidRPr="00E932C8">
        <w:rPr>
          <w:rFonts w:ascii="宋体" w:eastAsia="宋体" w:hAnsi="宋体" w:hint="eastAsia"/>
        </w:rPr>
        <w:t>基金管理人应当自转型为普通开放式基金之日起6</w:t>
      </w:r>
      <w:r w:rsidRPr="00E932C8">
        <w:rPr>
          <w:rFonts w:ascii="宋体" w:eastAsia="宋体" w:hAnsi="宋体"/>
        </w:rPr>
        <w:t>个月内使基金的投资组合比例符合基金合同的有关约定。在上述</w:t>
      </w:r>
      <w:r w:rsidRPr="00E932C8">
        <w:rPr>
          <w:rFonts w:ascii="宋体" w:eastAsia="宋体" w:hAnsi="宋体" w:hint="eastAsia"/>
        </w:rPr>
        <w:t>期间内，本基金的投资范围、投资策略应当符合本基金合同的约定。基金托管人对基金的投资的监督与检查自本基金合同生效之日起开始。</w:t>
      </w:r>
    </w:p>
    <w:p w:rsidR="00E932C8" w:rsidRPr="00E932C8" w:rsidRDefault="00E932C8" w:rsidP="00E932C8">
      <w:pPr>
        <w:adjustRightInd w:val="0"/>
        <w:snapToGrid w:val="0"/>
        <w:spacing w:line="360" w:lineRule="auto"/>
        <w:ind w:firstLineChars="200" w:firstLine="420"/>
        <w:rPr>
          <w:rStyle w:val="fontstyle01"/>
          <w:rFonts w:hint="default"/>
          <w:bCs/>
          <w:sz w:val="24"/>
          <w:szCs w:val="20"/>
        </w:rPr>
      </w:pPr>
      <w:r w:rsidRPr="00E932C8">
        <w:rPr>
          <w:rFonts w:ascii="宋体" w:eastAsia="宋体" w:hAnsi="宋体" w:hint="eastAsia"/>
        </w:rPr>
        <w:t>如果法律法规或监管部门对基金合同约定投资组合比例限制进行变更的，以变更后的规定为准。法律法规或监管部门取消上述限制，如适用于本基金，基金管理人在履行适当程序后，则本基金投资不再受相关限制。</w:t>
      </w:r>
    </w:p>
    <w:p w:rsidR="00E932C8" w:rsidRPr="00E932C8" w:rsidRDefault="00E932C8" w:rsidP="00E932C8">
      <w:pPr>
        <w:adjustRightInd w:val="0"/>
        <w:snapToGrid w:val="0"/>
        <w:spacing w:line="360" w:lineRule="auto"/>
        <w:ind w:firstLineChars="200" w:firstLine="420"/>
        <w:rPr>
          <w:rFonts w:ascii="宋体" w:eastAsia="宋体" w:hAnsi="宋体"/>
        </w:rPr>
      </w:pPr>
      <w:r w:rsidRPr="00E932C8">
        <w:rPr>
          <w:rFonts w:ascii="宋体" w:eastAsia="宋体" w:hAnsi="宋体"/>
        </w:rPr>
        <w:t>四、基金转型后的申购和赎回开放时间</w:t>
      </w:r>
    </w:p>
    <w:p w:rsidR="00E932C8" w:rsidRPr="00E932C8" w:rsidRDefault="00E932C8" w:rsidP="00E932C8">
      <w:pPr>
        <w:adjustRightInd w:val="0"/>
        <w:snapToGrid w:val="0"/>
        <w:spacing w:line="360" w:lineRule="auto"/>
        <w:ind w:firstLineChars="200" w:firstLine="420"/>
        <w:rPr>
          <w:rStyle w:val="fontstyle01"/>
          <w:rFonts w:hint="default"/>
        </w:rPr>
      </w:pPr>
      <w:r w:rsidRPr="00E932C8">
        <w:rPr>
          <w:rFonts w:ascii="宋体" w:eastAsia="宋体" w:hAnsi="宋体"/>
        </w:rPr>
        <w:t>本基金转为普通开放式基金后，投资人在开放日内可办理基金份额的申购和赎回，具体办理时间为上海证券交易所、深圳证券交易所的正常交易日的交易时间</w:t>
      </w:r>
      <w:r w:rsidRPr="00E932C8">
        <w:rPr>
          <w:rFonts w:ascii="宋体" w:eastAsia="宋体" w:hAnsi="宋体" w:hint="eastAsia"/>
        </w:rPr>
        <w:t>（若本基金参与港股通交易且该交易日为非港股通交易日时，则基金管理人可根据实际情况决定本基金是否开放申购、赎回及转换业务，具体以届时提前发布的公告为准）</w:t>
      </w:r>
      <w:r w:rsidRPr="00E932C8">
        <w:rPr>
          <w:rFonts w:ascii="宋体" w:eastAsia="宋体" w:hAnsi="宋体"/>
        </w:rPr>
        <w:t>，但基金管理人根据法律法规、中国证监会的要求或本基金合同的规定公告暂停申购、赎回时除外。</w:t>
      </w:r>
    </w:p>
    <w:p w:rsidR="00E932C8" w:rsidRPr="00E932C8" w:rsidRDefault="00E932C8" w:rsidP="00E932C8">
      <w:pPr>
        <w:adjustRightInd w:val="0"/>
        <w:snapToGrid w:val="0"/>
        <w:spacing w:line="360" w:lineRule="auto"/>
        <w:ind w:firstLineChars="200" w:firstLine="420"/>
        <w:rPr>
          <w:rFonts w:ascii="宋体" w:eastAsia="宋体" w:hAnsi="宋体"/>
        </w:rPr>
      </w:pPr>
      <w:r w:rsidRPr="00E932C8">
        <w:rPr>
          <w:rFonts w:ascii="宋体" w:eastAsia="宋体" w:hAnsi="宋体"/>
        </w:rPr>
        <w:t>五、基金转型后的巨额赎回的认定和处理方式</w:t>
      </w:r>
    </w:p>
    <w:p w:rsidR="00E932C8" w:rsidRPr="00E932C8" w:rsidRDefault="00E932C8" w:rsidP="00E932C8">
      <w:pPr>
        <w:adjustRightInd w:val="0"/>
        <w:snapToGrid w:val="0"/>
        <w:spacing w:line="360" w:lineRule="auto"/>
        <w:ind w:firstLineChars="200" w:firstLine="420"/>
        <w:rPr>
          <w:rFonts w:ascii="宋体" w:eastAsia="宋体" w:hAnsi="宋体"/>
        </w:rPr>
      </w:pPr>
      <w:r w:rsidRPr="00E932C8">
        <w:rPr>
          <w:rFonts w:ascii="宋体" w:eastAsia="宋体" w:hAnsi="宋体"/>
        </w:rPr>
        <w:t>1、巨额赎回的认定</w:t>
      </w:r>
    </w:p>
    <w:p w:rsidR="00E932C8" w:rsidRPr="00E932C8" w:rsidRDefault="00E932C8" w:rsidP="00E932C8">
      <w:pPr>
        <w:adjustRightInd w:val="0"/>
        <w:snapToGrid w:val="0"/>
        <w:spacing w:line="360" w:lineRule="auto"/>
        <w:ind w:firstLineChars="200" w:firstLine="420"/>
        <w:rPr>
          <w:rStyle w:val="fontstyle11"/>
          <w:rFonts w:ascii="宋体" w:eastAsia="宋体" w:hAnsi="宋体"/>
        </w:rPr>
      </w:pPr>
      <w:r w:rsidRPr="00E932C8">
        <w:rPr>
          <w:rFonts w:ascii="宋体" w:eastAsia="宋体" w:hAnsi="宋体" w:hint="eastAsia"/>
        </w:rPr>
        <w:t>若本基金单个开放日内的基金份额净赎回申请</w:t>
      </w:r>
      <w:r w:rsidRPr="00E932C8">
        <w:rPr>
          <w:rFonts w:ascii="宋体" w:eastAsia="宋体" w:hAnsi="宋体"/>
        </w:rPr>
        <w:t>（</w:t>
      </w:r>
      <w:r w:rsidRPr="00E932C8">
        <w:rPr>
          <w:rFonts w:ascii="宋体" w:eastAsia="宋体" w:hAnsi="宋体" w:hint="eastAsia"/>
        </w:rPr>
        <w:t>赎回申请份额总数加上基金转换中转出申请份额总数后扣除申购申请份额总数及基金转换中转入申请份额总数后的余额</w:t>
      </w:r>
      <w:r w:rsidRPr="00E932C8">
        <w:rPr>
          <w:rFonts w:ascii="宋体" w:eastAsia="宋体" w:hAnsi="宋体"/>
        </w:rPr>
        <w:t>）</w:t>
      </w:r>
      <w:r w:rsidRPr="00E932C8">
        <w:rPr>
          <w:rFonts w:ascii="宋体" w:eastAsia="宋体" w:hAnsi="宋体" w:hint="eastAsia"/>
        </w:rPr>
        <w:t>超过前一日的基金总份额的</w:t>
      </w:r>
      <w:r w:rsidRPr="00E932C8">
        <w:rPr>
          <w:rFonts w:ascii="宋体" w:eastAsia="宋体" w:hAnsi="宋体"/>
        </w:rPr>
        <w:t>10%</w:t>
      </w:r>
      <w:r w:rsidRPr="00E932C8">
        <w:rPr>
          <w:rFonts w:ascii="宋体" w:eastAsia="宋体" w:hAnsi="宋体" w:hint="eastAsia"/>
        </w:rPr>
        <w:t>，即认为是发生了巨额赎回。</w:t>
      </w:r>
    </w:p>
    <w:p w:rsidR="00E932C8" w:rsidRPr="00E932C8" w:rsidRDefault="00E932C8" w:rsidP="00E932C8">
      <w:pPr>
        <w:adjustRightInd w:val="0"/>
        <w:snapToGrid w:val="0"/>
        <w:spacing w:line="360" w:lineRule="auto"/>
        <w:ind w:firstLineChars="200" w:firstLine="420"/>
        <w:rPr>
          <w:rStyle w:val="fontstyle01"/>
          <w:rFonts w:hint="default"/>
        </w:rPr>
      </w:pPr>
      <w:r w:rsidRPr="00E932C8">
        <w:rPr>
          <w:rFonts w:ascii="宋体" w:eastAsia="宋体" w:hAnsi="宋体"/>
        </w:rPr>
        <w:t>2、巨额赎回的处理方式</w:t>
      </w:r>
    </w:p>
    <w:p w:rsidR="00E932C8" w:rsidRPr="00E932C8" w:rsidRDefault="00E932C8" w:rsidP="00E932C8">
      <w:pPr>
        <w:adjustRightInd w:val="0"/>
        <w:snapToGrid w:val="0"/>
        <w:spacing w:line="360" w:lineRule="auto"/>
        <w:ind w:firstLineChars="200" w:firstLine="420"/>
        <w:rPr>
          <w:rFonts w:ascii="宋体" w:eastAsia="宋体" w:hAnsi="宋体"/>
        </w:rPr>
      </w:pPr>
      <w:r w:rsidRPr="00E932C8">
        <w:rPr>
          <w:rFonts w:ascii="宋体" w:eastAsia="宋体" w:hAnsi="宋体" w:hint="eastAsia"/>
        </w:rPr>
        <w:t>当基金出现巨额赎回时，基金管理人可以根据基金当时的资产组合状况决定全额赎回、部分延期赎回或暂停赎回。</w:t>
      </w:r>
    </w:p>
    <w:p w:rsidR="00E932C8" w:rsidRPr="00E932C8" w:rsidRDefault="00E932C8" w:rsidP="00E932C8">
      <w:pPr>
        <w:adjustRightInd w:val="0"/>
        <w:snapToGrid w:val="0"/>
        <w:spacing w:line="360" w:lineRule="auto"/>
        <w:ind w:firstLineChars="200" w:firstLine="420"/>
        <w:rPr>
          <w:rFonts w:ascii="宋体" w:eastAsia="宋体" w:hAnsi="宋体"/>
        </w:rPr>
      </w:pPr>
      <w:r w:rsidRPr="00E932C8">
        <w:rPr>
          <w:rFonts w:ascii="宋体" w:eastAsia="宋体" w:hAnsi="宋体" w:hint="eastAsia"/>
        </w:rPr>
        <w:t>（</w:t>
      </w:r>
      <w:r w:rsidRPr="00E932C8">
        <w:rPr>
          <w:rFonts w:ascii="宋体" w:eastAsia="宋体" w:hAnsi="宋体"/>
        </w:rPr>
        <w:t>1</w:t>
      </w:r>
      <w:r w:rsidRPr="00E932C8">
        <w:rPr>
          <w:rFonts w:ascii="宋体" w:eastAsia="宋体" w:hAnsi="宋体" w:hint="eastAsia"/>
        </w:rPr>
        <w:t>）全额赎回：当基金管理人认为有能力支付投资人的全部赎回申请时，按正常赎回程序执行。</w:t>
      </w:r>
    </w:p>
    <w:p w:rsidR="00E932C8" w:rsidRPr="00E932C8" w:rsidRDefault="00E932C8" w:rsidP="00E932C8">
      <w:pPr>
        <w:adjustRightInd w:val="0"/>
        <w:snapToGrid w:val="0"/>
        <w:spacing w:line="360" w:lineRule="auto"/>
        <w:ind w:firstLineChars="200" w:firstLine="420"/>
        <w:rPr>
          <w:rFonts w:ascii="宋体" w:eastAsia="宋体" w:hAnsi="宋体"/>
        </w:rPr>
      </w:pPr>
      <w:r w:rsidRPr="00E932C8">
        <w:rPr>
          <w:rFonts w:ascii="宋体" w:eastAsia="宋体" w:hAnsi="宋体" w:hint="eastAsia"/>
        </w:rPr>
        <w:t>（</w:t>
      </w:r>
      <w:r w:rsidRPr="00E932C8">
        <w:rPr>
          <w:rFonts w:ascii="宋体" w:eastAsia="宋体" w:hAnsi="宋体"/>
        </w:rPr>
        <w:t>2</w:t>
      </w:r>
      <w:r w:rsidRPr="00E932C8">
        <w:rPr>
          <w:rFonts w:ascii="宋体" w:eastAsia="宋体" w:hAnsi="宋体" w:hint="eastAsia"/>
        </w:rPr>
        <w:t>）部分延期赎回：当基金管理人认为支付投资人的赎回申请有困难或认为因支付投资人的赎回申请而进行的财产变现可能会对基金资产净值造成较大波动时，基金管理人在当日接受赎回比例不低于上一日基金总份额</w:t>
      </w:r>
      <w:r w:rsidRPr="00E932C8">
        <w:rPr>
          <w:rFonts w:ascii="宋体" w:eastAsia="宋体" w:hAnsi="宋体"/>
        </w:rPr>
        <w:t>10%</w:t>
      </w:r>
      <w:r w:rsidRPr="00E932C8">
        <w:rPr>
          <w:rFonts w:ascii="宋体" w:eastAsia="宋体" w:hAnsi="宋体" w:hint="eastAsia"/>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部分延期赎回不受单笔赎回最低份额的限制。</w:t>
      </w:r>
    </w:p>
    <w:p w:rsidR="00E932C8" w:rsidRPr="00E932C8" w:rsidRDefault="00E932C8" w:rsidP="00E932C8">
      <w:pPr>
        <w:adjustRightInd w:val="0"/>
        <w:snapToGrid w:val="0"/>
        <w:spacing w:line="360" w:lineRule="auto"/>
        <w:ind w:firstLineChars="200" w:firstLine="420"/>
        <w:rPr>
          <w:rFonts w:ascii="宋体" w:eastAsia="宋体" w:hAnsi="宋体"/>
        </w:rPr>
      </w:pPr>
      <w:r w:rsidRPr="00E932C8">
        <w:rPr>
          <w:rFonts w:ascii="宋体" w:eastAsia="宋体" w:hAnsi="宋体" w:hint="eastAsia"/>
        </w:rPr>
        <w:t>（</w:t>
      </w:r>
      <w:r w:rsidRPr="00E932C8">
        <w:rPr>
          <w:rFonts w:ascii="宋体" w:eastAsia="宋体" w:hAnsi="宋体"/>
        </w:rPr>
        <w:t>3</w:t>
      </w:r>
      <w:r w:rsidRPr="00E932C8">
        <w:rPr>
          <w:rFonts w:ascii="宋体" w:eastAsia="宋体" w:hAnsi="宋体" w:hint="eastAsia"/>
        </w:rPr>
        <w:t>）当本基金出现巨额赎回时且基金管理人决定部分延期赎回的，在单个基金份额持有人赎回申请超过前一日基金总份额</w:t>
      </w:r>
      <w:r w:rsidRPr="00E932C8">
        <w:rPr>
          <w:rFonts w:ascii="宋体" w:eastAsia="宋体" w:hAnsi="宋体"/>
        </w:rPr>
        <w:t>10%</w:t>
      </w:r>
      <w:r w:rsidRPr="00E932C8">
        <w:rPr>
          <w:rFonts w:ascii="宋体" w:eastAsia="宋体" w:hAnsi="宋体" w:hint="eastAsia"/>
        </w:rPr>
        <w:t>的情形下，基金管理人认为支付该基金份额持有人的全部赎回申请有困难或者因支付该基金份额持有人的全部赎回申请而进行的财产变现可能会对基金资产净值造成较大波动时，可以对该基金份额持有人的赎回申请超过前一日基金总份额</w:t>
      </w:r>
      <w:r w:rsidRPr="00E932C8">
        <w:rPr>
          <w:rFonts w:ascii="宋体" w:eastAsia="宋体" w:hAnsi="宋体"/>
        </w:rPr>
        <w:t>10%</w:t>
      </w:r>
      <w:r w:rsidRPr="00E932C8">
        <w:rPr>
          <w:rFonts w:ascii="宋体" w:eastAsia="宋体" w:hAnsi="宋体" w:hint="eastAsia"/>
        </w:rPr>
        <w:t>的部分进行延期办理。对于其余当日未延期办理的赎回申请，应当按单个账户未延期办理的赎回申请量占未延期办理的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部分延期赎回不受单笔赎回最低份额的限制。</w:t>
      </w:r>
    </w:p>
    <w:p w:rsidR="00E932C8" w:rsidRPr="00E932C8" w:rsidRDefault="00E932C8" w:rsidP="00E932C8">
      <w:pPr>
        <w:adjustRightInd w:val="0"/>
        <w:snapToGrid w:val="0"/>
        <w:spacing w:line="360" w:lineRule="auto"/>
        <w:ind w:firstLineChars="200" w:firstLine="420"/>
        <w:rPr>
          <w:rStyle w:val="fontstyle01"/>
          <w:rFonts w:hint="default"/>
        </w:rPr>
      </w:pPr>
      <w:r w:rsidRPr="00E932C8">
        <w:rPr>
          <w:rFonts w:ascii="宋体" w:eastAsia="宋体" w:hAnsi="宋体" w:hint="eastAsia"/>
        </w:rPr>
        <w:t>（</w:t>
      </w:r>
      <w:r w:rsidRPr="00E932C8">
        <w:rPr>
          <w:rFonts w:ascii="宋体" w:eastAsia="宋体" w:hAnsi="宋体"/>
        </w:rPr>
        <w:t>4</w:t>
      </w:r>
      <w:r w:rsidRPr="00E932C8">
        <w:rPr>
          <w:rFonts w:ascii="宋体" w:eastAsia="宋体" w:hAnsi="宋体" w:hint="eastAsia"/>
        </w:rPr>
        <w:t>）暂停赎回：连续</w:t>
      </w:r>
      <w:r w:rsidRPr="00E932C8">
        <w:rPr>
          <w:rFonts w:ascii="宋体" w:eastAsia="宋体" w:hAnsi="宋体"/>
        </w:rPr>
        <w:t>2</w:t>
      </w:r>
      <w:r w:rsidRPr="00E932C8">
        <w:rPr>
          <w:rFonts w:ascii="宋体" w:eastAsia="宋体" w:hAnsi="宋体" w:hint="eastAsia"/>
        </w:rPr>
        <w:t>个开放日以上（含本数）发生巨额赎回，如基金管理人认为有必要，可暂停接受基金的赎回申请；已经接受的赎回申请可以延缓支付赎回款项，但不得超过</w:t>
      </w:r>
      <w:r w:rsidRPr="00E932C8">
        <w:rPr>
          <w:rFonts w:ascii="宋体" w:eastAsia="宋体" w:hAnsi="宋体"/>
        </w:rPr>
        <w:t>20</w:t>
      </w:r>
      <w:r w:rsidRPr="00E932C8">
        <w:rPr>
          <w:rFonts w:ascii="宋体" w:eastAsia="宋体" w:hAnsi="宋体" w:hint="eastAsia"/>
        </w:rPr>
        <w:t>个工作日，并应当在规定媒介上进行公告。</w:t>
      </w:r>
    </w:p>
    <w:p w:rsidR="00E932C8" w:rsidRPr="00E932C8" w:rsidRDefault="00E932C8" w:rsidP="00E932C8">
      <w:pPr>
        <w:adjustRightInd w:val="0"/>
        <w:snapToGrid w:val="0"/>
        <w:spacing w:line="360" w:lineRule="auto"/>
        <w:ind w:firstLineChars="200" w:firstLine="420"/>
        <w:rPr>
          <w:rFonts w:ascii="宋体" w:eastAsia="宋体" w:hAnsi="宋体"/>
        </w:rPr>
      </w:pPr>
      <w:r w:rsidRPr="00E932C8">
        <w:rPr>
          <w:rFonts w:ascii="宋体" w:eastAsia="宋体" w:hAnsi="宋体"/>
        </w:rPr>
        <w:t>3、巨额赎回的公告</w:t>
      </w:r>
    </w:p>
    <w:p w:rsidR="00E932C8" w:rsidRPr="00E932C8" w:rsidRDefault="00E932C8" w:rsidP="00E932C8">
      <w:pPr>
        <w:adjustRightInd w:val="0"/>
        <w:snapToGrid w:val="0"/>
        <w:spacing w:line="360" w:lineRule="auto"/>
        <w:ind w:firstLineChars="200" w:firstLine="420"/>
        <w:rPr>
          <w:rFonts w:ascii="宋体" w:eastAsia="宋体" w:hAnsi="宋体"/>
        </w:rPr>
      </w:pPr>
      <w:r w:rsidRPr="00E932C8">
        <w:rPr>
          <w:rFonts w:ascii="宋体" w:eastAsia="宋体" w:hAnsi="宋体" w:hint="eastAsia"/>
        </w:rPr>
        <w:t>当发生上述巨额赎回并延期办理时，基金管理人应当通过邮寄、传真或者招募说明书规定的其他方式在</w:t>
      </w:r>
      <w:r w:rsidRPr="00E932C8">
        <w:rPr>
          <w:rFonts w:ascii="宋体" w:eastAsia="宋体" w:hAnsi="宋体"/>
        </w:rPr>
        <w:t>3</w:t>
      </w:r>
      <w:r w:rsidRPr="00E932C8">
        <w:rPr>
          <w:rFonts w:ascii="宋体" w:eastAsia="宋体" w:hAnsi="宋体" w:hint="eastAsia"/>
        </w:rPr>
        <w:t>个交易日内通知基金份额持有人，说明有关处理方法，并在2日内在规定媒介上刊登公告。</w:t>
      </w:r>
    </w:p>
    <w:p w:rsidR="00E932C8" w:rsidRPr="00E932C8" w:rsidRDefault="00E932C8" w:rsidP="00E932C8">
      <w:pPr>
        <w:adjustRightInd w:val="0"/>
        <w:snapToGrid w:val="0"/>
        <w:spacing w:line="360" w:lineRule="auto"/>
        <w:ind w:firstLineChars="200" w:firstLine="420"/>
        <w:rPr>
          <w:rFonts w:ascii="宋体" w:eastAsia="宋体" w:hAnsi="宋体" w:cs="Times New Roman"/>
          <w:szCs w:val="24"/>
        </w:rPr>
      </w:pPr>
      <w:r w:rsidRPr="00E932C8">
        <w:rPr>
          <w:rFonts w:ascii="宋体" w:eastAsia="宋体" w:hAnsi="宋体" w:hint="eastAsia"/>
        </w:rPr>
        <w:t>本基金转型后的其他事项依据本基金合同及法律法规或监管机构的规定进行。</w:t>
      </w:r>
    </w:p>
    <w:sectPr w:rsidR="00E932C8" w:rsidRPr="00E932C8" w:rsidSect="005843D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2811" w:rsidRDefault="000D2811" w:rsidP="00215CE0">
      <w:r>
        <w:separator/>
      </w:r>
    </w:p>
  </w:endnote>
  <w:endnote w:type="continuationSeparator" w:id="0">
    <w:p w:rsidR="000D2811" w:rsidRDefault="000D2811" w:rsidP="00215CE0">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2811" w:rsidRDefault="000D2811" w:rsidP="00215CE0">
      <w:r>
        <w:separator/>
      </w:r>
    </w:p>
  </w:footnote>
  <w:footnote w:type="continuationSeparator" w:id="0">
    <w:p w:rsidR="000D2811" w:rsidRDefault="000D2811" w:rsidP="00215C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E5227"/>
    <w:rsid w:val="00034C87"/>
    <w:rsid w:val="00076F81"/>
    <w:rsid w:val="000D2811"/>
    <w:rsid w:val="00194916"/>
    <w:rsid w:val="001E5227"/>
    <w:rsid w:val="001E6CCC"/>
    <w:rsid w:val="00215CE0"/>
    <w:rsid w:val="002A0FD1"/>
    <w:rsid w:val="002E1BC7"/>
    <w:rsid w:val="004C0BFD"/>
    <w:rsid w:val="00500373"/>
    <w:rsid w:val="00504014"/>
    <w:rsid w:val="005843DC"/>
    <w:rsid w:val="00626057"/>
    <w:rsid w:val="006A61C6"/>
    <w:rsid w:val="00703381"/>
    <w:rsid w:val="00706FE6"/>
    <w:rsid w:val="00791423"/>
    <w:rsid w:val="007B0751"/>
    <w:rsid w:val="00841041"/>
    <w:rsid w:val="008B4472"/>
    <w:rsid w:val="008E2E2F"/>
    <w:rsid w:val="00A50B6F"/>
    <w:rsid w:val="00B40D25"/>
    <w:rsid w:val="00B92E24"/>
    <w:rsid w:val="00B95CB8"/>
    <w:rsid w:val="00BD5A95"/>
    <w:rsid w:val="00D0335D"/>
    <w:rsid w:val="00D2672B"/>
    <w:rsid w:val="00DE0020"/>
    <w:rsid w:val="00DF0B2A"/>
    <w:rsid w:val="00E932C8"/>
    <w:rsid w:val="00F123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3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76F81"/>
    <w:pPr>
      <w:widowControl/>
      <w:spacing w:before="100" w:beforeAutospacing="1" w:after="100" w:afterAutospacing="1"/>
      <w:jc w:val="left"/>
    </w:pPr>
    <w:rPr>
      <w:rFonts w:ascii="宋体" w:eastAsia="宋体" w:hAnsi="宋体" w:cs="宋体"/>
      <w:kern w:val="0"/>
      <w:sz w:val="24"/>
      <w:szCs w:val="24"/>
    </w:rPr>
  </w:style>
  <w:style w:type="character" w:styleId="a4">
    <w:name w:val="annotation reference"/>
    <w:basedOn w:val="a0"/>
    <w:uiPriority w:val="99"/>
    <w:semiHidden/>
    <w:unhideWhenUsed/>
    <w:rsid w:val="002E1BC7"/>
    <w:rPr>
      <w:sz w:val="21"/>
      <w:szCs w:val="21"/>
    </w:rPr>
  </w:style>
  <w:style w:type="paragraph" w:styleId="a5">
    <w:name w:val="annotation text"/>
    <w:basedOn w:val="a"/>
    <w:link w:val="Char"/>
    <w:uiPriority w:val="99"/>
    <w:semiHidden/>
    <w:unhideWhenUsed/>
    <w:rsid w:val="002E1BC7"/>
    <w:pPr>
      <w:jc w:val="left"/>
    </w:pPr>
  </w:style>
  <w:style w:type="character" w:customStyle="1" w:styleId="Char">
    <w:name w:val="批注文字 Char"/>
    <w:basedOn w:val="a0"/>
    <w:link w:val="a5"/>
    <w:uiPriority w:val="99"/>
    <w:semiHidden/>
    <w:rsid w:val="002E1BC7"/>
  </w:style>
  <w:style w:type="paragraph" w:styleId="a6">
    <w:name w:val="annotation subject"/>
    <w:basedOn w:val="a5"/>
    <w:next w:val="a5"/>
    <w:link w:val="Char0"/>
    <w:uiPriority w:val="99"/>
    <w:semiHidden/>
    <w:unhideWhenUsed/>
    <w:rsid w:val="002E1BC7"/>
    <w:rPr>
      <w:b/>
      <w:bCs/>
    </w:rPr>
  </w:style>
  <w:style w:type="character" w:customStyle="1" w:styleId="Char0">
    <w:name w:val="批注主题 Char"/>
    <w:basedOn w:val="Char"/>
    <w:link w:val="a6"/>
    <w:uiPriority w:val="99"/>
    <w:semiHidden/>
    <w:rsid w:val="002E1BC7"/>
    <w:rPr>
      <w:b/>
      <w:bCs/>
    </w:rPr>
  </w:style>
  <w:style w:type="paragraph" w:styleId="a7">
    <w:name w:val="Balloon Text"/>
    <w:basedOn w:val="a"/>
    <w:link w:val="Char1"/>
    <w:uiPriority w:val="99"/>
    <w:semiHidden/>
    <w:unhideWhenUsed/>
    <w:rsid w:val="002E1BC7"/>
    <w:rPr>
      <w:sz w:val="18"/>
      <w:szCs w:val="18"/>
    </w:rPr>
  </w:style>
  <w:style w:type="character" w:customStyle="1" w:styleId="Char1">
    <w:name w:val="批注框文本 Char"/>
    <w:basedOn w:val="a0"/>
    <w:link w:val="a7"/>
    <w:uiPriority w:val="99"/>
    <w:semiHidden/>
    <w:rsid w:val="002E1BC7"/>
    <w:rPr>
      <w:sz w:val="18"/>
      <w:szCs w:val="18"/>
    </w:rPr>
  </w:style>
  <w:style w:type="character" w:customStyle="1" w:styleId="fontstyle01">
    <w:name w:val="fontstyle01"/>
    <w:basedOn w:val="a0"/>
    <w:rsid w:val="00E932C8"/>
    <w:rPr>
      <w:rFonts w:ascii="宋体" w:eastAsia="宋体" w:hAnsi="宋体" w:hint="eastAsia"/>
      <w:b w:val="0"/>
      <w:bCs w:val="0"/>
      <w:i w:val="0"/>
      <w:iCs w:val="0"/>
      <w:color w:val="000000"/>
      <w:sz w:val="22"/>
      <w:szCs w:val="22"/>
    </w:rPr>
  </w:style>
  <w:style w:type="character" w:customStyle="1" w:styleId="fontstyle11">
    <w:name w:val="fontstyle11"/>
    <w:basedOn w:val="a0"/>
    <w:rsid w:val="00E932C8"/>
    <w:rPr>
      <w:rFonts w:ascii="Times New Roman" w:hAnsi="Times New Roman" w:cs="Times New Roman" w:hint="default"/>
      <w:b w:val="0"/>
      <w:bCs w:val="0"/>
      <w:i w:val="0"/>
      <w:iCs w:val="0"/>
      <w:color w:val="000000"/>
      <w:sz w:val="22"/>
      <w:szCs w:val="22"/>
    </w:rPr>
  </w:style>
  <w:style w:type="paragraph" w:styleId="a8">
    <w:name w:val="header"/>
    <w:basedOn w:val="a"/>
    <w:link w:val="Char2"/>
    <w:uiPriority w:val="99"/>
    <w:unhideWhenUsed/>
    <w:rsid w:val="00215CE0"/>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215CE0"/>
    <w:rPr>
      <w:sz w:val="18"/>
      <w:szCs w:val="18"/>
    </w:rPr>
  </w:style>
  <w:style w:type="paragraph" w:styleId="a9">
    <w:name w:val="footer"/>
    <w:basedOn w:val="a"/>
    <w:link w:val="Char3"/>
    <w:uiPriority w:val="99"/>
    <w:unhideWhenUsed/>
    <w:rsid w:val="00215CE0"/>
    <w:pPr>
      <w:tabs>
        <w:tab w:val="center" w:pos="4153"/>
        <w:tab w:val="right" w:pos="8306"/>
      </w:tabs>
      <w:snapToGrid w:val="0"/>
      <w:jc w:val="left"/>
    </w:pPr>
    <w:rPr>
      <w:sz w:val="18"/>
      <w:szCs w:val="18"/>
    </w:rPr>
  </w:style>
  <w:style w:type="character" w:customStyle="1" w:styleId="Char3">
    <w:name w:val="页脚 Char"/>
    <w:basedOn w:val="a0"/>
    <w:link w:val="a9"/>
    <w:uiPriority w:val="99"/>
    <w:rsid w:val="00215CE0"/>
    <w:rPr>
      <w:sz w:val="18"/>
      <w:szCs w:val="18"/>
    </w:rPr>
  </w:style>
</w:styles>
</file>

<file path=word/webSettings.xml><?xml version="1.0" encoding="utf-8"?>
<w:webSettings xmlns:r="http://schemas.openxmlformats.org/officeDocument/2006/relationships" xmlns:w="http://schemas.openxmlformats.org/wordprocessingml/2006/main">
  <w:divs>
    <w:div w:id="130581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1234</Words>
  <Characters>7035</Characters>
  <Application>Microsoft Office Word</Application>
  <DocSecurity>4</DocSecurity>
  <Lines>58</Lines>
  <Paragraphs>16</Paragraphs>
  <ScaleCrop>false</ScaleCrop>
  <Company/>
  <LinksUpToDate>false</LinksUpToDate>
  <CharactersWithSpaces>8253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冯迪20231206</dc:creator>
  <cp:keywords/>
  <dc:description/>
  <cp:lastModifiedBy>ZHONGM</cp:lastModifiedBy>
  <cp:revision>2</cp:revision>
  <dcterms:created xsi:type="dcterms:W3CDTF">2025-02-24T16:02:00Z</dcterms:created>
  <dcterms:modified xsi:type="dcterms:W3CDTF">2025-02-24T16:02:00Z</dcterms:modified>
</cp:coreProperties>
</file>