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B4" w:rsidRPr="00F71342" w:rsidRDefault="00DC52B4" w:rsidP="004C61B0">
      <w:pPr>
        <w:spacing w:line="360" w:lineRule="auto"/>
        <w:jc w:val="center"/>
        <w:rPr>
          <w:rFonts w:ascii="宋体" w:hAnsi="宋体"/>
          <w:b/>
          <w:sz w:val="21"/>
          <w:szCs w:val="21"/>
        </w:rPr>
      </w:pPr>
      <w:bookmarkStart w:id="0" w:name="_GoBack"/>
      <w:bookmarkEnd w:id="0"/>
      <w:r w:rsidRPr="00F71342">
        <w:rPr>
          <w:rFonts w:ascii="宋体" w:hAnsi="宋体" w:hint="eastAsia"/>
          <w:b/>
          <w:sz w:val="21"/>
          <w:szCs w:val="21"/>
        </w:rPr>
        <w:t>中欧基金管理有限公司</w:t>
      </w:r>
    </w:p>
    <w:p w:rsidR="00DC52B4" w:rsidRPr="00F71342" w:rsidRDefault="00DC52B4" w:rsidP="004C61B0">
      <w:pPr>
        <w:spacing w:line="360" w:lineRule="auto"/>
        <w:jc w:val="center"/>
        <w:rPr>
          <w:rFonts w:ascii="宋体" w:hAnsi="宋体"/>
          <w:b/>
          <w:sz w:val="21"/>
          <w:szCs w:val="21"/>
        </w:rPr>
      </w:pPr>
      <w:r w:rsidRPr="00F71342">
        <w:rPr>
          <w:rFonts w:ascii="宋体" w:hAnsi="宋体" w:hint="eastAsia"/>
          <w:b/>
          <w:sz w:val="21"/>
          <w:szCs w:val="21"/>
        </w:rPr>
        <w:t>关于中欧成长优选回报灵活配置混合型发起式证券投资基金</w:t>
      </w:r>
    </w:p>
    <w:p w:rsidR="00DC52B4" w:rsidRPr="00F71342" w:rsidRDefault="00DC52B4" w:rsidP="004C61B0">
      <w:pPr>
        <w:spacing w:line="360" w:lineRule="auto"/>
        <w:jc w:val="center"/>
        <w:rPr>
          <w:rFonts w:ascii="宋体" w:hAnsi="宋体"/>
          <w:b/>
          <w:sz w:val="21"/>
          <w:szCs w:val="21"/>
        </w:rPr>
      </w:pPr>
      <w:r w:rsidRPr="00F71342">
        <w:rPr>
          <w:rFonts w:ascii="宋体" w:hAnsi="宋体" w:hint="eastAsia"/>
          <w:b/>
          <w:sz w:val="21"/>
          <w:szCs w:val="21"/>
        </w:rPr>
        <w:t>确定季度对日区间适用管理费率的公告</w:t>
      </w:r>
    </w:p>
    <w:p w:rsidR="00DC52B4" w:rsidRPr="00F71342" w:rsidRDefault="00DC52B4" w:rsidP="004C61B0">
      <w:pPr>
        <w:spacing w:line="360" w:lineRule="auto"/>
        <w:rPr>
          <w:rFonts w:ascii="宋体" w:hAnsi="宋体"/>
          <w:sz w:val="21"/>
          <w:szCs w:val="21"/>
        </w:rPr>
      </w:pPr>
    </w:p>
    <w:p w:rsidR="000B3938" w:rsidRPr="00F71342" w:rsidRDefault="00DC52B4" w:rsidP="004C61B0">
      <w:pPr>
        <w:spacing w:line="360" w:lineRule="auto"/>
        <w:ind w:firstLineChars="200" w:firstLine="420"/>
        <w:rPr>
          <w:rFonts w:ascii="宋体" w:hAnsi="宋体"/>
          <w:sz w:val="21"/>
          <w:szCs w:val="21"/>
        </w:rPr>
      </w:pPr>
      <w:r w:rsidRPr="00F71342">
        <w:rPr>
          <w:rFonts w:ascii="宋体" w:hAnsi="宋体" w:hint="eastAsia"/>
          <w:sz w:val="21"/>
          <w:szCs w:val="21"/>
        </w:rPr>
        <w:t>根据《中欧成长优选回报灵活配置混合型发起式证券投资基金基金合同》（以下简称“基金合同”）</w:t>
      </w:r>
      <w:r w:rsidR="007C265E">
        <w:rPr>
          <w:rFonts w:ascii="宋体" w:hAnsi="宋体" w:hint="eastAsia"/>
          <w:sz w:val="21"/>
          <w:szCs w:val="21"/>
        </w:rPr>
        <w:t>及2</w:t>
      </w:r>
      <w:r w:rsidR="007C265E">
        <w:rPr>
          <w:rFonts w:ascii="宋体" w:hAnsi="宋体"/>
          <w:sz w:val="21"/>
          <w:szCs w:val="21"/>
        </w:rPr>
        <w:t>023</w:t>
      </w:r>
      <w:r w:rsidR="007C265E">
        <w:rPr>
          <w:rFonts w:ascii="宋体" w:hAnsi="宋体" w:hint="eastAsia"/>
          <w:sz w:val="21"/>
          <w:szCs w:val="21"/>
        </w:rPr>
        <w:t>年7月</w:t>
      </w:r>
      <w:r w:rsidR="007C265E">
        <w:rPr>
          <w:rFonts w:ascii="宋体" w:hAnsi="宋体"/>
          <w:sz w:val="21"/>
          <w:szCs w:val="21"/>
        </w:rPr>
        <w:t>8</w:t>
      </w:r>
      <w:r w:rsidR="007C265E">
        <w:rPr>
          <w:rFonts w:ascii="宋体" w:hAnsi="宋体" w:hint="eastAsia"/>
          <w:sz w:val="21"/>
          <w:szCs w:val="21"/>
        </w:rPr>
        <w:t>日基金管理人发布</w:t>
      </w:r>
      <w:r w:rsidR="007C265E" w:rsidRPr="009604E0">
        <w:rPr>
          <w:rFonts w:ascii="宋体" w:hAnsi="宋体" w:hint="eastAsia"/>
          <w:sz w:val="21"/>
          <w:szCs w:val="21"/>
        </w:rPr>
        <w:t>《</w:t>
      </w:r>
      <w:r w:rsidR="007C265E" w:rsidRPr="004D5A83">
        <w:rPr>
          <w:rFonts w:ascii="宋体" w:hAnsi="宋体" w:hint="eastAsia"/>
          <w:sz w:val="21"/>
          <w:szCs w:val="21"/>
        </w:rPr>
        <w:t>中欧基金管理有限公司关于调低旗下部分基金费率并修订基金合同的公告</w:t>
      </w:r>
      <w:r w:rsidR="007C265E" w:rsidRPr="009604E0">
        <w:rPr>
          <w:rFonts w:ascii="宋体" w:hAnsi="宋体" w:hint="eastAsia"/>
          <w:sz w:val="21"/>
          <w:szCs w:val="21"/>
        </w:rPr>
        <w:t>》</w:t>
      </w:r>
      <w:r w:rsidRPr="00F71342">
        <w:rPr>
          <w:rFonts w:ascii="宋体" w:hAnsi="宋体" w:hint="eastAsia"/>
          <w:sz w:val="21"/>
          <w:szCs w:val="21"/>
        </w:rPr>
        <w:t>的约定，</w:t>
      </w:r>
      <w:r w:rsidR="000B3938" w:rsidRPr="00F71342">
        <w:rPr>
          <w:rFonts w:ascii="宋体" w:hAnsi="宋体" w:hint="eastAsia"/>
          <w:sz w:val="21"/>
          <w:szCs w:val="21"/>
        </w:rPr>
        <w:t>基金合同生效满三年后的每个季度对日，根据基金在该日之前（不含该日）连续三年的基金份额累计净值增长率与同期业绩比较基准进行比较，确定下一个季度所适用的管理费率。中欧成长优选回报灵活配置混合型发起式证券投资基金（以下简称“本基金”）成立于2013年8月21日，</w:t>
      </w:r>
      <w:r w:rsidR="006E316E" w:rsidRPr="00F71342">
        <w:rPr>
          <w:rFonts w:ascii="宋体" w:hAnsi="宋体" w:hint="eastAsia"/>
          <w:sz w:val="21"/>
          <w:szCs w:val="21"/>
        </w:rPr>
        <w:t>20</w:t>
      </w:r>
      <w:r w:rsidR="006E316E">
        <w:rPr>
          <w:rFonts w:ascii="宋体" w:hAnsi="宋体"/>
          <w:sz w:val="21"/>
          <w:szCs w:val="21"/>
        </w:rPr>
        <w:t>2</w:t>
      </w:r>
      <w:r w:rsidR="00791DE5">
        <w:rPr>
          <w:rFonts w:ascii="宋体" w:hAnsi="宋体"/>
          <w:sz w:val="21"/>
          <w:szCs w:val="21"/>
        </w:rPr>
        <w:t>5</w:t>
      </w:r>
      <w:r w:rsidR="006E316E" w:rsidRPr="00F71342">
        <w:rPr>
          <w:rFonts w:ascii="宋体" w:hAnsi="宋体" w:hint="eastAsia"/>
          <w:sz w:val="21"/>
          <w:szCs w:val="21"/>
        </w:rPr>
        <w:t>年</w:t>
      </w:r>
      <w:r w:rsidR="00791DE5">
        <w:rPr>
          <w:rFonts w:ascii="宋体" w:hAnsi="宋体" w:hint="eastAsia"/>
          <w:sz w:val="21"/>
          <w:szCs w:val="21"/>
        </w:rPr>
        <w:t>2</w:t>
      </w:r>
      <w:r w:rsidR="0055221C" w:rsidRPr="00F71342">
        <w:rPr>
          <w:rFonts w:ascii="宋体" w:hAnsi="宋体" w:hint="eastAsia"/>
          <w:sz w:val="21"/>
          <w:szCs w:val="21"/>
        </w:rPr>
        <w:t>月</w:t>
      </w:r>
      <w:r w:rsidR="005C055A" w:rsidRPr="00F71342">
        <w:rPr>
          <w:rFonts w:ascii="宋体" w:hAnsi="宋体" w:hint="eastAsia"/>
          <w:sz w:val="21"/>
          <w:szCs w:val="21"/>
        </w:rPr>
        <w:t>2</w:t>
      </w:r>
      <w:r w:rsidR="009253AF">
        <w:rPr>
          <w:rFonts w:ascii="宋体" w:hAnsi="宋体"/>
          <w:sz w:val="21"/>
          <w:szCs w:val="21"/>
        </w:rPr>
        <w:t>1</w:t>
      </w:r>
      <w:r w:rsidR="0055221C" w:rsidRPr="00F71342">
        <w:rPr>
          <w:rFonts w:ascii="宋体" w:hAnsi="宋体" w:hint="eastAsia"/>
          <w:sz w:val="21"/>
          <w:szCs w:val="21"/>
        </w:rPr>
        <w:t>日为合同生效满三年后的</w:t>
      </w:r>
      <w:r w:rsidR="009B2DD4" w:rsidRPr="00F71342">
        <w:rPr>
          <w:rFonts w:ascii="宋体" w:hAnsi="宋体" w:hint="eastAsia"/>
          <w:sz w:val="21"/>
          <w:szCs w:val="21"/>
        </w:rPr>
        <w:t>第</w:t>
      </w:r>
      <w:r w:rsidR="009B3867">
        <w:rPr>
          <w:rFonts w:ascii="宋体" w:hAnsi="宋体" w:hint="eastAsia"/>
          <w:sz w:val="21"/>
          <w:szCs w:val="21"/>
        </w:rPr>
        <w:t>三</w:t>
      </w:r>
      <w:r w:rsidR="009B2DD4" w:rsidRPr="00F71342">
        <w:rPr>
          <w:rFonts w:ascii="宋体" w:hAnsi="宋体" w:hint="eastAsia"/>
          <w:sz w:val="21"/>
          <w:szCs w:val="21"/>
        </w:rPr>
        <w:t>十</w:t>
      </w:r>
      <w:r w:rsidR="00791DE5">
        <w:rPr>
          <w:rFonts w:ascii="宋体" w:hAnsi="宋体" w:hint="eastAsia"/>
          <w:sz w:val="21"/>
          <w:szCs w:val="21"/>
        </w:rPr>
        <w:t>五</w:t>
      </w:r>
      <w:r w:rsidR="00FC32B0" w:rsidRPr="00F71342">
        <w:rPr>
          <w:rFonts w:ascii="宋体" w:hAnsi="宋体" w:hint="eastAsia"/>
          <w:sz w:val="21"/>
          <w:szCs w:val="21"/>
        </w:rPr>
        <w:t>个</w:t>
      </w:r>
      <w:r w:rsidR="0055221C" w:rsidRPr="00F71342">
        <w:rPr>
          <w:rFonts w:ascii="宋体" w:hAnsi="宋体" w:hint="eastAsia"/>
          <w:sz w:val="21"/>
          <w:szCs w:val="21"/>
        </w:rPr>
        <w:t>季度对日，根据基金合同约定</w:t>
      </w:r>
      <w:r w:rsidR="001C3CBB" w:rsidRPr="00F71342">
        <w:rPr>
          <w:rFonts w:ascii="宋体" w:hAnsi="宋体" w:hint="eastAsia"/>
          <w:sz w:val="21"/>
          <w:szCs w:val="21"/>
        </w:rPr>
        <w:t>，需确定下</w:t>
      </w:r>
      <w:r w:rsidR="008E000D" w:rsidRPr="00F71342">
        <w:rPr>
          <w:rFonts w:ascii="宋体" w:hAnsi="宋体" w:hint="eastAsia"/>
          <w:sz w:val="21"/>
          <w:szCs w:val="21"/>
        </w:rPr>
        <w:t>一</w:t>
      </w:r>
      <w:r w:rsidR="0055221C" w:rsidRPr="00F71342">
        <w:rPr>
          <w:rFonts w:ascii="宋体" w:hAnsi="宋体" w:hint="eastAsia"/>
          <w:sz w:val="21"/>
          <w:szCs w:val="21"/>
        </w:rPr>
        <w:t>季度对日区间</w:t>
      </w:r>
      <w:r w:rsidR="0068316C" w:rsidRPr="00F71342">
        <w:rPr>
          <w:rFonts w:ascii="宋体" w:hAnsi="宋体" w:hint="eastAsia"/>
          <w:sz w:val="21"/>
          <w:szCs w:val="21"/>
        </w:rPr>
        <w:t>【20</w:t>
      </w:r>
      <w:r w:rsidR="0068316C">
        <w:rPr>
          <w:rFonts w:ascii="宋体" w:hAnsi="宋体"/>
          <w:sz w:val="21"/>
          <w:szCs w:val="21"/>
        </w:rPr>
        <w:t>2</w:t>
      </w:r>
      <w:r w:rsidR="00791DE5">
        <w:rPr>
          <w:rFonts w:ascii="宋体" w:hAnsi="宋体"/>
          <w:sz w:val="21"/>
          <w:szCs w:val="21"/>
        </w:rPr>
        <w:t>5</w:t>
      </w:r>
      <w:r w:rsidR="0068316C" w:rsidRPr="00F71342">
        <w:rPr>
          <w:rFonts w:ascii="宋体" w:hAnsi="宋体" w:hint="eastAsia"/>
          <w:sz w:val="21"/>
          <w:szCs w:val="21"/>
        </w:rPr>
        <w:t>年</w:t>
      </w:r>
      <w:r w:rsidR="00791DE5">
        <w:rPr>
          <w:rFonts w:ascii="宋体" w:hAnsi="宋体" w:hint="eastAsia"/>
          <w:sz w:val="21"/>
          <w:szCs w:val="21"/>
        </w:rPr>
        <w:t>2</w:t>
      </w:r>
      <w:r w:rsidR="00603660" w:rsidRPr="00F71342">
        <w:rPr>
          <w:rFonts w:ascii="宋体" w:hAnsi="宋体" w:hint="eastAsia"/>
          <w:sz w:val="21"/>
          <w:szCs w:val="21"/>
        </w:rPr>
        <w:t>月</w:t>
      </w:r>
      <w:r w:rsidR="00D427D4" w:rsidRPr="00F71342">
        <w:rPr>
          <w:rFonts w:ascii="宋体" w:hAnsi="宋体" w:hint="eastAsia"/>
          <w:sz w:val="21"/>
          <w:szCs w:val="21"/>
        </w:rPr>
        <w:t>2</w:t>
      </w:r>
      <w:r w:rsidR="009253AF">
        <w:rPr>
          <w:rFonts w:ascii="宋体" w:hAnsi="宋体"/>
          <w:sz w:val="21"/>
          <w:szCs w:val="21"/>
        </w:rPr>
        <w:t>1</w:t>
      </w:r>
      <w:r w:rsidR="00603660" w:rsidRPr="00F71342">
        <w:rPr>
          <w:rFonts w:ascii="宋体" w:hAnsi="宋体" w:hint="eastAsia"/>
          <w:sz w:val="21"/>
          <w:szCs w:val="21"/>
        </w:rPr>
        <w:t>日至</w:t>
      </w:r>
      <w:r w:rsidR="006E316E" w:rsidRPr="00F71342">
        <w:rPr>
          <w:rFonts w:ascii="宋体" w:hAnsi="宋体" w:hint="eastAsia"/>
          <w:sz w:val="21"/>
          <w:szCs w:val="21"/>
        </w:rPr>
        <w:t>20</w:t>
      </w:r>
      <w:r w:rsidR="006E316E" w:rsidRPr="00F71342">
        <w:rPr>
          <w:rFonts w:ascii="宋体" w:hAnsi="宋体"/>
          <w:sz w:val="21"/>
          <w:szCs w:val="21"/>
        </w:rPr>
        <w:t>2</w:t>
      </w:r>
      <w:r w:rsidR="00237E2F">
        <w:rPr>
          <w:rFonts w:ascii="宋体" w:hAnsi="宋体"/>
          <w:sz w:val="21"/>
          <w:szCs w:val="21"/>
        </w:rPr>
        <w:t>5</w:t>
      </w:r>
      <w:r w:rsidR="006E316E" w:rsidRPr="00F71342">
        <w:rPr>
          <w:rFonts w:ascii="宋体" w:hAnsi="宋体" w:hint="eastAsia"/>
          <w:sz w:val="21"/>
          <w:szCs w:val="21"/>
        </w:rPr>
        <w:t>年</w:t>
      </w:r>
      <w:r w:rsidR="00791DE5">
        <w:rPr>
          <w:rFonts w:ascii="宋体" w:hAnsi="宋体"/>
          <w:sz w:val="21"/>
          <w:szCs w:val="21"/>
        </w:rPr>
        <w:t>5</w:t>
      </w:r>
      <w:r w:rsidR="00603660" w:rsidRPr="00F71342">
        <w:rPr>
          <w:rFonts w:ascii="宋体" w:hAnsi="宋体" w:hint="eastAsia"/>
          <w:sz w:val="21"/>
          <w:szCs w:val="21"/>
        </w:rPr>
        <w:t>月</w:t>
      </w:r>
      <w:r w:rsidR="006F09E5">
        <w:rPr>
          <w:rFonts w:ascii="宋体" w:hAnsi="宋体"/>
          <w:sz w:val="21"/>
          <w:szCs w:val="21"/>
        </w:rPr>
        <w:t>2</w:t>
      </w:r>
      <w:r w:rsidR="0097740F">
        <w:rPr>
          <w:rFonts w:ascii="宋体" w:hAnsi="宋体"/>
          <w:sz w:val="21"/>
          <w:szCs w:val="21"/>
        </w:rPr>
        <w:t>0</w:t>
      </w:r>
      <w:r w:rsidR="00603660" w:rsidRPr="00F71342">
        <w:rPr>
          <w:rFonts w:ascii="宋体" w:hAnsi="宋体" w:hint="eastAsia"/>
          <w:sz w:val="21"/>
          <w:szCs w:val="21"/>
        </w:rPr>
        <w:t>日</w:t>
      </w:r>
      <w:r w:rsidR="0055221C" w:rsidRPr="00F71342">
        <w:rPr>
          <w:rFonts w:ascii="宋体" w:hAnsi="宋体" w:hint="eastAsia"/>
          <w:sz w:val="21"/>
          <w:szCs w:val="21"/>
        </w:rPr>
        <w:t>】的管理费</w:t>
      </w:r>
      <w:r w:rsidR="00603660" w:rsidRPr="00F71342">
        <w:rPr>
          <w:rFonts w:ascii="宋体" w:hAnsi="宋体" w:hint="eastAsia"/>
          <w:sz w:val="21"/>
          <w:szCs w:val="21"/>
        </w:rPr>
        <w:t>，具体公告如下：</w:t>
      </w:r>
      <w:r w:rsidR="00603660" w:rsidRPr="00F71342" w:rsidDel="00603660">
        <w:rPr>
          <w:rFonts w:ascii="宋体" w:hAnsi="宋体" w:hint="eastAsia"/>
          <w:sz w:val="21"/>
          <w:szCs w:val="21"/>
        </w:rPr>
        <w:t xml:space="preserve"> </w:t>
      </w:r>
    </w:p>
    <w:p w:rsidR="00EE68AC" w:rsidRPr="00F71342" w:rsidRDefault="00EE68AC" w:rsidP="00603660">
      <w:pPr>
        <w:spacing w:line="360" w:lineRule="auto"/>
        <w:ind w:firstLineChars="200" w:firstLine="422"/>
        <w:rPr>
          <w:rFonts w:ascii="宋体" w:hAnsi="宋体"/>
          <w:b/>
          <w:sz w:val="21"/>
          <w:szCs w:val="21"/>
        </w:rPr>
      </w:pPr>
    </w:p>
    <w:p w:rsidR="000B3938" w:rsidRPr="00F71342" w:rsidRDefault="001E7B32" w:rsidP="00603660">
      <w:pPr>
        <w:spacing w:line="360" w:lineRule="auto"/>
        <w:ind w:firstLineChars="200" w:firstLine="422"/>
        <w:rPr>
          <w:rFonts w:ascii="宋体" w:hAnsi="宋体"/>
          <w:b/>
          <w:sz w:val="21"/>
          <w:szCs w:val="21"/>
        </w:rPr>
      </w:pPr>
      <w:r w:rsidRPr="00F71342">
        <w:rPr>
          <w:rFonts w:ascii="宋体" w:hAnsi="宋体" w:hint="eastAsia"/>
          <w:b/>
          <w:sz w:val="21"/>
          <w:szCs w:val="21"/>
        </w:rPr>
        <w:t>一、</w:t>
      </w:r>
      <w:r w:rsidR="000B3938" w:rsidRPr="00F71342">
        <w:rPr>
          <w:rFonts w:ascii="宋体" w:hAnsi="宋体" w:hint="eastAsia"/>
          <w:b/>
          <w:sz w:val="21"/>
          <w:szCs w:val="21"/>
        </w:rPr>
        <w:t>基金合同</w:t>
      </w:r>
      <w:r w:rsidR="00F71F49" w:rsidRPr="00F71342">
        <w:rPr>
          <w:rFonts w:ascii="宋体" w:hAnsi="宋体" w:hint="eastAsia"/>
          <w:b/>
          <w:sz w:val="21"/>
          <w:szCs w:val="21"/>
        </w:rPr>
        <w:t>生效三年后</w:t>
      </w:r>
      <w:r w:rsidR="000B3938" w:rsidRPr="00F71342">
        <w:rPr>
          <w:rFonts w:ascii="宋体" w:hAnsi="宋体" w:hint="eastAsia"/>
          <w:b/>
          <w:sz w:val="21"/>
          <w:szCs w:val="21"/>
        </w:rPr>
        <w:t>的管理费计提标准</w:t>
      </w:r>
    </w:p>
    <w:p w:rsidR="004409AB" w:rsidRPr="00F71342" w:rsidRDefault="004409AB" w:rsidP="004C61B0">
      <w:pPr>
        <w:spacing w:line="360" w:lineRule="auto"/>
        <w:ind w:firstLineChars="200" w:firstLine="420"/>
        <w:rPr>
          <w:rFonts w:ascii="宋体" w:hAnsi="宋体"/>
          <w:bCs/>
          <w:sz w:val="21"/>
          <w:szCs w:val="21"/>
        </w:rPr>
      </w:pPr>
      <w:r w:rsidRPr="00F71342">
        <w:rPr>
          <w:rFonts w:ascii="宋体" w:hAnsi="宋体" w:hint="eastAsia"/>
          <w:bCs/>
          <w:sz w:val="21"/>
          <w:szCs w:val="21"/>
        </w:rPr>
        <w:t>基金合同生效满三年后的每个季度对日，根据基金在该日之前（不含该日）连续三年的基金份额累计净值增长率与同期业绩比较基准进行比较。基金份额累计净值增长率的计算公式如下：</w:t>
      </w:r>
    </w:p>
    <w:p w:rsidR="004409AB" w:rsidRPr="00F71342" w:rsidRDefault="004409AB" w:rsidP="004C61B0">
      <w:pPr>
        <w:spacing w:line="360" w:lineRule="auto"/>
        <w:ind w:firstLineChars="200" w:firstLine="420"/>
        <w:rPr>
          <w:rFonts w:ascii="宋体" w:hAnsi="宋体"/>
          <w:bCs/>
          <w:sz w:val="21"/>
          <w:szCs w:val="21"/>
        </w:rPr>
      </w:pPr>
      <w:r w:rsidRPr="00F71342">
        <w:rPr>
          <w:rFonts w:ascii="宋体" w:hAnsi="宋体" w:hint="eastAsia"/>
          <w:bCs/>
          <w:sz w:val="21"/>
          <w:szCs w:val="21"/>
        </w:rPr>
        <w:t>基金份额累计净值增长率</w:t>
      </w:r>
      <w:r w:rsidRPr="00F71342">
        <w:rPr>
          <w:rFonts w:ascii="宋体" w:hAnsi="宋体"/>
          <w:bCs/>
          <w:sz w:val="21"/>
          <w:szCs w:val="21"/>
        </w:rPr>
        <w:t xml:space="preserve"> = (</w:t>
      </w:r>
      <w:r w:rsidRPr="00F71342">
        <w:rPr>
          <w:rFonts w:ascii="宋体" w:hAnsi="宋体" w:hint="eastAsia"/>
          <w:bCs/>
          <w:sz w:val="21"/>
          <w:szCs w:val="21"/>
        </w:rPr>
        <w:t>区间截止日基金份额累计净值</w:t>
      </w:r>
      <w:r w:rsidRPr="00F71342">
        <w:rPr>
          <w:rFonts w:ascii="宋体" w:hAnsi="宋体"/>
          <w:bCs/>
          <w:sz w:val="21"/>
          <w:szCs w:val="21"/>
        </w:rPr>
        <w:t xml:space="preserve"> - </w:t>
      </w:r>
      <w:r w:rsidRPr="00F71342">
        <w:rPr>
          <w:rFonts w:ascii="宋体" w:hAnsi="宋体" w:hint="eastAsia"/>
          <w:bCs/>
          <w:sz w:val="21"/>
          <w:szCs w:val="21"/>
        </w:rPr>
        <w:t>区间起始日基金份额累计净值</w:t>
      </w:r>
      <w:r w:rsidRPr="00F71342">
        <w:rPr>
          <w:rFonts w:ascii="宋体" w:hAnsi="宋体"/>
          <w:bCs/>
          <w:sz w:val="21"/>
          <w:szCs w:val="21"/>
        </w:rPr>
        <w:t xml:space="preserve">) / </w:t>
      </w:r>
      <w:r w:rsidRPr="00F71342">
        <w:rPr>
          <w:rFonts w:ascii="宋体" w:hAnsi="宋体" w:hint="eastAsia"/>
          <w:bCs/>
          <w:sz w:val="21"/>
          <w:szCs w:val="21"/>
        </w:rPr>
        <w:t>区间起始日基金份额累计净值</w:t>
      </w:r>
      <w:r w:rsidRPr="00F71342">
        <w:rPr>
          <w:rFonts w:ascii="宋体" w:hAnsi="宋体"/>
          <w:bCs/>
          <w:sz w:val="21"/>
          <w:szCs w:val="21"/>
        </w:rPr>
        <w:t xml:space="preserve"> * 100%</w:t>
      </w:r>
    </w:p>
    <w:p w:rsidR="004409AB" w:rsidRPr="00F71342" w:rsidRDefault="004409AB" w:rsidP="004C61B0">
      <w:pPr>
        <w:spacing w:line="360" w:lineRule="auto"/>
        <w:ind w:firstLineChars="200" w:firstLine="420"/>
        <w:rPr>
          <w:rFonts w:ascii="宋体" w:hAnsi="宋体"/>
          <w:bCs/>
          <w:sz w:val="21"/>
          <w:szCs w:val="21"/>
        </w:rPr>
      </w:pPr>
      <w:r w:rsidRPr="00F71342">
        <w:rPr>
          <w:rFonts w:ascii="宋体" w:hAnsi="宋体" w:hint="eastAsia"/>
          <w:bCs/>
          <w:sz w:val="21"/>
          <w:szCs w:val="21"/>
        </w:rPr>
        <w:t>其中：</w:t>
      </w:r>
    </w:p>
    <w:p w:rsidR="004409AB" w:rsidRPr="00F71342" w:rsidRDefault="004409AB" w:rsidP="004C61B0">
      <w:pPr>
        <w:spacing w:line="360" w:lineRule="auto"/>
        <w:ind w:firstLineChars="200" w:firstLine="420"/>
        <w:rPr>
          <w:rFonts w:ascii="宋体" w:hAnsi="宋体"/>
          <w:bCs/>
          <w:sz w:val="21"/>
          <w:szCs w:val="21"/>
        </w:rPr>
      </w:pPr>
      <w:r w:rsidRPr="00F71342">
        <w:rPr>
          <w:rFonts w:ascii="宋体" w:hAnsi="宋体" w:hint="eastAsia"/>
          <w:bCs/>
          <w:sz w:val="21"/>
          <w:szCs w:val="21"/>
        </w:rPr>
        <w:t>基金份额累计净值</w:t>
      </w:r>
      <w:r w:rsidRPr="00F71342">
        <w:rPr>
          <w:rFonts w:ascii="宋体" w:hAnsi="宋体"/>
          <w:bCs/>
          <w:sz w:val="21"/>
          <w:szCs w:val="21"/>
        </w:rPr>
        <w:t xml:space="preserve"> = </w:t>
      </w:r>
      <w:r w:rsidRPr="00F71342">
        <w:rPr>
          <w:rFonts w:ascii="宋体" w:hAnsi="宋体" w:hint="eastAsia"/>
          <w:bCs/>
          <w:sz w:val="21"/>
          <w:szCs w:val="21"/>
        </w:rPr>
        <w:t>基金份额净值</w:t>
      </w:r>
      <w:r w:rsidRPr="00F71342">
        <w:rPr>
          <w:rFonts w:ascii="宋体" w:hAnsi="宋体"/>
          <w:bCs/>
          <w:sz w:val="21"/>
          <w:szCs w:val="21"/>
        </w:rPr>
        <w:t xml:space="preserve"> + </w:t>
      </w:r>
      <w:r w:rsidRPr="00F71342">
        <w:rPr>
          <w:rFonts w:ascii="宋体" w:hAnsi="宋体" w:hint="eastAsia"/>
          <w:bCs/>
          <w:sz w:val="21"/>
          <w:szCs w:val="21"/>
        </w:rPr>
        <w:t>基金份额累计分红</w:t>
      </w:r>
    </w:p>
    <w:p w:rsidR="004409AB" w:rsidRPr="00F71342" w:rsidRDefault="004409AB" w:rsidP="004C61B0">
      <w:pPr>
        <w:spacing w:line="360" w:lineRule="auto"/>
        <w:ind w:firstLineChars="200" w:firstLine="420"/>
        <w:rPr>
          <w:rFonts w:ascii="宋体" w:hAnsi="宋体"/>
          <w:bCs/>
          <w:sz w:val="21"/>
          <w:szCs w:val="21"/>
        </w:rPr>
      </w:pPr>
      <w:r w:rsidRPr="00F71342">
        <w:rPr>
          <w:rFonts w:ascii="宋体" w:hAnsi="宋体" w:hint="eastAsia"/>
          <w:bCs/>
          <w:sz w:val="21"/>
          <w:szCs w:val="21"/>
        </w:rPr>
        <w:t>基金份额累计分红：自基金成立至指定交易日基金份额累计分红之和</w:t>
      </w:r>
    </w:p>
    <w:p w:rsidR="00F71F49" w:rsidRPr="00F71342" w:rsidRDefault="004409AB">
      <w:pPr>
        <w:spacing w:line="360" w:lineRule="auto"/>
        <w:ind w:firstLineChars="200" w:firstLine="420"/>
        <w:rPr>
          <w:rFonts w:ascii="宋体" w:hAnsi="宋体"/>
          <w:bCs/>
          <w:sz w:val="21"/>
          <w:szCs w:val="21"/>
        </w:rPr>
      </w:pPr>
      <w:r w:rsidRPr="00F71342">
        <w:rPr>
          <w:rFonts w:ascii="宋体" w:hAnsi="宋体" w:hint="eastAsia"/>
          <w:bCs/>
          <w:sz w:val="21"/>
          <w:szCs w:val="21"/>
        </w:rPr>
        <w:t>当基金份额累计净值增长率高于同期业绩比较基准（基金份额累计净值增长率小数点后保留位数与同期业绩比较基准小数点后位数相同）时，基金的管理费按前一日基金资产净值的</w:t>
      </w:r>
      <w:r w:rsidR="00CE6875">
        <w:rPr>
          <w:rFonts w:ascii="宋体" w:hAnsi="宋体"/>
          <w:bCs/>
          <w:sz w:val="21"/>
          <w:szCs w:val="21"/>
        </w:rPr>
        <w:t>1</w:t>
      </w:r>
      <w:r w:rsidRPr="00F71342">
        <w:rPr>
          <w:rFonts w:ascii="宋体" w:hAnsi="宋体"/>
          <w:bCs/>
          <w:sz w:val="21"/>
          <w:szCs w:val="21"/>
        </w:rPr>
        <w:t>.</w:t>
      </w:r>
      <w:r w:rsidR="00CE6875">
        <w:rPr>
          <w:rFonts w:ascii="宋体" w:hAnsi="宋体"/>
          <w:bCs/>
          <w:sz w:val="21"/>
          <w:szCs w:val="21"/>
        </w:rPr>
        <w:t>6</w:t>
      </w:r>
      <w:r w:rsidRPr="00F71342">
        <w:rPr>
          <w:rFonts w:ascii="宋体" w:hAnsi="宋体"/>
          <w:bCs/>
          <w:sz w:val="21"/>
          <w:szCs w:val="21"/>
        </w:rPr>
        <w:t>0%</w:t>
      </w:r>
      <w:r w:rsidRPr="00F71342">
        <w:rPr>
          <w:rFonts w:ascii="宋体" w:hAnsi="宋体" w:hint="eastAsia"/>
          <w:bCs/>
          <w:sz w:val="21"/>
          <w:szCs w:val="21"/>
        </w:rPr>
        <w:t>年费率计提</w:t>
      </w:r>
      <w:r w:rsidR="00F71F49" w:rsidRPr="00F71342">
        <w:rPr>
          <w:rFonts w:ascii="宋体" w:hAnsi="宋体" w:hint="eastAsia"/>
          <w:bCs/>
          <w:sz w:val="21"/>
          <w:szCs w:val="21"/>
        </w:rPr>
        <w:t>；</w:t>
      </w:r>
      <w:r w:rsidRPr="00F71342">
        <w:rPr>
          <w:rFonts w:ascii="宋体" w:hAnsi="宋体" w:hint="eastAsia"/>
          <w:bCs/>
          <w:sz w:val="21"/>
          <w:szCs w:val="21"/>
        </w:rPr>
        <w:t>当基金份额累计净值增长率等于同期业绩比较基准时，基金的管理费按前一日基金资产净值的</w:t>
      </w:r>
      <w:r w:rsidRPr="00F71342">
        <w:rPr>
          <w:rFonts w:ascii="宋体" w:hAnsi="宋体"/>
          <w:bCs/>
          <w:sz w:val="21"/>
          <w:szCs w:val="21"/>
        </w:rPr>
        <w:t>1.</w:t>
      </w:r>
      <w:r w:rsidR="009253AF">
        <w:rPr>
          <w:rFonts w:ascii="宋体" w:hAnsi="宋体"/>
          <w:bCs/>
          <w:sz w:val="21"/>
          <w:szCs w:val="21"/>
        </w:rPr>
        <w:t>2</w:t>
      </w:r>
      <w:r w:rsidRPr="00F71342">
        <w:rPr>
          <w:rFonts w:ascii="宋体" w:hAnsi="宋体"/>
          <w:bCs/>
          <w:sz w:val="21"/>
          <w:szCs w:val="21"/>
        </w:rPr>
        <w:t>0%</w:t>
      </w:r>
      <w:r w:rsidRPr="00F71342">
        <w:rPr>
          <w:rFonts w:ascii="宋体" w:hAnsi="宋体" w:hint="eastAsia"/>
          <w:bCs/>
          <w:sz w:val="21"/>
          <w:szCs w:val="21"/>
        </w:rPr>
        <w:t>年费率计提</w:t>
      </w:r>
      <w:r w:rsidR="00F71F49" w:rsidRPr="00F71342">
        <w:rPr>
          <w:rFonts w:ascii="宋体" w:hAnsi="宋体" w:hint="eastAsia"/>
          <w:bCs/>
          <w:sz w:val="21"/>
          <w:szCs w:val="21"/>
        </w:rPr>
        <w:t>；</w:t>
      </w:r>
      <w:r w:rsidRPr="00F71342">
        <w:rPr>
          <w:rFonts w:ascii="宋体" w:hAnsi="宋体" w:hint="eastAsia"/>
          <w:bCs/>
          <w:sz w:val="21"/>
          <w:szCs w:val="21"/>
        </w:rPr>
        <w:t>当基金份额累计净值增长率低于同期业绩比较基准时，基金的管理费按前一日基金资产净值的</w:t>
      </w:r>
      <w:r w:rsidR="009253AF">
        <w:rPr>
          <w:rFonts w:ascii="宋体" w:hAnsi="宋体"/>
          <w:bCs/>
          <w:sz w:val="21"/>
          <w:szCs w:val="21"/>
        </w:rPr>
        <w:t>0</w:t>
      </w:r>
      <w:r w:rsidRPr="00F71342">
        <w:rPr>
          <w:rFonts w:ascii="宋体" w:hAnsi="宋体"/>
          <w:bCs/>
          <w:sz w:val="21"/>
          <w:szCs w:val="21"/>
        </w:rPr>
        <w:t>.</w:t>
      </w:r>
      <w:r w:rsidR="009253AF">
        <w:rPr>
          <w:rFonts w:ascii="宋体" w:hAnsi="宋体"/>
          <w:bCs/>
          <w:sz w:val="21"/>
          <w:szCs w:val="21"/>
        </w:rPr>
        <w:t>8</w:t>
      </w:r>
      <w:r w:rsidRPr="00F71342">
        <w:rPr>
          <w:rFonts w:ascii="宋体" w:hAnsi="宋体"/>
          <w:bCs/>
          <w:sz w:val="21"/>
          <w:szCs w:val="21"/>
        </w:rPr>
        <w:t>0%</w:t>
      </w:r>
      <w:r w:rsidRPr="00F71342">
        <w:rPr>
          <w:rFonts w:ascii="宋体" w:hAnsi="宋体" w:hint="eastAsia"/>
          <w:bCs/>
          <w:sz w:val="21"/>
          <w:szCs w:val="21"/>
        </w:rPr>
        <w:t>年费率计提。</w:t>
      </w:r>
    </w:p>
    <w:p w:rsidR="004409AB" w:rsidRPr="00F71342" w:rsidRDefault="004409AB">
      <w:pPr>
        <w:spacing w:line="360" w:lineRule="auto"/>
        <w:ind w:firstLineChars="200" w:firstLine="420"/>
        <w:rPr>
          <w:rFonts w:ascii="宋体" w:hAnsi="宋体"/>
          <w:bCs/>
          <w:sz w:val="21"/>
          <w:szCs w:val="21"/>
        </w:rPr>
      </w:pPr>
      <w:r w:rsidRPr="00F71342">
        <w:rPr>
          <w:rFonts w:ascii="宋体" w:hAnsi="宋体" w:hint="eastAsia"/>
          <w:bCs/>
          <w:sz w:val="21"/>
          <w:szCs w:val="21"/>
        </w:rPr>
        <w:t>基金合同生效日起三年后的对应日的下一个工作日起，在每个季度对日，根据在该日之前（不含该日）连续三年的基金份额累计净值增长率和同期业绩比较基准的比较确定该日起（含该日）至下一个季度对日（不含该日）的基金管理费率，管理费率确定后在该季度内保</w:t>
      </w:r>
      <w:r w:rsidRPr="00F71342">
        <w:rPr>
          <w:rFonts w:ascii="宋体" w:hAnsi="宋体" w:hint="eastAsia"/>
          <w:bCs/>
          <w:sz w:val="21"/>
          <w:szCs w:val="21"/>
        </w:rPr>
        <w:lastRenderedPageBreak/>
        <w:t>持不变；自下一个季度对日起，按照新的季度对日之前（不含该日）连续三年的基金份额累计净值增长率与同期业绩比较基准比较的结果确定之后一个季度的管理费率；以此类推。</w:t>
      </w:r>
    </w:p>
    <w:p w:rsidR="00DC52B4" w:rsidRPr="00F71342" w:rsidRDefault="00DC52B4" w:rsidP="004C61B0">
      <w:pPr>
        <w:spacing w:line="360" w:lineRule="auto"/>
        <w:rPr>
          <w:rFonts w:ascii="宋体" w:hAnsi="宋体"/>
          <w:sz w:val="21"/>
          <w:szCs w:val="21"/>
        </w:rPr>
      </w:pPr>
    </w:p>
    <w:p w:rsidR="00DC52B4" w:rsidRPr="00F71342" w:rsidRDefault="00F71F49" w:rsidP="001E7B32">
      <w:pPr>
        <w:pStyle w:val="a5"/>
        <w:spacing w:line="360" w:lineRule="auto"/>
        <w:ind w:left="420" w:firstLineChars="0" w:firstLine="0"/>
        <w:rPr>
          <w:rFonts w:ascii="宋体" w:hAnsi="宋体"/>
          <w:b/>
          <w:sz w:val="21"/>
          <w:szCs w:val="21"/>
        </w:rPr>
      </w:pPr>
      <w:r w:rsidRPr="00F71342">
        <w:rPr>
          <w:rFonts w:ascii="宋体" w:hAnsi="宋体" w:hint="eastAsia"/>
          <w:b/>
          <w:sz w:val="21"/>
          <w:szCs w:val="21"/>
        </w:rPr>
        <w:t>二</w:t>
      </w:r>
      <w:r w:rsidR="001E7B32" w:rsidRPr="00F71342">
        <w:rPr>
          <w:rFonts w:ascii="宋体" w:hAnsi="宋体" w:hint="eastAsia"/>
          <w:b/>
          <w:sz w:val="21"/>
          <w:szCs w:val="21"/>
        </w:rPr>
        <w:t>、</w:t>
      </w:r>
      <w:r w:rsidR="00F43559" w:rsidRPr="00F71342">
        <w:rPr>
          <w:rFonts w:ascii="宋体" w:hAnsi="宋体" w:hint="eastAsia"/>
          <w:b/>
          <w:sz w:val="21"/>
          <w:szCs w:val="21"/>
        </w:rPr>
        <w:t>下一</w:t>
      </w:r>
      <w:r w:rsidR="00DC52B4" w:rsidRPr="00F71342">
        <w:rPr>
          <w:rFonts w:ascii="宋体" w:hAnsi="宋体" w:hint="eastAsia"/>
          <w:b/>
          <w:sz w:val="21"/>
          <w:szCs w:val="21"/>
        </w:rPr>
        <w:t>季度对日区间的适用管理费率</w:t>
      </w:r>
    </w:p>
    <w:p w:rsidR="00F77D1C" w:rsidRPr="00F71342" w:rsidRDefault="004C61B0" w:rsidP="00F77D1C">
      <w:pPr>
        <w:spacing w:line="360" w:lineRule="auto"/>
        <w:ind w:firstLineChars="200" w:firstLine="420"/>
        <w:rPr>
          <w:rFonts w:ascii="宋体" w:hAnsi="宋体"/>
          <w:bCs/>
          <w:sz w:val="21"/>
          <w:szCs w:val="21"/>
        </w:rPr>
      </w:pPr>
      <w:r w:rsidRPr="00F71342">
        <w:rPr>
          <w:rFonts w:ascii="宋体" w:hAnsi="宋体" w:hint="eastAsia"/>
          <w:bCs/>
          <w:sz w:val="21"/>
          <w:szCs w:val="21"/>
        </w:rPr>
        <w:t>本基金在</w:t>
      </w:r>
      <w:r w:rsidR="00F71F49" w:rsidRPr="00F71342">
        <w:rPr>
          <w:rFonts w:ascii="宋体" w:hAnsi="宋体" w:hint="eastAsia"/>
          <w:bCs/>
          <w:sz w:val="21"/>
          <w:szCs w:val="21"/>
        </w:rPr>
        <w:t>第</w:t>
      </w:r>
      <w:r w:rsidR="009B3867">
        <w:rPr>
          <w:rFonts w:ascii="宋体" w:hAnsi="宋体" w:hint="eastAsia"/>
          <w:bCs/>
          <w:sz w:val="21"/>
          <w:szCs w:val="21"/>
        </w:rPr>
        <w:t>三</w:t>
      </w:r>
      <w:r w:rsidR="00927274">
        <w:rPr>
          <w:rFonts w:ascii="宋体" w:hAnsi="宋体" w:hint="eastAsia"/>
          <w:bCs/>
          <w:sz w:val="21"/>
          <w:szCs w:val="21"/>
        </w:rPr>
        <w:t>十</w:t>
      </w:r>
      <w:r w:rsidR="00791DE5">
        <w:rPr>
          <w:rFonts w:ascii="宋体" w:hAnsi="宋体" w:hint="eastAsia"/>
          <w:bCs/>
          <w:sz w:val="21"/>
          <w:szCs w:val="21"/>
        </w:rPr>
        <w:t>五</w:t>
      </w:r>
      <w:r w:rsidR="00F71F49" w:rsidRPr="00F71342">
        <w:rPr>
          <w:rFonts w:ascii="宋体" w:hAnsi="宋体" w:hint="eastAsia"/>
          <w:bCs/>
          <w:sz w:val="21"/>
          <w:szCs w:val="21"/>
        </w:rPr>
        <w:t>个季度</w:t>
      </w:r>
      <w:r w:rsidRPr="00F71342">
        <w:rPr>
          <w:rFonts w:ascii="宋体" w:hAnsi="宋体" w:hint="eastAsia"/>
          <w:bCs/>
          <w:sz w:val="21"/>
          <w:szCs w:val="21"/>
        </w:rPr>
        <w:t>对日之前（不含该日）连续三年的收益情况如下所示：</w:t>
      </w:r>
    </w:p>
    <w:tbl>
      <w:tblPr>
        <w:tblW w:w="4982" w:type="pct"/>
        <w:tblInd w:w="-5" w:type="dxa"/>
        <w:tblLayout w:type="fixed"/>
        <w:tblLook w:val="04A0"/>
      </w:tblPr>
      <w:tblGrid>
        <w:gridCol w:w="1304"/>
        <w:gridCol w:w="2507"/>
        <w:gridCol w:w="1418"/>
        <w:gridCol w:w="1902"/>
        <w:gridCol w:w="1360"/>
      </w:tblGrid>
      <w:tr w:rsidR="0087050C" w:rsidRPr="00F71342" w:rsidTr="0087050C">
        <w:trPr>
          <w:trHeight w:val="765"/>
        </w:trPr>
        <w:tc>
          <w:tcPr>
            <w:tcW w:w="768" w:type="pc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7050C" w:rsidRPr="00F71342" w:rsidRDefault="0087050C" w:rsidP="008075A7">
            <w:pPr>
              <w:jc w:val="center"/>
              <w:rPr>
                <w:rFonts w:ascii="宋体" w:hAnsi="宋体" w:cs="宋体"/>
                <w:b/>
                <w:bCs/>
                <w:color w:val="000000"/>
                <w:sz w:val="21"/>
                <w:szCs w:val="21"/>
              </w:rPr>
            </w:pPr>
            <w:r w:rsidRPr="00F71342">
              <w:rPr>
                <w:rFonts w:ascii="宋体" w:hAnsi="宋体" w:cs="宋体" w:hint="eastAsia"/>
                <w:b/>
                <w:bCs/>
                <w:color w:val="000000"/>
                <w:sz w:val="21"/>
                <w:szCs w:val="21"/>
              </w:rPr>
              <w:t>基金简称</w:t>
            </w:r>
          </w:p>
        </w:tc>
        <w:tc>
          <w:tcPr>
            <w:tcW w:w="1476" w:type="pct"/>
            <w:tcBorders>
              <w:top w:val="single" w:sz="4" w:space="0" w:color="auto"/>
              <w:left w:val="nil"/>
              <w:bottom w:val="single" w:sz="4" w:space="0" w:color="auto"/>
              <w:right w:val="single" w:sz="4" w:space="0" w:color="auto"/>
            </w:tcBorders>
            <w:shd w:val="clear" w:color="000000" w:fill="FDE9D9"/>
            <w:noWrap/>
            <w:vAlign w:val="center"/>
            <w:hideMark/>
          </w:tcPr>
          <w:p w:rsidR="0087050C" w:rsidRPr="00F71342" w:rsidRDefault="0087050C" w:rsidP="008075A7">
            <w:pPr>
              <w:jc w:val="center"/>
              <w:rPr>
                <w:rFonts w:ascii="宋体" w:hAnsi="宋体" w:cs="宋体"/>
                <w:b/>
                <w:bCs/>
                <w:color w:val="000000"/>
                <w:sz w:val="21"/>
                <w:szCs w:val="21"/>
              </w:rPr>
            </w:pPr>
            <w:r w:rsidRPr="00F71342">
              <w:rPr>
                <w:rFonts w:ascii="宋体" w:hAnsi="宋体" w:cs="宋体" w:hint="eastAsia"/>
                <w:b/>
                <w:bCs/>
                <w:color w:val="000000"/>
                <w:sz w:val="21"/>
                <w:szCs w:val="21"/>
              </w:rPr>
              <w:t>统计时间</w:t>
            </w:r>
          </w:p>
        </w:tc>
        <w:tc>
          <w:tcPr>
            <w:tcW w:w="835" w:type="pct"/>
            <w:tcBorders>
              <w:top w:val="single" w:sz="4" w:space="0" w:color="auto"/>
              <w:left w:val="nil"/>
              <w:bottom w:val="single" w:sz="4" w:space="0" w:color="auto"/>
              <w:right w:val="single" w:sz="4" w:space="0" w:color="auto"/>
            </w:tcBorders>
            <w:shd w:val="clear" w:color="000000" w:fill="FDE9D9"/>
            <w:vAlign w:val="center"/>
            <w:hideMark/>
          </w:tcPr>
          <w:p w:rsidR="0087050C" w:rsidRPr="00F71342" w:rsidRDefault="00237E2F" w:rsidP="008075A7">
            <w:pPr>
              <w:jc w:val="center"/>
              <w:rPr>
                <w:rFonts w:ascii="宋体" w:hAnsi="宋体" w:cs="宋体"/>
                <w:b/>
                <w:bCs/>
                <w:color w:val="000000"/>
                <w:sz w:val="21"/>
                <w:szCs w:val="21"/>
              </w:rPr>
            </w:pPr>
            <w:r>
              <w:rPr>
                <w:rFonts w:ascii="宋体" w:hAnsi="宋体" w:cs="宋体" w:hint="eastAsia"/>
                <w:b/>
                <w:bCs/>
                <w:color w:val="000000"/>
                <w:sz w:val="21"/>
                <w:szCs w:val="21"/>
              </w:rPr>
              <w:t>累计</w:t>
            </w:r>
            <w:r w:rsidR="0087050C" w:rsidRPr="00F71342">
              <w:rPr>
                <w:rFonts w:ascii="宋体" w:hAnsi="宋体" w:cs="宋体" w:hint="eastAsia"/>
                <w:b/>
                <w:bCs/>
                <w:color w:val="000000"/>
                <w:sz w:val="21"/>
                <w:szCs w:val="21"/>
              </w:rPr>
              <w:t>净值增长率①</w:t>
            </w:r>
          </w:p>
        </w:tc>
        <w:tc>
          <w:tcPr>
            <w:tcW w:w="1120" w:type="pct"/>
            <w:tcBorders>
              <w:top w:val="single" w:sz="4" w:space="0" w:color="auto"/>
              <w:left w:val="nil"/>
              <w:bottom w:val="single" w:sz="4" w:space="0" w:color="auto"/>
              <w:right w:val="single" w:sz="4" w:space="0" w:color="auto"/>
            </w:tcBorders>
            <w:shd w:val="clear" w:color="000000" w:fill="FDE9D9"/>
            <w:vAlign w:val="center"/>
            <w:hideMark/>
          </w:tcPr>
          <w:p w:rsidR="0087050C" w:rsidRPr="00F71342" w:rsidRDefault="0087050C" w:rsidP="0039196A">
            <w:pPr>
              <w:jc w:val="center"/>
              <w:rPr>
                <w:rFonts w:ascii="宋体" w:hAnsi="宋体" w:cs="宋体"/>
                <w:b/>
                <w:bCs/>
                <w:color w:val="000000"/>
                <w:sz w:val="21"/>
                <w:szCs w:val="21"/>
              </w:rPr>
            </w:pPr>
            <w:r w:rsidRPr="00F71342">
              <w:rPr>
                <w:rFonts w:ascii="宋体" w:hAnsi="宋体" w:cs="宋体" w:hint="eastAsia"/>
                <w:b/>
                <w:bCs/>
                <w:color w:val="000000"/>
                <w:sz w:val="21"/>
                <w:szCs w:val="21"/>
              </w:rPr>
              <w:t>业绩比较基准收益率②</w:t>
            </w:r>
          </w:p>
        </w:tc>
        <w:tc>
          <w:tcPr>
            <w:tcW w:w="801" w:type="pct"/>
            <w:tcBorders>
              <w:top w:val="single" w:sz="4" w:space="0" w:color="auto"/>
              <w:left w:val="nil"/>
              <w:bottom w:val="single" w:sz="4" w:space="0" w:color="auto"/>
              <w:right w:val="single" w:sz="4" w:space="0" w:color="auto"/>
            </w:tcBorders>
            <w:shd w:val="clear" w:color="000000" w:fill="FDE9D9"/>
            <w:vAlign w:val="center"/>
            <w:hideMark/>
          </w:tcPr>
          <w:p w:rsidR="0087050C" w:rsidRPr="00F71342" w:rsidRDefault="0087050C" w:rsidP="002B3EFD">
            <w:pPr>
              <w:pStyle w:val="a5"/>
              <w:numPr>
                <w:ilvl w:val="0"/>
                <w:numId w:val="6"/>
              </w:numPr>
              <w:ind w:firstLineChars="0"/>
              <w:jc w:val="center"/>
              <w:rPr>
                <w:rFonts w:ascii="宋体" w:hAnsi="宋体" w:cs="宋体"/>
                <w:b/>
                <w:bCs/>
                <w:color w:val="000000"/>
                <w:sz w:val="21"/>
                <w:szCs w:val="21"/>
              </w:rPr>
            </w:pPr>
            <w:r w:rsidRPr="00F71342">
              <w:rPr>
                <w:rFonts w:ascii="宋体" w:hAnsi="宋体" w:cs="宋体" w:hint="eastAsia"/>
                <w:b/>
                <w:bCs/>
                <w:color w:val="000000"/>
                <w:sz w:val="21"/>
                <w:szCs w:val="21"/>
              </w:rPr>
              <w:t>- ②</w:t>
            </w:r>
          </w:p>
        </w:tc>
      </w:tr>
      <w:tr w:rsidR="0008440D" w:rsidRPr="00A8081C" w:rsidTr="00A77CF4">
        <w:trPr>
          <w:trHeight w:val="510"/>
        </w:trPr>
        <w:tc>
          <w:tcPr>
            <w:tcW w:w="768" w:type="pct"/>
            <w:tcBorders>
              <w:top w:val="nil"/>
              <w:left w:val="single" w:sz="4" w:space="0" w:color="auto"/>
              <w:bottom w:val="single" w:sz="4" w:space="0" w:color="auto"/>
              <w:right w:val="single" w:sz="4" w:space="0" w:color="auto"/>
            </w:tcBorders>
            <w:shd w:val="clear" w:color="auto" w:fill="auto"/>
            <w:noWrap/>
            <w:vAlign w:val="center"/>
            <w:hideMark/>
          </w:tcPr>
          <w:p w:rsidR="0008440D" w:rsidRPr="00A8081C" w:rsidRDefault="0008440D" w:rsidP="0008440D">
            <w:pPr>
              <w:rPr>
                <w:rFonts w:ascii="宋体" w:hAnsi="宋体"/>
                <w:sz w:val="21"/>
                <w:szCs w:val="21"/>
              </w:rPr>
            </w:pPr>
            <w:r w:rsidRPr="00A8081C">
              <w:rPr>
                <w:rFonts w:ascii="宋体" w:hAnsi="宋体" w:hint="eastAsia"/>
                <w:sz w:val="21"/>
                <w:szCs w:val="21"/>
              </w:rPr>
              <w:t>中欧成长优选混合</w:t>
            </w:r>
            <w:r w:rsidRPr="00A8081C">
              <w:rPr>
                <w:rFonts w:ascii="宋体" w:hAnsi="宋体"/>
                <w:sz w:val="21"/>
                <w:szCs w:val="21"/>
              </w:rPr>
              <w:t>A</w:t>
            </w:r>
          </w:p>
        </w:tc>
        <w:tc>
          <w:tcPr>
            <w:tcW w:w="1476" w:type="pct"/>
            <w:tcBorders>
              <w:top w:val="nil"/>
              <w:left w:val="nil"/>
              <w:bottom w:val="single" w:sz="4" w:space="0" w:color="auto"/>
              <w:right w:val="single" w:sz="4" w:space="0" w:color="auto"/>
            </w:tcBorders>
            <w:shd w:val="clear" w:color="auto" w:fill="auto"/>
            <w:vAlign w:val="center"/>
            <w:hideMark/>
          </w:tcPr>
          <w:p w:rsidR="0008440D" w:rsidRPr="00A8081C" w:rsidRDefault="0008440D" w:rsidP="0008440D">
            <w:pPr>
              <w:jc w:val="center"/>
              <w:rPr>
                <w:rFonts w:ascii="宋体" w:hAnsi="宋体"/>
                <w:sz w:val="21"/>
                <w:szCs w:val="21"/>
              </w:rPr>
            </w:pPr>
            <w:r w:rsidRPr="00A8081C">
              <w:rPr>
                <w:rFonts w:ascii="宋体" w:hAnsi="宋体"/>
                <w:sz w:val="21"/>
                <w:szCs w:val="21"/>
              </w:rPr>
              <w:t>202</w:t>
            </w:r>
            <w:r>
              <w:rPr>
                <w:rFonts w:ascii="宋体" w:hAnsi="宋体"/>
                <w:sz w:val="21"/>
                <w:szCs w:val="21"/>
              </w:rPr>
              <w:t>2</w:t>
            </w:r>
            <w:r w:rsidRPr="00A8081C">
              <w:rPr>
                <w:rFonts w:ascii="宋体" w:hAnsi="宋体"/>
                <w:sz w:val="21"/>
                <w:szCs w:val="21"/>
              </w:rPr>
              <w:t>/</w:t>
            </w:r>
            <w:r>
              <w:rPr>
                <w:rFonts w:ascii="宋体" w:hAnsi="宋体"/>
                <w:sz w:val="21"/>
                <w:szCs w:val="21"/>
              </w:rPr>
              <w:t>2</w:t>
            </w:r>
            <w:r w:rsidRPr="00A8081C">
              <w:rPr>
                <w:rFonts w:ascii="宋体" w:hAnsi="宋体"/>
                <w:sz w:val="21"/>
                <w:szCs w:val="21"/>
              </w:rPr>
              <w:t>/21-202</w:t>
            </w:r>
            <w:r>
              <w:rPr>
                <w:rFonts w:ascii="宋体" w:hAnsi="宋体"/>
                <w:sz w:val="21"/>
                <w:szCs w:val="21"/>
              </w:rPr>
              <w:t>5</w:t>
            </w:r>
            <w:r w:rsidRPr="00A8081C">
              <w:rPr>
                <w:rFonts w:ascii="宋体" w:hAnsi="宋体"/>
                <w:sz w:val="21"/>
                <w:szCs w:val="21"/>
              </w:rPr>
              <w:t>/</w:t>
            </w:r>
            <w:r>
              <w:rPr>
                <w:rFonts w:ascii="宋体" w:hAnsi="宋体"/>
                <w:sz w:val="21"/>
                <w:szCs w:val="21"/>
              </w:rPr>
              <w:t>2</w:t>
            </w:r>
            <w:r w:rsidRPr="00A8081C">
              <w:rPr>
                <w:rFonts w:ascii="宋体" w:hAnsi="宋体"/>
                <w:sz w:val="21"/>
                <w:szCs w:val="21"/>
              </w:rPr>
              <w:t>/20</w:t>
            </w:r>
          </w:p>
        </w:tc>
        <w:tc>
          <w:tcPr>
            <w:tcW w:w="835"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-1.79%</w:t>
            </w:r>
          </w:p>
        </w:tc>
        <w:tc>
          <w:tcPr>
            <w:tcW w:w="1120"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8.25%</w:t>
            </w:r>
          </w:p>
        </w:tc>
        <w:tc>
          <w:tcPr>
            <w:tcW w:w="801"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-10.04%</w:t>
            </w:r>
          </w:p>
        </w:tc>
      </w:tr>
      <w:tr w:rsidR="0008440D" w:rsidRPr="00A8081C" w:rsidTr="00A77CF4">
        <w:trPr>
          <w:trHeight w:val="510"/>
        </w:trPr>
        <w:tc>
          <w:tcPr>
            <w:tcW w:w="768" w:type="pct"/>
            <w:tcBorders>
              <w:top w:val="nil"/>
              <w:left w:val="single" w:sz="4" w:space="0" w:color="auto"/>
              <w:bottom w:val="single" w:sz="4" w:space="0" w:color="auto"/>
              <w:right w:val="single" w:sz="4" w:space="0" w:color="auto"/>
            </w:tcBorders>
            <w:shd w:val="clear" w:color="auto" w:fill="auto"/>
            <w:noWrap/>
            <w:vAlign w:val="center"/>
            <w:hideMark/>
          </w:tcPr>
          <w:p w:rsidR="0008440D" w:rsidRPr="00A8081C" w:rsidRDefault="0008440D" w:rsidP="0008440D">
            <w:pPr>
              <w:rPr>
                <w:rFonts w:ascii="宋体" w:hAnsi="宋体"/>
                <w:sz w:val="21"/>
                <w:szCs w:val="21"/>
              </w:rPr>
            </w:pPr>
            <w:r w:rsidRPr="00A8081C">
              <w:rPr>
                <w:rFonts w:ascii="宋体" w:hAnsi="宋体" w:hint="eastAsia"/>
                <w:sz w:val="21"/>
                <w:szCs w:val="21"/>
              </w:rPr>
              <w:t>中欧成长优选混合</w:t>
            </w:r>
            <w:r w:rsidRPr="00A8081C">
              <w:rPr>
                <w:rFonts w:ascii="宋体" w:hAnsi="宋体"/>
                <w:sz w:val="21"/>
                <w:szCs w:val="21"/>
              </w:rPr>
              <w:t>E</w:t>
            </w:r>
          </w:p>
        </w:tc>
        <w:tc>
          <w:tcPr>
            <w:tcW w:w="1476" w:type="pct"/>
            <w:tcBorders>
              <w:top w:val="nil"/>
              <w:left w:val="nil"/>
              <w:bottom w:val="single" w:sz="4" w:space="0" w:color="auto"/>
              <w:right w:val="single" w:sz="4" w:space="0" w:color="auto"/>
            </w:tcBorders>
            <w:shd w:val="clear" w:color="auto" w:fill="auto"/>
            <w:vAlign w:val="center"/>
            <w:hideMark/>
          </w:tcPr>
          <w:p w:rsidR="0008440D" w:rsidRPr="00A8081C" w:rsidRDefault="0008440D" w:rsidP="0008440D">
            <w:pPr>
              <w:jc w:val="center"/>
              <w:rPr>
                <w:rFonts w:ascii="宋体" w:hAnsi="宋体"/>
                <w:sz w:val="21"/>
                <w:szCs w:val="21"/>
              </w:rPr>
            </w:pPr>
            <w:r w:rsidRPr="00A8081C">
              <w:rPr>
                <w:rFonts w:ascii="宋体" w:hAnsi="宋体"/>
                <w:sz w:val="21"/>
                <w:szCs w:val="21"/>
              </w:rPr>
              <w:t>202</w:t>
            </w:r>
            <w:r>
              <w:rPr>
                <w:rFonts w:ascii="宋体" w:hAnsi="宋体"/>
                <w:sz w:val="21"/>
                <w:szCs w:val="21"/>
              </w:rPr>
              <w:t>2</w:t>
            </w:r>
            <w:r w:rsidRPr="00A8081C">
              <w:rPr>
                <w:rFonts w:ascii="宋体" w:hAnsi="宋体"/>
                <w:sz w:val="21"/>
                <w:szCs w:val="21"/>
              </w:rPr>
              <w:t>/</w:t>
            </w:r>
            <w:r>
              <w:rPr>
                <w:rFonts w:ascii="宋体" w:hAnsi="宋体"/>
                <w:sz w:val="21"/>
                <w:szCs w:val="21"/>
              </w:rPr>
              <w:t>2</w:t>
            </w:r>
            <w:r w:rsidRPr="00A8081C">
              <w:rPr>
                <w:rFonts w:ascii="宋体" w:hAnsi="宋体"/>
                <w:sz w:val="21"/>
                <w:szCs w:val="21"/>
              </w:rPr>
              <w:t>/21-202</w:t>
            </w:r>
            <w:r>
              <w:rPr>
                <w:rFonts w:ascii="宋体" w:hAnsi="宋体"/>
                <w:sz w:val="21"/>
                <w:szCs w:val="21"/>
              </w:rPr>
              <w:t>5</w:t>
            </w:r>
            <w:r w:rsidRPr="00A8081C">
              <w:rPr>
                <w:rFonts w:ascii="宋体" w:hAnsi="宋体"/>
                <w:sz w:val="21"/>
                <w:szCs w:val="21"/>
              </w:rPr>
              <w:t>/</w:t>
            </w:r>
            <w:r>
              <w:rPr>
                <w:rFonts w:ascii="宋体" w:hAnsi="宋体"/>
                <w:sz w:val="21"/>
                <w:szCs w:val="21"/>
              </w:rPr>
              <w:t>2</w:t>
            </w:r>
            <w:r w:rsidRPr="00A8081C">
              <w:rPr>
                <w:rFonts w:ascii="宋体" w:hAnsi="宋体"/>
                <w:sz w:val="21"/>
                <w:szCs w:val="21"/>
              </w:rPr>
              <w:t>/20</w:t>
            </w:r>
          </w:p>
        </w:tc>
        <w:tc>
          <w:tcPr>
            <w:tcW w:w="835"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-1.75%</w:t>
            </w:r>
          </w:p>
        </w:tc>
        <w:tc>
          <w:tcPr>
            <w:tcW w:w="1120"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8.25%</w:t>
            </w:r>
          </w:p>
        </w:tc>
        <w:tc>
          <w:tcPr>
            <w:tcW w:w="801" w:type="pct"/>
            <w:tcBorders>
              <w:top w:val="nil"/>
              <w:left w:val="nil"/>
              <w:bottom w:val="single" w:sz="4" w:space="0" w:color="auto"/>
              <w:right w:val="single" w:sz="4" w:space="0" w:color="auto"/>
            </w:tcBorders>
            <w:shd w:val="clear" w:color="auto" w:fill="auto"/>
            <w:vAlign w:val="center"/>
            <w:hideMark/>
          </w:tcPr>
          <w:p w:rsidR="0008440D" w:rsidRPr="004305A1" w:rsidRDefault="0008440D" w:rsidP="0008440D">
            <w:pPr>
              <w:jc w:val="center"/>
              <w:rPr>
                <w:rFonts w:asciiTheme="minorEastAsia" w:eastAsiaTheme="minorEastAsia" w:hAnsiTheme="minorEastAsia"/>
                <w:sz w:val="21"/>
                <w:szCs w:val="21"/>
              </w:rPr>
            </w:pPr>
            <w:r w:rsidRPr="004305A1">
              <w:rPr>
                <w:rFonts w:asciiTheme="minorEastAsia" w:eastAsiaTheme="minorEastAsia" w:hAnsiTheme="minorEastAsia"/>
                <w:sz w:val="21"/>
              </w:rPr>
              <w:t>-10.00%</w:t>
            </w:r>
          </w:p>
        </w:tc>
      </w:tr>
    </w:tbl>
    <w:p w:rsidR="00F43559" w:rsidRPr="00F71342" w:rsidRDefault="00F43559" w:rsidP="00AB28DB">
      <w:pPr>
        <w:spacing w:line="360" w:lineRule="auto"/>
        <w:ind w:firstLineChars="200" w:firstLine="420"/>
        <w:rPr>
          <w:rFonts w:ascii="宋体" w:hAnsi="宋体"/>
          <w:b/>
          <w:sz w:val="21"/>
          <w:szCs w:val="21"/>
        </w:rPr>
      </w:pPr>
      <w:r w:rsidRPr="002B3EDB">
        <w:rPr>
          <w:rFonts w:ascii="宋体" w:hAnsi="宋体" w:hint="eastAsia"/>
          <w:sz w:val="21"/>
          <w:szCs w:val="21"/>
        </w:rPr>
        <w:t>依据本基金合同约定的管理费计提标准，</w:t>
      </w:r>
      <w:r w:rsidRPr="00E735E7">
        <w:rPr>
          <w:rFonts w:ascii="宋体" w:hAnsi="宋体" w:hint="eastAsia"/>
          <w:b/>
          <w:sz w:val="21"/>
          <w:szCs w:val="21"/>
        </w:rPr>
        <w:t>下一季度对日区间</w:t>
      </w:r>
      <w:r w:rsidRPr="004D0E56">
        <w:rPr>
          <w:rFonts w:ascii="宋体" w:hAnsi="宋体" w:hint="eastAsia"/>
          <w:b/>
          <w:sz w:val="21"/>
          <w:szCs w:val="21"/>
        </w:rPr>
        <w:t>（</w:t>
      </w:r>
      <w:r w:rsidR="00986CE4" w:rsidRPr="004D0E56">
        <w:rPr>
          <w:rFonts w:ascii="宋体" w:hAnsi="宋体" w:hint="eastAsia"/>
          <w:b/>
          <w:sz w:val="21"/>
          <w:szCs w:val="21"/>
        </w:rPr>
        <w:t>20</w:t>
      </w:r>
      <w:r w:rsidR="00986CE4" w:rsidRPr="004D0E56">
        <w:rPr>
          <w:rFonts w:ascii="宋体" w:hAnsi="宋体"/>
          <w:b/>
          <w:sz w:val="21"/>
          <w:szCs w:val="21"/>
        </w:rPr>
        <w:t>2</w:t>
      </w:r>
      <w:r w:rsidR="00187021">
        <w:rPr>
          <w:rFonts w:ascii="宋体" w:hAnsi="宋体"/>
          <w:b/>
          <w:sz w:val="21"/>
          <w:szCs w:val="21"/>
        </w:rPr>
        <w:t>5</w:t>
      </w:r>
      <w:r w:rsidR="00986CE4" w:rsidRPr="004D0E56">
        <w:rPr>
          <w:rFonts w:ascii="宋体" w:hAnsi="宋体" w:hint="eastAsia"/>
          <w:b/>
          <w:sz w:val="21"/>
          <w:szCs w:val="21"/>
        </w:rPr>
        <w:t>年</w:t>
      </w:r>
      <w:r w:rsidR="00187021">
        <w:rPr>
          <w:rFonts w:ascii="宋体" w:hAnsi="宋体"/>
          <w:b/>
          <w:sz w:val="21"/>
          <w:szCs w:val="21"/>
        </w:rPr>
        <w:t>2</w:t>
      </w:r>
      <w:r w:rsidRPr="004D0E56">
        <w:rPr>
          <w:rFonts w:ascii="宋体" w:hAnsi="宋体" w:hint="eastAsia"/>
          <w:b/>
          <w:sz w:val="21"/>
          <w:szCs w:val="21"/>
        </w:rPr>
        <w:t>月</w:t>
      </w:r>
      <w:r w:rsidR="00F706A1" w:rsidRPr="004D0E56">
        <w:rPr>
          <w:rFonts w:ascii="宋体" w:hAnsi="宋体"/>
          <w:b/>
          <w:sz w:val="21"/>
          <w:szCs w:val="21"/>
        </w:rPr>
        <w:t>2</w:t>
      </w:r>
      <w:r w:rsidR="006A4299" w:rsidRPr="004D0E56">
        <w:rPr>
          <w:rFonts w:ascii="宋体" w:hAnsi="宋体"/>
          <w:b/>
          <w:sz w:val="21"/>
          <w:szCs w:val="21"/>
        </w:rPr>
        <w:t>1</w:t>
      </w:r>
      <w:r w:rsidRPr="004D0E56">
        <w:rPr>
          <w:rFonts w:ascii="宋体" w:hAnsi="宋体" w:hint="eastAsia"/>
          <w:b/>
          <w:sz w:val="21"/>
          <w:szCs w:val="21"/>
        </w:rPr>
        <w:t>日—</w:t>
      </w:r>
      <w:r w:rsidR="00187021" w:rsidRPr="00F71342">
        <w:rPr>
          <w:rFonts w:ascii="宋体" w:hAnsi="宋体" w:hint="eastAsia"/>
          <w:b/>
          <w:sz w:val="21"/>
          <w:szCs w:val="21"/>
        </w:rPr>
        <w:t>20</w:t>
      </w:r>
      <w:r w:rsidR="00187021" w:rsidRPr="00F71342">
        <w:rPr>
          <w:rFonts w:ascii="宋体" w:hAnsi="宋体"/>
          <w:b/>
          <w:sz w:val="21"/>
          <w:szCs w:val="21"/>
        </w:rPr>
        <w:t>2</w:t>
      </w:r>
      <w:r w:rsidR="00187021">
        <w:rPr>
          <w:rFonts w:ascii="宋体" w:hAnsi="宋体"/>
          <w:b/>
          <w:sz w:val="21"/>
          <w:szCs w:val="21"/>
        </w:rPr>
        <w:t>5</w:t>
      </w:r>
      <w:r w:rsidR="00187021" w:rsidRPr="00F71342">
        <w:rPr>
          <w:rFonts w:ascii="宋体" w:hAnsi="宋体" w:hint="eastAsia"/>
          <w:b/>
          <w:sz w:val="21"/>
          <w:szCs w:val="21"/>
        </w:rPr>
        <w:t>年</w:t>
      </w:r>
      <w:r w:rsidR="00187021">
        <w:rPr>
          <w:rFonts w:ascii="宋体" w:hAnsi="宋体"/>
          <w:b/>
          <w:sz w:val="21"/>
          <w:szCs w:val="21"/>
        </w:rPr>
        <w:t>5</w:t>
      </w:r>
      <w:r w:rsidRPr="00F71342">
        <w:rPr>
          <w:rFonts w:ascii="宋体" w:hAnsi="宋体" w:hint="eastAsia"/>
          <w:b/>
          <w:sz w:val="21"/>
          <w:szCs w:val="21"/>
        </w:rPr>
        <w:t>月</w:t>
      </w:r>
      <w:r w:rsidR="00D6788C">
        <w:rPr>
          <w:rFonts w:ascii="宋体" w:hAnsi="宋体"/>
          <w:b/>
          <w:sz w:val="21"/>
          <w:szCs w:val="21"/>
        </w:rPr>
        <w:t>2</w:t>
      </w:r>
      <w:r w:rsidR="00065FC8">
        <w:rPr>
          <w:rFonts w:ascii="宋体" w:hAnsi="宋体"/>
          <w:b/>
          <w:sz w:val="21"/>
          <w:szCs w:val="21"/>
        </w:rPr>
        <w:t>0</w:t>
      </w:r>
      <w:r w:rsidRPr="00F71342">
        <w:rPr>
          <w:rFonts w:ascii="宋体" w:hAnsi="宋体" w:hint="eastAsia"/>
          <w:b/>
          <w:sz w:val="21"/>
          <w:szCs w:val="21"/>
        </w:rPr>
        <w:t>日）所适用的年管理费率为</w:t>
      </w:r>
      <w:r w:rsidR="007F69D4" w:rsidRPr="007F69D4">
        <w:rPr>
          <w:rFonts w:ascii="宋体" w:hAnsi="宋体"/>
          <w:b/>
          <w:sz w:val="21"/>
          <w:szCs w:val="21"/>
        </w:rPr>
        <w:t>0.80</w:t>
      </w:r>
      <w:r w:rsidRPr="00F71342">
        <w:rPr>
          <w:rFonts w:ascii="宋体" w:hAnsi="宋体" w:hint="eastAsia"/>
          <w:b/>
          <w:sz w:val="21"/>
          <w:szCs w:val="21"/>
        </w:rPr>
        <w:t>%，并自</w:t>
      </w:r>
      <w:r w:rsidR="0068316C" w:rsidRPr="00F71342">
        <w:rPr>
          <w:rFonts w:ascii="宋体" w:hAnsi="宋体" w:hint="eastAsia"/>
          <w:b/>
          <w:sz w:val="21"/>
          <w:szCs w:val="21"/>
        </w:rPr>
        <w:t>20</w:t>
      </w:r>
      <w:r w:rsidR="0068316C">
        <w:rPr>
          <w:rFonts w:ascii="宋体" w:hAnsi="宋体"/>
          <w:b/>
          <w:sz w:val="21"/>
          <w:szCs w:val="21"/>
        </w:rPr>
        <w:t>2</w:t>
      </w:r>
      <w:r w:rsidR="00187021">
        <w:rPr>
          <w:rFonts w:ascii="宋体" w:hAnsi="宋体"/>
          <w:b/>
          <w:sz w:val="21"/>
          <w:szCs w:val="21"/>
        </w:rPr>
        <w:t>5</w:t>
      </w:r>
      <w:r w:rsidR="0068316C" w:rsidRPr="00F71342">
        <w:rPr>
          <w:rFonts w:ascii="宋体" w:hAnsi="宋体" w:hint="eastAsia"/>
          <w:b/>
          <w:sz w:val="21"/>
          <w:szCs w:val="21"/>
        </w:rPr>
        <w:t>年</w:t>
      </w:r>
      <w:r w:rsidR="00187021">
        <w:rPr>
          <w:rFonts w:ascii="宋体" w:hAnsi="宋体" w:hint="eastAsia"/>
          <w:b/>
          <w:sz w:val="21"/>
          <w:szCs w:val="21"/>
        </w:rPr>
        <w:t>2</w:t>
      </w:r>
      <w:r w:rsidRPr="00F71342">
        <w:rPr>
          <w:rFonts w:ascii="宋体" w:hAnsi="宋体" w:hint="eastAsia"/>
          <w:b/>
          <w:sz w:val="21"/>
          <w:szCs w:val="21"/>
        </w:rPr>
        <w:t>月2</w:t>
      </w:r>
      <w:r w:rsidR="006A4299">
        <w:rPr>
          <w:rFonts w:ascii="宋体" w:hAnsi="宋体"/>
          <w:b/>
          <w:sz w:val="21"/>
          <w:szCs w:val="21"/>
        </w:rPr>
        <w:t>1</w:t>
      </w:r>
      <w:r w:rsidRPr="00F71342">
        <w:rPr>
          <w:rFonts w:ascii="宋体" w:hAnsi="宋体" w:hint="eastAsia"/>
          <w:b/>
          <w:sz w:val="21"/>
          <w:szCs w:val="21"/>
        </w:rPr>
        <w:t>日（含）起施行。</w:t>
      </w:r>
    </w:p>
    <w:p w:rsidR="003B1D74" w:rsidRPr="00F71342" w:rsidRDefault="003B1D74" w:rsidP="00C5301D">
      <w:pPr>
        <w:pStyle w:val="a5"/>
        <w:spacing w:line="360" w:lineRule="auto"/>
        <w:ind w:left="420" w:firstLineChars="0" w:firstLine="0"/>
        <w:rPr>
          <w:rFonts w:ascii="宋体" w:hAnsi="宋体"/>
          <w:b/>
          <w:sz w:val="21"/>
          <w:szCs w:val="21"/>
        </w:rPr>
      </w:pPr>
    </w:p>
    <w:p w:rsidR="00DC52B4" w:rsidRPr="00F71342" w:rsidRDefault="00F71F49" w:rsidP="00C5301D">
      <w:pPr>
        <w:pStyle w:val="a5"/>
        <w:spacing w:line="360" w:lineRule="auto"/>
        <w:ind w:left="420" w:firstLineChars="0" w:firstLine="0"/>
        <w:rPr>
          <w:rFonts w:ascii="宋体" w:hAnsi="宋体"/>
          <w:b/>
          <w:sz w:val="21"/>
          <w:szCs w:val="21"/>
        </w:rPr>
      </w:pPr>
      <w:r w:rsidRPr="00F71342">
        <w:rPr>
          <w:rFonts w:ascii="宋体" w:hAnsi="宋体" w:hint="eastAsia"/>
          <w:b/>
          <w:sz w:val="21"/>
          <w:szCs w:val="21"/>
        </w:rPr>
        <w:t>三</w:t>
      </w:r>
      <w:r w:rsidR="00C5301D" w:rsidRPr="00F71342">
        <w:rPr>
          <w:rFonts w:ascii="宋体" w:hAnsi="宋体" w:hint="eastAsia"/>
          <w:b/>
          <w:sz w:val="21"/>
          <w:szCs w:val="21"/>
        </w:rPr>
        <w:t>、</w:t>
      </w:r>
      <w:r w:rsidR="00DC52B4" w:rsidRPr="00F71342">
        <w:rPr>
          <w:rFonts w:ascii="宋体" w:hAnsi="宋体" w:hint="eastAsia"/>
          <w:b/>
          <w:sz w:val="21"/>
          <w:szCs w:val="21"/>
        </w:rPr>
        <w:t xml:space="preserve">咨询方式 </w:t>
      </w:r>
    </w:p>
    <w:p w:rsidR="009A4BD5" w:rsidRPr="00F71342" w:rsidRDefault="009A4BD5" w:rsidP="009A4BD5">
      <w:pPr>
        <w:spacing w:line="360" w:lineRule="auto"/>
        <w:ind w:firstLineChars="200" w:firstLine="420"/>
        <w:rPr>
          <w:rFonts w:ascii="宋体" w:hAnsi="宋体"/>
          <w:sz w:val="21"/>
          <w:szCs w:val="21"/>
        </w:rPr>
      </w:pPr>
      <w:r w:rsidRPr="00F71342">
        <w:rPr>
          <w:rFonts w:ascii="宋体" w:hAnsi="宋体"/>
          <w:sz w:val="21"/>
          <w:szCs w:val="21"/>
        </w:rPr>
        <w:t>投资者可登陆本公司网站www.</w:t>
      </w:r>
      <w:r w:rsidRPr="00F71342">
        <w:rPr>
          <w:rFonts w:ascii="宋体" w:hAnsi="宋体" w:hint="eastAsia"/>
          <w:sz w:val="21"/>
          <w:szCs w:val="21"/>
        </w:rPr>
        <w:t>zo</w:t>
      </w:r>
      <w:r w:rsidRPr="00F71342">
        <w:rPr>
          <w:rFonts w:ascii="宋体" w:hAnsi="宋体"/>
          <w:sz w:val="21"/>
          <w:szCs w:val="21"/>
        </w:rPr>
        <w:t>fund.com，或拨打本公司客服电话400-700-9700、021-68609700咨询相关信息。</w:t>
      </w:r>
    </w:p>
    <w:p w:rsidR="00F71F49" w:rsidRPr="00F71342" w:rsidRDefault="00F71F49" w:rsidP="009A4BD5">
      <w:pPr>
        <w:spacing w:line="360" w:lineRule="auto"/>
        <w:ind w:firstLineChars="200" w:firstLine="420"/>
        <w:rPr>
          <w:rFonts w:ascii="宋体" w:hAnsi="宋体"/>
          <w:sz w:val="21"/>
          <w:szCs w:val="21"/>
        </w:rPr>
      </w:pPr>
    </w:p>
    <w:p w:rsidR="00DC52B4" w:rsidRDefault="00DC52B4" w:rsidP="009A4BD5">
      <w:pPr>
        <w:spacing w:line="360" w:lineRule="auto"/>
        <w:ind w:firstLineChars="200" w:firstLine="420"/>
        <w:rPr>
          <w:rFonts w:ascii="宋体" w:hAnsi="宋体"/>
          <w:sz w:val="21"/>
          <w:szCs w:val="21"/>
        </w:rPr>
      </w:pPr>
      <w:r w:rsidRPr="00F71342">
        <w:rPr>
          <w:rFonts w:ascii="宋体" w:hAnsi="宋体" w:hint="eastAsia"/>
          <w:sz w:val="21"/>
          <w:szCs w:val="21"/>
        </w:rPr>
        <w:t>风险提示：本公司承诺以诚实信用、勤勉尽责的原则管理和运用基金资产，但不保证基金一定盈利，也不保证最低收益。敬请投资者注意投资风险。投资者投资于上述基金前应认真阅读基金的《基金合同》、更新的《招募说明书》和相关公告等。</w:t>
      </w:r>
    </w:p>
    <w:p w:rsidR="00C46E10" w:rsidRPr="00F71342" w:rsidRDefault="00C46E10" w:rsidP="009A4BD5">
      <w:pPr>
        <w:spacing w:line="360" w:lineRule="auto"/>
        <w:ind w:firstLineChars="200" w:firstLine="420"/>
        <w:rPr>
          <w:rFonts w:ascii="宋体" w:hAnsi="宋体"/>
          <w:sz w:val="21"/>
          <w:szCs w:val="21"/>
        </w:rPr>
      </w:pPr>
    </w:p>
    <w:p w:rsidR="00DC52B4" w:rsidRPr="00F71342" w:rsidRDefault="00DC52B4" w:rsidP="00913081">
      <w:pPr>
        <w:spacing w:line="360" w:lineRule="auto"/>
        <w:ind w:firstLineChars="200" w:firstLine="420"/>
        <w:rPr>
          <w:rFonts w:ascii="宋体" w:hAnsi="宋体"/>
          <w:sz w:val="21"/>
          <w:szCs w:val="21"/>
        </w:rPr>
      </w:pPr>
      <w:r w:rsidRPr="00F71342">
        <w:rPr>
          <w:rFonts w:ascii="宋体" w:hAnsi="宋体" w:hint="eastAsia"/>
          <w:sz w:val="21"/>
          <w:szCs w:val="21"/>
        </w:rPr>
        <w:t>特此公告。</w:t>
      </w:r>
    </w:p>
    <w:p w:rsidR="000901CF" w:rsidRPr="00F71342" w:rsidRDefault="000901CF" w:rsidP="004C61B0">
      <w:pPr>
        <w:spacing w:line="360" w:lineRule="auto"/>
        <w:rPr>
          <w:rFonts w:ascii="宋体" w:hAnsi="宋体"/>
          <w:sz w:val="21"/>
          <w:szCs w:val="21"/>
        </w:rPr>
      </w:pPr>
    </w:p>
    <w:p w:rsidR="009A4BD5" w:rsidRPr="00F71342" w:rsidRDefault="009A4BD5" w:rsidP="009A4BD5">
      <w:pPr>
        <w:spacing w:line="360" w:lineRule="auto"/>
        <w:jc w:val="right"/>
        <w:rPr>
          <w:rFonts w:ascii="宋体" w:hAnsi="宋体"/>
          <w:sz w:val="21"/>
          <w:szCs w:val="21"/>
        </w:rPr>
      </w:pPr>
      <w:r w:rsidRPr="00F71342">
        <w:rPr>
          <w:rFonts w:ascii="宋体" w:hAnsi="宋体" w:hint="eastAsia"/>
          <w:sz w:val="21"/>
          <w:szCs w:val="21"/>
        </w:rPr>
        <w:t>中欧基金管理有限公司</w:t>
      </w:r>
    </w:p>
    <w:p w:rsidR="009A4BD5" w:rsidRPr="00F71342" w:rsidRDefault="0068316C" w:rsidP="009A4BD5">
      <w:pPr>
        <w:spacing w:line="360" w:lineRule="auto"/>
        <w:jc w:val="right"/>
        <w:rPr>
          <w:rFonts w:ascii="宋体" w:hAnsi="宋体"/>
          <w:sz w:val="21"/>
          <w:szCs w:val="21"/>
        </w:rPr>
      </w:pPr>
      <w:r w:rsidRPr="00F71342">
        <w:rPr>
          <w:rFonts w:ascii="宋体" w:hAnsi="宋体" w:hint="eastAsia"/>
          <w:sz w:val="21"/>
          <w:szCs w:val="21"/>
        </w:rPr>
        <w:t>20</w:t>
      </w:r>
      <w:r>
        <w:rPr>
          <w:rFonts w:ascii="宋体" w:hAnsi="宋体"/>
          <w:sz w:val="21"/>
          <w:szCs w:val="21"/>
        </w:rPr>
        <w:t>2</w:t>
      </w:r>
      <w:r w:rsidR="00187021">
        <w:rPr>
          <w:rFonts w:ascii="宋体" w:hAnsi="宋体"/>
          <w:sz w:val="21"/>
          <w:szCs w:val="21"/>
        </w:rPr>
        <w:t>5</w:t>
      </w:r>
      <w:r w:rsidRPr="00F71342">
        <w:rPr>
          <w:rFonts w:ascii="宋体" w:hAnsi="宋体" w:hint="eastAsia"/>
          <w:sz w:val="21"/>
          <w:szCs w:val="21"/>
        </w:rPr>
        <w:t>年</w:t>
      </w:r>
      <w:r w:rsidR="00187021">
        <w:rPr>
          <w:rFonts w:ascii="宋体" w:hAnsi="宋体"/>
          <w:sz w:val="21"/>
          <w:szCs w:val="21"/>
        </w:rPr>
        <w:t>2</w:t>
      </w:r>
      <w:r w:rsidR="009A4BD5" w:rsidRPr="00F71342">
        <w:rPr>
          <w:rFonts w:ascii="宋体" w:hAnsi="宋体" w:hint="eastAsia"/>
          <w:sz w:val="21"/>
          <w:szCs w:val="21"/>
        </w:rPr>
        <w:t>月</w:t>
      </w:r>
      <w:r w:rsidR="00D6788C">
        <w:rPr>
          <w:rFonts w:ascii="宋体" w:hAnsi="宋体"/>
          <w:sz w:val="21"/>
          <w:szCs w:val="21"/>
        </w:rPr>
        <w:t>2</w:t>
      </w:r>
      <w:r w:rsidR="006A4299">
        <w:rPr>
          <w:rFonts w:ascii="宋体" w:hAnsi="宋体"/>
          <w:sz w:val="21"/>
          <w:szCs w:val="21"/>
        </w:rPr>
        <w:t>2</w:t>
      </w:r>
      <w:r w:rsidR="009A4BD5" w:rsidRPr="00F71342">
        <w:rPr>
          <w:rFonts w:ascii="宋体" w:hAnsi="宋体" w:hint="eastAsia"/>
          <w:sz w:val="21"/>
          <w:szCs w:val="21"/>
        </w:rPr>
        <w:t>日</w:t>
      </w:r>
    </w:p>
    <w:sectPr w:rsidR="009A4BD5" w:rsidRPr="00F71342" w:rsidSect="002A5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33" w:rsidRDefault="00B24533" w:rsidP="00032CDE">
      <w:r>
        <w:separator/>
      </w:r>
    </w:p>
  </w:endnote>
  <w:endnote w:type="continuationSeparator" w:id="0">
    <w:p w:rsidR="00B24533" w:rsidRDefault="00B24533" w:rsidP="00032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33" w:rsidRDefault="00B24533" w:rsidP="00032CDE">
      <w:r>
        <w:separator/>
      </w:r>
    </w:p>
  </w:footnote>
  <w:footnote w:type="continuationSeparator" w:id="0">
    <w:p w:rsidR="00B24533" w:rsidRDefault="00B24533" w:rsidP="00032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EFD"/>
    <w:multiLevelType w:val="hybridMultilevel"/>
    <w:tmpl w:val="029427AC"/>
    <w:lvl w:ilvl="0" w:tplc="A2FC1D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E5002C"/>
    <w:multiLevelType w:val="hybridMultilevel"/>
    <w:tmpl w:val="3B8A9554"/>
    <w:lvl w:ilvl="0" w:tplc="A406E7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5F4B44"/>
    <w:multiLevelType w:val="hybridMultilevel"/>
    <w:tmpl w:val="AE405882"/>
    <w:lvl w:ilvl="0" w:tplc="EE6677FE">
      <w:start w:val="1"/>
      <w:numFmt w:val="decimalEnclosedCircle"/>
      <w:lvlText w:val="%1"/>
      <w:lvlJc w:val="left"/>
      <w:pPr>
        <w:ind w:left="360" w:hanging="360"/>
      </w:pPr>
      <w:rPr>
        <w:rFonts w:cs="Times New Roman" w:hint="default"/>
        <w:b w:val="0"/>
        <w:color w:val="00408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0A57A3"/>
    <w:multiLevelType w:val="hybridMultilevel"/>
    <w:tmpl w:val="BBE48C30"/>
    <w:lvl w:ilvl="0" w:tplc="6F709B7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5F800CF"/>
    <w:multiLevelType w:val="hybridMultilevel"/>
    <w:tmpl w:val="7FC899FC"/>
    <w:lvl w:ilvl="0" w:tplc="02ACB9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1E034C"/>
    <w:multiLevelType w:val="hybridMultilevel"/>
    <w:tmpl w:val="21D40B9C"/>
    <w:lvl w:ilvl="0" w:tplc="22A6B34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33B"/>
    <w:rsid w:val="0000199A"/>
    <w:rsid w:val="00001A9A"/>
    <w:rsid w:val="00003886"/>
    <w:rsid w:val="00004C20"/>
    <w:rsid w:val="00012E48"/>
    <w:rsid w:val="000174C1"/>
    <w:rsid w:val="00020630"/>
    <w:rsid w:val="0002486C"/>
    <w:rsid w:val="00027730"/>
    <w:rsid w:val="00027AC3"/>
    <w:rsid w:val="0003149D"/>
    <w:rsid w:val="00032CDE"/>
    <w:rsid w:val="00052A0E"/>
    <w:rsid w:val="00065FC8"/>
    <w:rsid w:val="00066FDB"/>
    <w:rsid w:val="000670F5"/>
    <w:rsid w:val="0007327E"/>
    <w:rsid w:val="000774F0"/>
    <w:rsid w:val="00082E49"/>
    <w:rsid w:val="0008440D"/>
    <w:rsid w:val="000901CF"/>
    <w:rsid w:val="00091D76"/>
    <w:rsid w:val="0009708A"/>
    <w:rsid w:val="000A533B"/>
    <w:rsid w:val="000B3938"/>
    <w:rsid w:val="000B4EA1"/>
    <w:rsid w:val="000B5DE4"/>
    <w:rsid w:val="0010326F"/>
    <w:rsid w:val="0010591F"/>
    <w:rsid w:val="001256F9"/>
    <w:rsid w:val="00126007"/>
    <w:rsid w:val="00132615"/>
    <w:rsid w:val="0014024E"/>
    <w:rsid w:val="00141F27"/>
    <w:rsid w:val="00164516"/>
    <w:rsid w:val="0017336F"/>
    <w:rsid w:val="0017418B"/>
    <w:rsid w:val="0018086B"/>
    <w:rsid w:val="00183F41"/>
    <w:rsid w:val="00187021"/>
    <w:rsid w:val="001B231C"/>
    <w:rsid w:val="001C3CBB"/>
    <w:rsid w:val="001C6E3A"/>
    <w:rsid w:val="001E2D93"/>
    <w:rsid w:val="001E45BE"/>
    <w:rsid w:val="001E678E"/>
    <w:rsid w:val="001E7B32"/>
    <w:rsid w:val="00206494"/>
    <w:rsid w:val="00215EAC"/>
    <w:rsid w:val="00225EDC"/>
    <w:rsid w:val="0023420B"/>
    <w:rsid w:val="00237E2F"/>
    <w:rsid w:val="0024010E"/>
    <w:rsid w:val="00244D7C"/>
    <w:rsid w:val="00250932"/>
    <w:rsid w:val="00252E85"/>
    <w:rsid w:val="00265ACE"/>
    <w:rsid w:val="00273AFF"/>
    <w:rsid w:val="00276495"/>
    <w:rsid w:val="00281D78"/>
    <w:rsid w:val="002A036F"/>
    <w:rsid w:val="002A43A4"/>
    <w:rsid w:val="002A5ED6"/>
    <w:rsid w:val="002B3EDB"/>
    <w:rsid w:val="002B3EFD"/>
    <w:rsid w:val="002D28F0"/>
    <w:rsid w:val="002E68BF"/>
    <w:rsid w:val="002F10D7"/>
    <w:rsid w:val="002F4E95"/>
    <w:rsid w:val="00301670"/>
    <w:rsid w:val="00304256"/>
    <w:rsid w:val="00316279"/>
    <w:rsid w:val="00341AC9"/>
    <w:rsid w:val="003514A6"/>
    <w:rsid w:val="00355F6E"/>
    <w:rsid w:val="00361586"/>
    <w:rsid w:val="003779C7"/>
    <w:rsid w:val="00377C3A"/>
    <w:rsid w:val="00377ED8"/>
    <w:rsid w:val="00381C63"/>
    <w:rsid w:val="003865D7"/>
    <w:rsid w:val="0039196A"/>
    <w:rsid w:val="003B1D74"/>
    <w:rsid w:val="003B6BE0"/>
    <w:rsid w:val="003C0E6D"/>
    <w:rsid w:val="003D20FF"/>
    <w:rsid w:val="003D308D"/>
    <w:rsid w:val="00401C28"/>
    <w:rsid w:val="00404145"/>
    <w:rsid w:val="00411F7D"/>
    <w:rsid w:val="0041466C"/>
    <w:rsid w:val="004208AD"/>
    <w:rsid w:val="00422355"/>
    <w:rsid w:val="00425391"/>
    <w:rsid w:val="004305A1"/>
    <w:rsid w:val="004409AB"/>
    <w:rsid w:val="0047265C"/>
    <w:rsid w:val="00483799"/>
    <w:rsid w:val="00491FD3"/>
    <w:rsid w:val="004A3045"/>
    <w:rsid w:val="004B4EC9"/>
    <w:rsid w:val="004C61B0"/>
    <w:rsid w:val="004D0E56"/>
    <w:rsid w:val="004E269E"/>
    <w:rsid w:val="004E5119"/>
    <w:rsid w:val="004E6E41"/>
    <w:rsid w:val="00502DEA"/>
    <w:rsid w:val="00542AB7"/>
    <w:rsid w:val="0055221C"/>
    <w:rsid w:val="00555783"/>
    <w:rsid w:val="0057769F"/>
    <w:rsid w:val="0059015A"/>
    <w:rsid w:val="005C055A"/>
    <w:rsid w:val="005C4C64"/>
    <w:rsid w:val="005E0BC5"/>
    <w:rsid w:val="00603660"/>
    <w:rsid w:val="00607A01"/>
    <w:rsid w:val="00615559"/>
    <w:rsid w:val="00622293"/>
    <w:rsid w:val="00626959"/>
    <w:rsid w:val="00632046"/>
    <w:rsid w:val="00640313"/>
    <w:rsid w:val="00643564"/>
    <w:rsid w:val="0068316C"/>
    <w:rsid w:val="006831F0"/>
    <w:rsid w:val="0068613B"/>
    <w:rsid w:val="006874A9"/>
    <w:rsid w:val="00694C5D"/>
    <w:rsid w:val="006A4299"/>
    <w:rsid w:val="006E316E"/>
    <w:rsid w:val="006F09E5"/>
    <w:rsid w:val="00703560"/>
    <w:rsid w:val="007063F6"/>
    <w:rsid w:val="007116F4"/>
    <w:rsid w:val="00716474"/>
    <w:rsid w:val="0072068F"/>
    <w:rsid w:val="007262A0"/>
    <w:rsid w:val="00745FED"/>
    <w:rsid w:val="007462EC"/>
    <w:rsid w:val="00751FF1"/>
    <w:rsid w:val="0077514F"/>
    <w:rsid w:val="00791DE5"/>
    <w:rsid w:val="007A0771"/>
    <w:rsid w:val="007A4342"/>
    <w:rsid w:val="007B4770"/>
    <w:rsid w:val="007C265E"/>
    <w:rsid w:val="007D4FBA"/>
    <w:rsid w:val="007E0A19"/>
    <w:rsid w:val="007F69D4"/>
    <w:rsid w:val="008075A7"/>
    <w:rsid w:val="00811C4B"/>
    <w:rsid w:val="00827CAE"/>
    <w:rsid w:val="00830EAB"/>
    <w:rsid w:val="0083619B"/>
    <w:rsid w:val="00865748"/>
    <w:rsid w:val="0087050C"/>
    <w:rsid w:val="008934F1"/>
    <w:rsid w:val="0089431E"/>
    <w:rsid w:val="008A4B11"/>
    <w:rsid w:val="008C1953"/>
    <w:rsid w:val="008C25D1"/>
    <w:rsid w:val="008C6C56"/>
    <w:rsid w:val="008D7937"/>
    <w:rsid w:val="008E000D"/>
    <w:rsid w:val="0090621C"/>
    <w:rsid w:val="00913081"/>
    <w:rsid w:val="009253AF"/>
    <w:rsid w:val="00927274"/>
    <w:rsid w:val="0097740F"/>
    <w:rsid w:val="00986CE4"/>
    <w:rsid w:val="00992E8C"/>
    <w:rsid w:val="00993341"/>
    <w:rsid w:val="00997E23"/>
    <w:rsid w:val="009A4BD5"/>
    <w:rsid w:val="009A78AA"/>
    <w:rsid w:val="009B2DD4"/>
    <w:rsid w:val="009B3867"/>
    <w:rsid w:val="009D144A"/>
    <w:rsid w:val="009D5BBA"/>
    <w:rsid w:val="009E7994"/>
    <w:rsid w:val="00A01C8C"/>
    <w:rsid w:val="00A07020"/>
    <w:rsid w:val="00A1551F"/>
    <w:rsid w:val="00A20AB1"/>
    <w:rsid w:val="00A31067"/>
    <w:rsid w:val="00A35AE4"/>
    <w:rsid w:val="00A46FE9"/>
    <w:rsid w:val="00A513B7"/>
    <w:rsid w:val="00A5757A"/>
    <w:rsid w:val="00A75AE9"/>
    <w:rsid w:val="00A77CF4"/>
    <w:rsid w:val="00A8081C"/>
    <w:rsid w:val="00A94BC2"/>
    <w:rsid w:val="00A9552E"/>
    <w:rsid w:val="00AA09BA"/>
    <w:rsid w:val="00AB28DB"/>
    <w:rsid w:val="00AB640E"/>
    <w:rsid w:val="00AD5629"/>
    <w:rsid w:val="00AE3B9E"/>
    <w:rsid w:val="00AF26E6"/>
    <w:rsid w:val="00AF527A"/>
    <w:rsid w:val="00B0562D"/>
    <w:rsid w:val="00B24533"/>
    <w:rsid w:val="00B277A1"/>
    <w:rsid w:val="00B300B7"/>
    <w:rsid w:val="00B430FA"/>
    <w:rsid w:val="00B606CF"/>
    <w:rsid w:val="00B63DB7"/>
    <w:rsid w:val="00B70721"/>
    <w:rsid w:val="00B722F6"/>
    <w:rsid w:val="00B864F3"/>
    <w:rsid w:val="00BB0426"/>
    <w:rsid w:val="00BD0E54"/>
    <w:rsid w:val="00BD3130"/>
    <w:rsid w:val="00BE19F7"/>
    <w:rsid w:val="00BF2276"/>
    <w:rsid w:val="00C06A49"/>
    <w:rsid w:val="00C151AD"/>
    <w:rsid w:val="00C22948"/>
    <w:rsid w:val="00C26ACA"/>
    <w:rsid w:val="00C46E10"/>
    <w:rsid w:val="00C5301D"/>
    <w:rsid w:val="00C66E70"/>
    <w:rsid w:val="00C71016"/>
    <w:rsid w:val="00C72E52"/>
    <w:rsid w:val="00C91305"/>
    <w:rsid w:val="00C97389"/>
    <w:rsid w:val="00CA1DF8"/>
    <w:rsid w:val="00CD44BD"/>
    <w:rsid w:val="00CE014F"/>
    <w:rsid w:val="00CE6875"/>
    <w:rsid w:val="00D0442D"/>
    <w:rsid w:val="00D2122C"/>
    <w:rsid w:val="00D242E1"/>
    <w:rsid w:val="00D328D9"/>
    <w:rsid w:val="00D353A4"/>
    <w:rsid w:val="00D427D4"/>
    <w:rsid w:val="00D42977"/>
    <w:rsid w:val="00D57DDA"/>
    <w:rsid w:val="00D62703"/>
    <w:rsid w:val="00D629EE"/>
    <w:rsid w:val="00D66A3B"/>
    <w:rsid w:val="00D6788C"/>
    <w:rsid w:val="00D73F9A"/>
    <w:rsid w:val="00D87903"/>
    <w:rsid w:val="00D978F6"/>
    <w:rsid w:val="00DC2F94"/>
    <w:rsid w:val="00DC4E95"/>
    <w:rsid w:val="00DC52B4"/>
    <w:rsid w:val="00DC622A"/>
    <w:rsid w:val="00DC7B6A"/>
    <w:rsid w:val="00DD3A9B"/>
    <w:rsid w:val="00DD58AF"/>
    <w:rsid w:val="00DE4E24"/>
    <w:rsid w:val="00DE68FE"/>
    <w:rsid w:val="00E21EFB"/>
    <w:rsid w:val="00E22010"/>
    <w:rsid w:val="00E222DD"/>
    <w:rsid w:val="00E27368"/>
    <w:rsid w:val="00E52585"/>
    <w:rsid w:val="00E64471"/>
    <w:rsid w:val="00E735E7"/>
    <w:rsid w:val="00E74D37"/>
    <w:rsid w:val="00E82F04"/>
    <w:rsid w:val="00EC6C3D"/>
    <w:rsid w:val="00EE65CD"/>
    <w:rsid w:val="00EE68AC"/>
    <w:rsid w:val="00EF22B9"/>
    <w:rsid w:val="00EF6953"/>
    <w:rsid w:val="00EF7B73"/>
    <w:rsid w:val="00F109C3"/>
    <w:rsid w:val="00F2395B"/>
    <w:rsid w:val="00F27681"/>
    <w:rsid w:val="00F345B4"/>
    <w:rsid w:val="00F372A8"/>
    <w:rsid w:val="00F43559"/>
    <w:rsid w:val="00F51961"/>
    <w:rsid w:val="00F629E5"/>
    <w:rsid w:val="00F645AD"/>
    <w:rsid w:val="00F64BEA"/>
    <w:rsid w:val="00F706A1"/>
    <w:rsid w:val="00F71342"/>
    <w:rsid w:val="00F71F49"/>
    <w:rsid w:val="00F73F3E"/>
    <w:rsid w:val="00F77D1C"/>
    <w:rsid w:val="00FA4F48"/>
    <w:rsid w:val="00FB6755"/>
    <w:rsid w:val="00FC32B0"/>
    <w:rsid w:val="00FC33DA"/>
    <w:rsid w:val="00FC4A90"/>
    <w:rsid w:val="00FE6D85"/>
    <w:rsid w:val="00FF6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B4"/>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52B4"/>
    <w:rPr>
      <w:color w:val="0000FF"/>
      <w:u w:val="single"/>
    </w:rPr>
  </w:style>
  <w:style w:type="paragraph" w:styleId="a4">
    <w:name w:val="Normal (Web)"/>
    <w:basedOn w:val="a"/>
    <w:uiPriority w:val="99"/>
    <w:semiHidden/>
    <w:unhideWhenUsed/>
    <w:rsid w:val="00DC52B4"/>
    <w:pPr>
      <w:spacing w:before="100" w:beforeAutospacing="1" w:after="100" w:afterAutospacing="1"/>
    </w:pPr>
    <w:rPr>
      <w:rFonts w:ascii="宋体" w:hAnsi="宋体" w:cs="宋体"/>
    </w:rPr>
  </w:style>
  <w:style w:type="paragraph" w:customStyle="1" w:styleId="Default">
    <w:name w:val="Default"/>
    <w:basedOn w:val="a"/>
    <w:uiPriority w:val="99"/>
    <w:semiHidden/>
    <w:rsid w:val="00DC52B4"/>
    <w:pPr>
      <w:autoSpaceDE w:val="0"/>
      <w:autoSpaceDN w:val="0"/>
    </w:pPr>
    <w:rPr>
      <w:rFonts w:ascii="宋体" w:hAnsi="宋体" w:cs="宋体"/>
      <w:color w:val="000000"/>
    </w:rPr>
  </w:style>
  <w:style w:type="paragraph" w:styleId="a5">
    <w:name w:val="List Paragraph"/>
    <w:basedOn w:val="a"/>
    <w:uiPriority w:val="34"/>
    <w:qFormat/>
    <w:rsid w:val="000B3938"/>
    <w:pPr>
      <w:ind w:firstLineChars="200" w:firstLine="420"/>
    </w:pPr>
  </w:style>
  <w:style w:type="character" w:styleId="a6">
    <w:name w:val="annotation reference"/>
    <w:basedOn w:val="a0"/>
    <w:uiPriority w:val="99"/>
    <w:semiHidden/>
    <w:unhideWhenUsed/>
    <w:rsid w:val="009A4BD5"/>
    <w:rPr>
      <w:sz w:val="21"/>
      <w:szCs w:val="21"/>
    </w:rPr>
  </w:style>
  <w:style w:type="paragraph" w:styleId="a7">
    <w:name w:val="annotation text"/>
    <w:basedOn w:val="a"/>
    <w:link w:val="Char"/>
    <w:uiPriority w:val="99"/>
    <w:semiHidden/>
    <w:unhideWhenUsed/>
    <w:rsid w:val="009A4BD5"/>
  </w:style>
  <w:style w:type="character" w:customStyle="1" w:styleId="Char">
    <w:name w:val="批注文字 Char"/>
    <w:basedOn w:val="a0"/>
    <w:link w:val="a7"/>
    <w:uiPriority w:val="99"/>
    <w:semiHidden/>
    <w:rsid w:val="009A4BD5"/>
    <w:rPr>
      <w:rFonts w:ascii="Times New Roman" w:eastAsia="宋体" w:hAnsi="Times New Roman" w:cs="Times New Roman"/>
      <w:kern w:val="0"/>
      <w:sz w:val="24"/>
      <w:szCs w:val="24"/>
    </w:rPr>
  </w:style>
  <w:style w:type="paragraph" w:styleId="a8">
    <w:name w:val="annotation subject"/>
    <w:basedOn w:val="a7"/>
    <w:next w:val="a7"/>
    <w:link w:val="Char0"/>
    <w:uiPriority w:val="99"/>
    <w:semiHidden/>
    <w:unhideWhenUsed/>
    <w:rsid w:val="009A4BD5"/>
    <w:rPr>
      <w:b/>
      <w:bCs/>
    </w:rPr>
  </w:style>
  <w:style w:type="character" w:customStyle="1" w:styleId="Char0">
    <w:name w:val="批注主题 Char"/>
    <w:basedOn w:val="Char"/>
    <w:link w:val="a8"/>
    <w:uiPriority w:val="99"/>
    <w:semiHidden/>
    <w:rsid w:val="009A4BD5"/>
    <w:rPr>
      <w:rFonts w:ascii="Times New Roman" w:eastAsia="宋体" w:hAnsi="Times New Roman" w:cs="Times New Roman"/>
      <w:b/>
      <w:bCs/>
      <w:kern w:val="0"/>
      <w:sz w:val="24"/>
      <w:szCs w:val="24"/>
    </w:rPr>
  </w:style>
  <w:style w:type="paragraph" w:styleId="a9">
    <w:name w:val="Balloon Text"/>
    <w:basedOn w:val="a"/>
    <w:link w:val="Char1"/>
    <w:uiPriority w:val="99"/>
    <w:semiHidden/>
    <w:unhideWhenUsed/>
    <w:rsid w:val="009A4BD5"/>
    <w:rPr>
      <w:sz w:val="18"/>
      <w:szCs w:val="18"/>
    </w:rPr>
  </w:style>
  <w:style w:type="character" w:customStyle="1" w:styleId="Char1">
    <w:name w:val="批注框文本 Char"/>
    <w:basedOn w:val="a0"/>
    <w:link w:val="a9"/>
    <w:uiPriority w:val="99"/>
    <w:semiHidden/>
    <w:rsid w:val="009A4BD5"/>
    <w:rPr>
      <w:rFonts w:ascii="Times New Roman" w:eastAsia="宋体" w:hAnsi="Times New Roman" w:cs="Times New Roman"/>
      <w:kern w:val="0"/>
      <w:sz w:val="18"/>
      <w:szCs w:val="18"/>
    </w:rPr>
  </w:style>
  <w:style w:type="paragraph" w:styleId="aa">
    <w:name w:val="header"/>
    <w:basedOn w:val="a"/>
    <w:link w:val="Char2"/>
    <w:uiPriority w:val="99"/>
    <w:unhideWhenUsed/>
    <w:rsid w:val="00032CD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032CDE"/>
    <w:rPr>
      <w:rFonts w:ascii="Times New Roman" w:eastAsia="宋体" w:hAnsi="Times New Roman" w:cs="Times New Roman"/>
      <w:kern w:val="0"/>
      <w:sz w:val="18"/>
      <w:szCs w:val="18"/>
    </w:rPr>
  </w:style>
  <w:style w:type="paragraph" w:styleId="ab">
    <w:name w:val="footer"/>
    <w:basedOn w:val="a"/>
    <w:link w:val="Char3"/>
    <w:uiPriority w:val="99"/>
    <w:unhideWhenUsed/>
    <w:rsid w:val="00032CDE"/>
    <w:pPr>
      <w:tabs>
        <w:tab w:val="center" w:pos="4153"/>
        <w:tab w:val="right" w:pos="8306"/>
      </w:tabs>
      <w:snapToGrid w:val="0"/>
    </w:pPr>
    <w:rPr>
      <w:sz w:val="18"/>
      <w:szCs w:val="18"/>
    </w:rPr>
  </w:style>
  <w:style w:type="character" w:customStyle="1" w:styleId="Char3">
    <w:name w:val="页脚 Char"/>
    <w:basedOn w:val="a0"/>
    <w:link w:val="ab"/>
    <w:uiPriority w:val="99"/>
    <w:rsid w:val="00032CDE"/>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07049755">
      <w:bodyDiv w:val="1"/>
      <w:marLeft w:val="0"/>
      <w:marRight w:val="0"/>
      <w:marTop w:val="0"/>
      <w:marBottom w:val="0"/>
      <w:divBdr>
        <w:top w:val="none" w:sz="0" w:space="0" w:color="auto"/>
        <w:left w:val="none" w:sz="0" w:space="0" w:color="auto"/>
        <w:bottom w:val="none" w:sz="0" w:space="0" w:color="auto"/>
        <w:right w:val="none" w:sz="0" w:space="0" w:color="auto"/>
      </w:divBdr>
    </w:div>
    <w:div w:id="261885416">
      <w:bodyDiv w:val="1"/>
      <w:marLeft w:val="0"/>
      <w:marRight w:val="0"/>
      <w:marTop w:val="0"/>
      <w:marBottom w:val="0"/>
      <w:divBdr>
        <w:top w:val="none" w:sz="0" w:space="0" w:color="auto"/>
        <w:left w:val="none" w:sz="0" w:space="0" w:color="auto"/>
        <w:bottom w:val="none" w:sz="0" w:space="0" w:color="auto"/>
        <w:right w:val="none" w:sz="0" w:space="0" w:color="auto"/>
      </w:divBdr>
    </w:div>
    <w:div w:id="400715706">
      <w:bodyDiv w:val="1"/>
      <w:marLeft w:val="0"/>
      <w:marRight w:val="0"/>
      <w:marTop w:val="0"/>
      <w:marBottom w:val="0"/>
      <w:divBdr>
        <w:top w:val="none" w:sz="0" w:space="0" w:color="auto"/>
        <w:left w:val="none" w:sz="0" w:space="0" w:color="auto"/>
        <w:bottom w:val="none" w:sz="0" w:space="0" w:color="auto"/>
        <w:right w:val="none" w:sz="0" w:space="0" w:color="auto"/>
      </w:divBdr>
    </w:div>
    <w:div w:id="402795224">
      <w:bodyDiv w:val="1"/>
      <w:marLeft w:val="0"/>
      <w:marRight w:val="0"/>
      <w:marTop w:val="0"/>
      <w:marBottom w:val="0"/>
      <w:divBdr>
        <w:top w:val="none" w:sz="0" w:space="0" w:color="auto"/>
        <w:left w:val="none" w:sz="0" w:space="0" w:color="auto"/>
        <w:bottom w:val="none" w:sz="0" w:space="0" w:color="auto"/>
        <w:right w:val="none" w:sz="0" w:space="0" w:color="auto"/>
      </w:divBdr>
    </w:div>
    <w:div w:id="412777576">
      <w:bodyDiv w:val="1"/>
      <w:marLeft w:val="0"/>
      <w:marRight w:val="0"/>
      <w:marTop w:val="0"/>
      <w:marBottom w:val="0"/>
      <w:divBdr>
        <w:top w:val="none" w:sz="0" w:space="0" w:color="auto"/>
        <w:left w:val="none" w:sz="0" w:space="0" w:color="auto"/>
        <w:bottom w:val="none" w:sz="0" w:space="0" w:color="auto"/>
        <w:right w:val="none" w:sz="0" w:space="0" w:color="auto"/>
      </w:divBdr>
    </w:div>
    <w:div w:id="588463974">
      <w:bodyDiv w:val="1"/>
      <w:marLeft w:val="0"/>
      <w:marRight w:val="0"/>
      <w:marTop w:val="0"/>
      <w:marBottom w:val="0"/>
      <w:divBdr>
        <w:top w:val="none" w:sz="0" w:space="0" w:color="auto"/>
        <w:left w:val="none" w:sz="0" w:space="0" w:color="auto"/>
        <w:bottom w:val="none" w:sz="0" w:space="0" w:color="auto"/>
        <w:right w:val="none" w:sz="0" w:space="0" w:color="auto"/>
      </w:divBdr>
    </w:div>
    <w:div w:id="879320415">
      <w:bodyDiv w:val="1"/>
      <w:marLeft w:val="0"/>
      <w:marRight w:val="0"/>
      <w:marTop w:val="0"/>
      <w:marBottom w:val="0"/>
      <w:divBdr>
        <w:top w:val="none" w:sz="0" w:space="0" w:color="auto"/>
        <w:left w:val="none" w:sz="0" w:space="0" w:color="auto"/>
        <w:bottom w:val="none" w:sz="0" w:space="0" w:color="auto"/>
        <w:right w:val="none" w:sz="0" w:space="0" w:color="auto"/>
      </w:divBdr>
    </w:div>
    <w:div w:id="1171263657">
      <w:bodyDiv w:val="1"/>
      <w:marLeft w:val="0"/>
      <w:marRight w:val="0"/>
      <w:marTop w:val="0"/>
      <w:marBottom w:val="0"/>
      <w:divBdr>
        <w:top w:val="none" w:sz="0" w:space="0" w:color="auto"/>
        <w:left w:val="none" w:sz="0" w:space="0" w:color="auto"/>
        <w:bottom w:val="none" w:sz="0" w:space="0" w:color="auto"/>
        <w:right w:val="none" w:sz="0" w:space="0" w:color="auto"/>
      </w:divBdr>
    </w:div>
    <w:div w:id="1236404186">
      <w:bodyDiv w:val="1"/>
      <w:marLeft w:val="0"/>
      <w:marRight w:val="0"/>
      <w:marTop w:val="0"/>
      <w:marBottom w:val="0"/>
      <w:divBdr>
        <w:top w:val="none" w:sz="0" w:space="0" w:color="auto"/>
        <w:left w:val="none" w:sz="0" w:space="0" w:color="auto"/>
        <w:bottom w:val="none" w:sz="0" w:space="0" w:color="auto"/>
        <w:right w:val="none" w:sz="0" w:space="0" w:color="auto"/>
      </w:divBdr>
    </w:div>
    <w:div w:id="1373308368">
      <w:bodyDiv w:val="1"/>
      <w:marLeft w:val="0"/>
      <w:marRight w:val="0"/>
      <w:marTop w:val="0"/>
      <w:marBottom w:val="0"/>
      <w:divBdr>
        <w:top w:val="none" w:sz="0" w:space="0" w:color="auto"/>
        <w:left w:val="none" w:sz="0" w:space="0" w:color="auto"/>
        <w:bottom w:val="none" w:sz="0" w:space="0" w:color="auto"/>
        <w:right w:val="none" w:sz="0" w:space="0" w:color="auto"/>
      </w:divBdr>
    </w:div>
    <w:div w:id="1491797596">
      <w:bodyDiv w:val="1"/>
      <w:marLeft w:val="0"/>
      <w:marRight w:val="0"/>
      <w:marTop w:val="0"/>
      <w:marBottom w:val="0"/>
      <w:divBdr>
        <w:top w:val="none" w:sz="0" w:space="0" w:color="auto"/>
        <w:left w:val="none" w:sz="0" w:space="0" w:color="auto"/>
        <w:bottom w:val="none" w:sz="0" w:space="0" w:color="auto"/>
        <w:right w:val="none" w:sz="0" w:space="0" w:color="auto"/>
      </w:divBdr>
    </w:div>
    <w:div w:id="1547645175">
      <w:bodyDiv w:val="1"/>
      <w:marLeft w:val="0"/>
      <w:marRight w:val="0"/>
      <w:marTop w:val="0"/>
      <w:marBottom w:val="0"/>
      <w:divBdr>
        <w:top w:val="none" w:sz="0" w:space="0" w:color="auto"/>
        <w:left w:val="none" w:sz="0" w:space="0" w:color="auto"/>
        <w:bottom w:val="none" w:sz="0" w:space="0" w:color="auto"/>
        <w:right w:val="none" w:sz="0" w:space="0" w:color="auto"/>
      </w:divBdr>
    </w:div>
    <w:div w:id="1667592134">
      <w:bodyDiv w:val="1"/>
      <w:marLeft w:val="0"/>
      <w:marRight w:val="0"/>
      <w:marTop w:val="0"/>
      <w:marBottom w:val="0"/>
      <w:divBdr>
        <w:top w:val="none" w:sz="0" w:space="0" w:color="auto"/>
        <w:left w:val="none" w:sz="0" w:space="0" w:color="auto"/>
        <w:bottom w:val="none" w:sz="0" w:space="0" w:color="auto"/>
        <w:right w:val="none" w:sz="0" w:space="0" w:color="auto"/>
      </w:divBdr>
    </w:div>
    <w:div w:id="1955286723">
      <w:bodyDiv w:val="1"/>
      <w:marLeft w:val="0"/>
      <w:marRight w:val="0"/>
      <w:marTop w:val="0"/>
      <w:marBottom w:val="0"/>
      <w:divBdr>
        <w:top w:val="none" w:sz="0" w:space="0" w:color="auto"/>
        <w:left w:val="none" w:sz="0" w:space="0" w:color="auto"/>
        <w:bottom w:val="none" w:sz="0" w:space="0" w:color="auto"/>
        <w:right w:val="none" w:sz="0" w:space="0" w:color="auto"/>
      </w:divBdr>
    </w:div>
    <w:div w:id="2038308005">
      <w:bodyDiv w:val="1"/>
      <w:marLeft w:val="0"/>
      <w:marRight w:val="0"/>
      <w:marTop w:val="0"/>
      <w:marBottom w:val="0"/>
      <w:divBdr>
        <w:top w:val="none" w:sz="0" w:space="0" w:color="auto"/>
        <w:left w:val="none" w:sz="0" w:space="0" w:color="auto"/>
        <w:bottom w:val="none" w:sz="0" w:space="0" w:color="auto"/>
        <w:right w:val="none" w:sz="0" w:space="0" w:color="auto"/>
      </w:divBdr>
    </w:div>
    <w:div w:id="2078436409">
      <w:bodyDiv w:val="1"/>
      <w:marLeft w:val="0"/>
      <w:marRight w:val="0"/>
      <w:marTop w:val="0"/>
      <w:marBottom w:val="0"/>
      <w:divBdr>
        <w:top w:val="none" w:sz="0" w:space="0" w:color="auto"/>
        <w:left w:val="none" w:sz="0" w:space="0" w:color="auto"/>
        <w:bottom w:val="none" w:sz="0" w:space="0" w:color="auto"/>
        <w:right w:val="none" w:sz="0" w:space="0" w:color="auto"/>
      </w:divBdr>
    </w:div>
    <w:div w:id="2124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57DA-243F-497A-9225-8546BB71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4</DocSecurity>
  <Lines>10</Lines>
  <Paragraphs>2</Paragraphs>
  <ScaleCrop>false</ScaleCrop>
  <Company>Microsoft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崔君仪（业务发展部）</dc:creator>
  <cp:lastModifiedBy>ZHONGM</cp:lastModifiedBy>
  <cp:revision>2</cp:revision>
  <cp:lastPrinted>2022-08-22T11:25:00Z</cp:lastPrinted>
  <dcterms:created xsi:type="dcterms:W3CDTF">2025-02-21T16:00:00Z</dcterms:created>
  <dcterms:modified xsi:type="dcterms:W3CDTF">2025-02-21T16:00:00Z</dcterms:modified>
</cp:coreProperties>
</file>