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31D88" w:rsidRDefault="00A31D88">
      <w:pPr>
        <w:pStyle w:val="XBRL2"/>
        <w:spacing w:before="156"/>
        <w:rPr>
          <w:lang w:eastAsia="zh-CN"/>
        </w:rPr>
      </w:pPr>
      <w:bookmarkStart w:id="0" w:name="_Toc510201001"/>
      <w:bookmarkEnd w:id="0"/>
      <w:r>
        <w:rPr>
          <w:lang w:eastAsia="zh-CN"/>
        </w:rPr>
        <w:t xml:space="preserve">　</w:t>
      </w:r>
      <w:r>
        <w:rPr>
          <w:lang w:eastAsia="zh-CN"/>
        </w:rPr>
        <w:t xml:space="preserve"> </w:t>
      </w:r>
    </w:p>
    <w:p w:rsidR="00A31D88" w:rsidRDefault="00A31D88">
      <w:pPr>
        <w:jc w:val="center"/>
      </w:pPr>
      <w:r>
        <w:rPr>
          <w:rFonts w:cs="Times New Roman" w:hint="eastAsia"/>
          <w:b/>
          <w:sz w:val="48"/>
          <w:szCs w:val="48"/>
        </w:rPr>
        <w:t>银河睿鑫纯债债券型证券投资基金分红公告</w:t>
      </w:r>
    </w:p>
    <w:p w:rsidR="00A31D88" w:rsidRDefault="00A31D88">
      <w:pPr>
        <w:spacing w:line="560" w:lineRule="exact"/>
        <w:jc w:val="center"/>
        <w:rPr>
          <w:rFonts w:hint="eastAsia"/>
          <w:color w:val="000000"/>
          <w:kern w:val="0"/>
          <w:sz w:val="18"/>
        </w:rPr>
      </w:pPr>
      <w:r>
        <w:rPr>
          <w:rFonts w:hint="eastAsia"/>
          <w:color w:val="000000"/>
          <w:kern w:val="0"/>
          <w:sz w:val="18"/>
        </w:rPr>
        <w:t xml:space="preserve">　 </w:t>
      </w:r>
    </w:p>
    <w:p w:rsidR="00A31D88" w:rsidRDefault="00A31D88">
      <w:pPr>
        <w:spacing w:line="560" w:lineRule="exact"/>
        <w:jc w:val="center"/>
        <w:rPr>
          <w:rFonts w:hint="eastAsia"/>
          <w:color w:val="000000"/>
          <w:kern w:val="0"/>
          <w:sz w:val="18"/>
        </w:rPr>
      </w:pPr>
      <w:r>
        <w:rPr>
          <w:rFonts w:hint="eastAsia"/>
          <w:color w:val="000000"/>
          <w:kern w:val="0"/>
          <w:sz w:val="18"/>
        </w:rPr>
        <w:t xml:space="preserve">　 </w:t>
      </w:r>
    </w:p>
    <w:p w:rsidR="00A31D88" w:rsidRDefault="00A31D88">
      <w:pPr>
        <w:spacing w:line="560" w:lineRule="exact"/>
        <w:jc w:val="center"/>
        <w:rPr>
          <w:rFonts w:hint="eastAsia"/>
          <w:color w:val="000000"/>
          <w:kern w:val="0"/>
          <w:sz w:val="18"/>
        </w:rPr>
      </w:pPr>
      <w:r>
        <w:rPr>
          <w:rFonts w:hint="eastAsia"/>
          <w:color w:val="000000"/>
          <w:kern w:val="0"/>
          <w:sz w:val="18"/>
        </w:rPr>
        <w:t xml:space="preserve">　 </w:t>
      </w:r>
    </w:p>
    <w:p w:rsidR="00A31D88" w:rsidRDefault="00A31D88">
      <w:pPr>
        <w:spacing w:line="560" w:lineRule="exact"/>
        <w:jc w:val="center"/>
        <w:rPr>
          <w:rFonts w:hint="eastAsia"/>
          <w:color w:val="000000"/>
          <w:kern w:val="0"/>
          <w:sz w:val="18"/>
        </w:rPr>
      </w:pPr>
      <w:r>
        <w:rPr>
          <w:rFonts w:hint="eastAsia"/>
          <w:color w:val="000000"/>
          <w:kern w:val="0"/>
          <w:sz w:val="18"/>
        </w:rPr>
        <w:t xml:space="preserve">　 </w:t>
      </w:r>
    </w:p>
    <w:p w:rsidR="00A31D88" w:rsidRDefault="00A31D88">
      <w:pPr>
        <w:spacing w:line="560" w:lineRule="exact"/>
        <w:jc w:val="center"/>
        <w:rPr>
          <w:rFonts w:hint="eastAsia"/>
          <w:color w:val="000000"/>
          <w:kern w:val="0"/>
          <w:sz w:val="18"/>
        </w:rPr>
      </w:pPr>
      <w:r>
        <w:rPr>
          <w:rFonts w:hint="eastAsia"/>
          <w:color w:val="000000"/>
          <w:kern w:val="0"/>
          <w:sz w:val="18"/>
        </w:rPr>
        <w:t xml:space="preserve">　 </w:t>
      </w:r>
    </w:p>
    <w:p w:rsidR="00A31D88" w:rsidRDefault="00A31D88">
      <w:pPr>
        <w:spacing w:line="560" w:lineRule="exact"/>
        <w:jc w:val="center"/>
        <w:rPr>
          <w:rFonts w:hint="eastAsia"/>
          <w:color w:val="000000"/>
          <w:kern w:val="0"/>
          <w:sz w:val="18"/>
        </w:rPr>
      </w:pPr>
      <w:r>
        <w:rPr>
          <w:rFonts w:hint="eastAsia"/>
          <w:color w:val="000000"/>
          <w:kern w:val="0"/>
          <w:sz w:val="18"/>
        </w:rPr>
        <w:t xml:space="preserve">　 </w:t>
      </w:r>
    </w:p>
    <w:p w:rsidR="00A31D88" w:rsidRDefault="00A31D88">
      <w:pPr>
        <w:spacing w:line="560" w:lineRule="exact"/>
        <w:jc w:val="center"/>
        <w:rPr>
          <w:rFonts w:hint="eastAsia"/>
          <w:color w:val="000000"/>
          <w:kern w:val="0"/>
          <w:sz w:val="18"/>
        </w:rPr>
      </w:pPr>
      <w:r>
        <w:rPr>
          <w:rFonts w:hint="eastAsia"/>
          <w:color w:val="000000"/>
          <w:kern w:val="0"/>
          <w:sz w:val="18"/>
        </w:rPr>
        <w:t xml:space="preserve">　 </w:t>
      </w:r>
    </w:p>
    <w:p w:rsidR="00A31D88" w:rsidRDefault="00A31D88">
      <w:pPr>
        <w:spacing w:line="560" w:lineRule="exact"/>
        <w:jc w:val="center"/>
        <w:rPr>
          <w:rFonts w:hint="eastAsia"/>
          <w:color w:val="000000"/>
          <w:kern w:val="0"/>
          <w:sz w:val="18"/>
        </w:rPr>
      </w:pPr>
      <w:r>
        <w:rPr>
          <w:rFonts w:hint="eastAsia"/>
          <w:color w:val="000000"/>
          <w:kern w:val="0"/>
          <w:sz w:val="18"/>
        </w:rPr>
        <w:t xml:space="preserve">　 </w:t>
      </w:r>
    </w:p>
    <w:p w:rsidR="00A31D88" w:rsidRDefault="00A31D88">
      <w:pPr>
        <w:spacing w:line="560" w:lineRule="exact"/>
        <w:jc w:val="center"/>
        <w:rPr>
          <w:rFonts w:hint="eastAsia"/>
          <w:color w:val="000000"/>
          <w:kern w:val="0"/>
          <w:sz w:val="18"/>
        </w:rPr>
      </w:pPr>
      <w:r>
        <w:rPr>
          <w:rFonts w:hint="eastAsia"/>
          <w:color w:val="000000"/>
          <w:kern w:val="0"/>
          <w:sz w:val="18"/>
        </w:rPr>
        <w:t xml:space="preserve">　 </w:t>
      </w:r>
    </w:p>
    <w:p w:rsidR="00A31D88" w:rsidRDefault="00A31D88">
      <w:pPr>
        <w:spacing w:line="560" w:lineRule="exact"/>
        <w:jc w:val="center"/>
        <w:rPr>
          <w:rFonts w:hint="eastAsia"/>
          <w:color w:val="000000"/>
          <w:kern w:val="0"/>
          <w:sz w:val="18"/>
        </w:rPr>
      </w:pPr>
      <w:r>
        <w:rPr>
          <w:rFonts w:hint="eastAsia"/>
          <w:color w:val="000000"/>
          <w:kern w:val="0"/>
          <w:sz w:val="18"/>
        </w:rPr>
        <w:t xml:space="preserve">　 </w:t>
      </w:r>
    </w:p>
    <w:p w:rsidR="00A31D88" w:rsidRDefault="00A31D88">
      <w:pPr>
        <w:spacing w:line="560" w:lineRule="exact"/>
        <w:jc w:val="center"/>
        <w:rPr>
          <w:rFonts w:hint="eastAsia"/>
          <w:color w:val="000000"/>
          <w:kern w:val="0"/>
          <w:sz w:val="18"/>
        </w:rPr>
      </w:pPr>
      <w:r>
        <w:rPr>
          <w:rFonts w:hint="eastAsia"/>
          <w:color w:val="000000"/>
          <w:kern w:val="0"/>
          <w:sz w:val="18"/>
        </w:rPr>
        <w:t xml:space="preserve">　 </w:t>
      </w:r>
    </w:p>
    <w:p w:rsidR="00A31D88" w:rsidRDefault="00A31D88">
      <w:pPr>
        <w:spacing w:line="560" w:lineRule="exact"/>
        <w:jc w:val="center"/>
        <w:rPr>
          <w:rFonts w:hint="eastAsia"/>
          <w:color w:val="000000"/>
          <w:kern w:val="0"/>
          <w:sz w:val="18"/>
        </w:rPr>
      </w:pPr>
      <w:r>
        <w:rPr>
          <w:rFonts w:hint="eastAsia"/>
          <w:color w:val="000000"/>
          <w:kern w:val="0"/>
          <w:sz w:val="18"/>
        </w:rPr>
        <w:t xml:space="preserve">　 </w:t>
      </w:r>
    </w:p>
    <w:p w:rsidR="00A31D88" w:rsidRDefault="00A31D88">
      <w:pPr>
        <w:spacing w:line="560" w:lineRule="exact"/>
        <w:jc w:val="center"/>
        <w:rPr>
          <w:rFonts w:hint="eastAsia"/>
          <w:color w:val="000000"/>
          <w:kern w:val="0"/>
          <w:sz w:val="18"/>
        </w:rPr>
      </w:pPr>
      <w:r>
        <w:rPr>
          <w:rFonts w:hint="eastAsia"/>
          <w:color w:val="000000"/>
          <w:kern w:val="0"/>
          <w:sz w:val="18"/>
        </w:rPr>
        <w:t xml:space="preserve">　 </w:t>
      </w:r>
    </w:p>
    <w:p w:rsidR="00A31D88" w:rsidRDefault="00A31D88">
      <w:pPr>
        <w:spacing w:line="360" w:lineRule="auto"/>
        <w:jc w:val="center"/>
        <w:rPr>
          <w:rFonts w:hint="eastAsia"/>
        </w:rPr>
      </w:pPr>
      <w:r>
        <w:rPr>
          <w:rFonts w:hint="eastAsia"/>
          <w:b/>
          <w:bCs/>
          <w:sz w:val="24"/>
          <w:szCs w:val="30"/>
        </w:rPr>
        <w:t>公告送出日期：2025年2月22日</w:t>
      </w:r>
    </w:p>
    <w:p w:rsidR="00A31D88" w:rsidRDefault="00A31D88">
      <w:pPr>
        <w:pStyle w:val="XBRLTitle1"/>
        <w:spacing w:before="156"/>
        <w:ind w:left="425"/>
        <w:jc w:val="left"/>
        <w:rPr>
          <w:rFonts w:hint="eastAsia"/>
        </w:rPr>
      </w:pPr>
      <w:r>
        <w:rPr>
          <w:rFonts w:hint="eastAsia"/>
          <w:b w:val="0"/>
          <w:bCs w:val="0"/>
          <w:color w:val="404040"/>
          <w:kern w:val="0"/>
        </w:rPr>
        <w:br w:type="page"/>
      </w:r>
      <w:bookmarkStart w:id="1" w:name="_Toc34322059"/>
      <w:bookmarkStart w:id="2" w:name="_Toc513295892"/>
      <w:bookmarkStart w:id="3" w:name="_Toc513295846"/>
      <w:bookmarkStart w:id="4" w:name="_Toc490050000"/>
      <w:bookmarkStart w:id="5" w:name="_Toc438646451"/>
      <w:bookmarkStart w:id="6" w:name="_Toc481075046"/>
      <w:bookmarkStart w:id="7" w:name="_Toc512519480"/>
      <w:bookmarkStart w:id="8" w:name="_Toc17897936"/>
      <w:bookmarkStart w:id="9" w:name="_Toc17898178"/>
      <w:bookmarkStart w:id="10" w:name="m101"/>
      <w:bookmarkStart w:id="11" w:name="_Toc194311890"/>
      <w:bookmarkStart w:id="12" w:name="m01_01"/>
      <w:r>
        <w:rPr>
          <w:rFonts w:hint="eastAsia"/>
          <w:szCs w:val="24"/>
        </w:rPr>
        <w:t>公告基本信息</w:t>
      </w:r>
      <w:bookmarkEnd w:id="1"/>
      <w:bookmarkEnd w:id="2"/>
      <w:bookmarkEnd w:id="3"/>
      <w:bookmarkEnd w:id="4"/>
      <w:bookmarkEnd w:id="5"/>
      <w:bookmarkEnd w:id="6"/>
      <w:bookmarkEnd w:id="7"/>
      <w:bookmarkEnd w:id="8"/>
      <w:bookmarkEnd w:id="9"/>
      <w:r>
        <w:rPr>
          <w:rFonts w:hint="eastAsia"/>
          <w:szCs w:val="24"/>
        </w:rPr>
        <w:t xml:space="preserve"> </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53"/>
        <w:gridCol w:w="3824"/>
        <w:gridCol w:w="3143"/>
      </w:tblGrid>
      <w:tr w:rsidR="00A31D88">
        <w:trPr>
          <w:divId w:val="1624310369"/>
        </w:trPr>
        <w:tc>
          <w:tcPr>
            <w:tcW w:w="5679" w:type="dxa"/>
            <w:gridSpan w:val="2"/>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 xml:space="preserve">基金名称 </w:t>
            </w:r>
          </w:p>
        </w:tc>
        <w:tc>
          <w:tcPr>
            <w:tcW w:w="3144" w:type="dxa"/>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银河睿鑫纯债债券型证券投资基金</w:t>
            </w:r>
          </w:p>
        </w:tc>
      </w:tr>
      <w:tr w:rsidR="00A31D88">
        <w:trPr>
          <w:divId w:val="1624310369"/>
        </w:trPr>
        <w:tc>
          <w:tcPr>
            <w:tcW w:w="5679" w:type="dxa"/>
            <w:gridSpan w:val="2"/>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 xml:space="preserve">基金简称 </w:t>
            </w:r>
          </w:p>
        </w:tc>
        <w:tc>
          <w:tcPr>
            <w:tcW w:w="3144" w:type="dxa"/>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银河睿鑫债券</w:t>
            </w:r>
          </w:p>
        </w:tc>
      </w:tr>
      <w:tr w:rsidR="00A31D88">
        <w:trPr>
          <w:divId w:val="1624310369"/>
        </w:trPr>
        <w:tc>
          <w:tcPr>
            <w:tcW w:w="5679" w:type="dxa"/>
            <w:gridSpan w:val="2"/>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 xml:space="preserve">基金主代码 </w:t>
            </w:r>
          </w:p>
        </w:tc>
        <w:tc>
          <w:tcPr>
            <w:tcW w:w="3144" w:type="dxa"/>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007406</w:t>
            </w:r>
          </w:p>
        </w:tc>
      </w:tr>
      <w:tr w:rsidR="00A31D88">
        <w:trPr>
          <w:divId w:val="1624310369"/>
        </w:trPr>
        <w:tc>
          <w:tcPr>
            <w:tcW w:w="5679" w:type="dxa"/>
            <w:gridSpan w:val="2"/>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 xml:space="preserve">基金合同生效日 </w:t>
            </w:r>
          </w:p>
        </w:tc>
        <w:tc>
          <w:tcPr>
            <w:tcW w:w="3144" w:type="dxa"/>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2019年12月26日</w:t>
            </w:r>
          </w:p>
        </w:tc>
      </w:tr>
      <w:tr w:rsidR="00A31D88">
        <w:trPr>
          <w:divId w:val="1624310369"/>
        </w:trPr>
        <w:tc>
          <w:tcPr>
            <w:tcW w:w="5679" w:type="dxa"/>
            <w:gridSpan w:val="2"/>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 xml:space="preserve">基金管理人名称 </w:t>
            </w:r>
          </w:p>
        </w:tc>
        <w:tc>
          <w:tcPr>
            <w:tcW w:w="3144" w:type="dxa"/>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银河基金管理有限公司</w:t>
            </w:r>
          </w:p>
        </w:tc>
      </w:tr>
      <w:tr w:rsidR="00A31D88">
        <w:trPr>
          <w:divId w:val="1624310369"/>
        </w:trPr>
        <w:tc>
          <w:tcPr>
            <w:tcW w:w="5679" w:type="dxa"/>
            <w:gridSpan w:val="2"/>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 xml:space="preserve">基金托管人名称 </w:t>
            </w:r>
          </w:p>
        </w:tc>
        <w:tc>
          <w:tcPr>
            <w:tcW w:w="3144" w:type="dxa"/>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交通银行股份有限公司</w:t>
            </w:r>
          </w:p>
        </w:tc>
      </w:tr>
      <w:tr w:rsidR="00A31D88">
        <w:trPr>
          <w:divId w:val="1624310369"/>
        </w:trPr>
        <w:tc>
          <w:tcPr>
            <w:tcW w:w="5679" w:type="dxa"/>
            <w:gridSpan w:val="2"/>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 xml:space="preserve">公告依据 </w:t>
            </w:r>
          </w:p>
        </w:tc>
        <w:tc>
          <w:tcPr>
            <w:tcW w:w="3144" w:type="dxa"/>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《公开募集证券投资基金信息披露管理办法》、《银河睿鑫纯债债券型证券投资基金基金合同》、《银河睿鑫纯债债券型证券投资基金招募说明书》及更新</w:t>
            </w:r>
          </w:p>
        </w:tc>
      </w:tr>
      <w:tr w:rsidR="00A31D88">
        <w:trPr>
          <w:divId w:val="1624310369"/>
        </w:trPr>
        <w:tc>
          <w:tcPr>
            <w:tcW w:w="5679" w:type="dxa"/>
            <w:gridSpan w:val="2"/>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 xml:space="preserve">收益分配基准日 </w:t>
            </w:r>
          </w:p>
        </w:tc>
        <w:tc>
          <w:tcPr>
            <w:tcW w:w="3144" w:type="dxa"/>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2025年2月17日</w:t>
            </w:r>
          </w:p>
        </w:tc>
      </w:tr>
      <w:tr w:rsidR="00A31D88">
        <w:trPr>
          <w:divId w:val="1624310369"/>
        </w:trPr>
        <w:tc>
          <w:tcPr>
            <w:tcW w:w="1854" w:type="dxa"/>
            <w:vMerge w:val="restart"/>
            <w:tcBorders>
              <w:top w:val="single" w:sz="4" w:space="0" w:color="auto"/>
              <w:left w:val="single" w:sz="4" w:space="0" w:color="auto"/>
              <w:bottom w:val="single" w:sz="4" w:space="0" w:color="auto"/>
              <w:right w:val="single" w:sz="4" w:space="0" w:color="auto"/>
            </w:tcBorders>
            <w:vAlign w:val="center"/>
            <w:hideMark/>
          </w:tcPr>
          <w:p w:rsidR="00A31D88" w:rsidRDefault="00A31D88">
            <w:pPr>
              <w:rPr>
                <w:rFonts w:hint="eastAsia"/>
              </w:rPr>
            </w:pPr>
            <w:r>
              <w:rPr>
                <w:rFonts w:hint="eastAsia"/>
                <w:szCs w:val="21"/>
              </w:rPr>
              <w:t xml:space="preserve">截止收益分配基准日的相关指标 </w:t>
            </w:r>
          </w:p>
        </w:tc>
        <w:tc>
          <w:tcPr>
            <w:tcW w:w="3825" w:type="dxa"/>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 xml:space="preserve">基准日基金份额净值（单位： 人民币元） </w:t>
            </w:r>
          </w:p>
        </w:tc>
        <w:tc>
          <w:tcPr>
            <w:tcW w:w="3144" w:type="dxa"/>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1.0663</w:t>
            </w:r>
          </w:p>
        </w:tc>
      </w:tr>
      <w:tr w:rsidR="00A31D88">
        <w:trPr>
          <w:divId w:val="1624310369"/>
        </w:trPr>
        <w:tc>
          <w:tcPr>
            <w:tcW w:w="5679" w:type="dxa"/>
            <w:vMerge/>
            <w:tcBorders>
              <w:top w:val="single" w:sz="4" w:space="0" w:color="auto"/>
              <w:left w:val="single" w:sz="4" w:space="0" w:color="auto"/>
              <w:bottom w:val="single" w:sz="4" w:space="0" w:color="auto"/>
              <w:right w:val="single" w:sz="4" w:space="0" w:color="auto"/>
            </w:tcBorders>
            <w:vAlign w:val="center"/>
            <w:hideMark/>
          </w:tcPr>
          <w:p w:rsidR="00A31D88" w:rsidRDefault="00A31D88">
            <w:pPr>
              <w:widowControl/>
              <w:jc w:val="left"/>
            </w:pPr>
          </w:p>
        </w:tc>
        <w:tc>
          <w:tcPr>
            <w:tcW w:w="3825" w:type="dxa"/>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 xml:space="preserve">基准日基金可供分配利润（单位： 人民币元） </w:t>
            </w:r>
          </w:p>
        </w:tc>
        <w:tc>
          <w:tcPr>
            <w:tcW w:w="3144" w:type="dxa"/>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13,181,658.99</w:t>
            </w:r>
          </w:p>
        </w:tc>
      </w:tr>
      <w:tr w:rsidR="00A31D88">
        <w:trPr>
          <w:divId w:val="1624310369"/>
        </w:trPr>
        <w:tc>
          <w:tcPr>
            <w:tcW w:w="5679" w:type="dxa"/>
            <w:gridSpan w:val="2"/>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 xml:space="preserve">本次分红方案（单位：元/10份基金份额） </w:t>
            </w:r>
          </w:p>
        </w:tc>
        <w:tc>
          <w:tcPr>
            <w:tcW w:w="3144" w:type="dxa"/>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0.4700</w:t>
            </w:r>
          </w:p>
        </w:tc>
      </w:tr>
      <w:tr w:rsidR="00A31D88">
        <w:trPr>
          <w:divId w:val="1624310369"/>
        </w:trPr>
        <w:tc>
          <w:tcPr>
            <w:tcW w:w="5679" w:type="dxa"/>
            <w:gridSpan w:val="2"/>
            <w:tcBorders>
              <w:top w:val="single" w:sz="4" w:space="0" w:color="auto"/>
              <w:left w:val="single" w:sz="4" w:space="0" w:color="auto"/>
              <w:bottom w:val="single" w:sz="4" w:space="0" w:color="auto"/>
              <w:right w:val="single" w:sz="4" w:space="0" w:color="auto"/>
            </w:tcBorders>
            <w:vAlign w:val="center"/>
            <w:hideMark/>
          </w:tcPr>
          <w:p w:rsidR="00A31D88" w:rsidRDefault="00A31D88">
            <w:pPr>
              <w:rPr>
                <w:rFonts w:hint="eastAsia"/>
              </w:rPr>
            </w:pPr>
            <w:r>
              <w:rPr>
                <w:rFonts w:hint="eastAsia"/>
                <w:szCs w:val="21"/>
              </w:rPr>
              <w:t xml:space="preserve">有关年度分红次数的说明 </w:t>
            </w:r>
          </w:p>
        </w:tc>
        <w:tc>
          <w:tcPr>
            <w:tcW w:w="3144" w:type="dxa"/>
            <w:tcBorders>
              <w:top w:val="single" w:sz="4" w:space="0" w:color="auto"/>
              <w:left w:val="single" w:sz="4" w:space="0" w:color="auto"/>
              <w:bottom w:val="single" w:sz="4" w:space="0" w:color="auto"/>
              <w:right w:val="single" w:sz="4" w:space="0" w:color="auto"/>
            </w:tcBorders>
            <w:vAlign w:val="center"/>
            <w:hideMark/>
          </w:tcPr>
          <w:p w:rsidR="00A31D88" w:rsidRDefault="00A31D88">
            <w:pPr>
              <w:rPr>
                <w:rFonts w:hint="eastAsia"/>
              </w:rPr>
            </w:pPr>
            <w:r>
              <w:rPr>
                <w:rFonts w:hint="eastAsia"/>
                <w:szCs w:val="21"/>
              </w:rPr>
              <w:t>2025年度第一次分红</w:t>
            </w:r>
          </w:p>
        </w:tc>
      </w:tr>
    </w:tbl>
    <w:p w:rsidR="00A31D88" w:rsidRDefault="00A31D88">
      <w:pPr>
        <w:pStyle w:val="XBRLTitle1"/>
        <w:spacing w:before="156" w:line="360" w:lineRule="auto"/>
        <w:ind w:left="425"/>
        <w:jc w:val="left"/>
        <w:rPr>
          <w:rFonts w:hint="eastAsia"/>
        </w:rPr>
      </w:pPr>
      <w:bookmarkStart w:id="13" w:name="_Toc34322060"/>
      <w:bookmarkStart w:id="14" w:name="_Toc513295893"/>
      <w:bookmarkStart w:id="15" w:name="_Toc513295847"/>
      <w:bookmarkStart w:id="16" w:name="_Toc490050001"/>
      <w:bookmarkStart w:id="17" w:name="_Toc438646452"/>
      <w:bookmarkStart w:id="18" w:name="_Toc481075047"/>
      <w:bookmarkStart w:id="19" w:name="_Toc512519481"/>
      <w:bookmarkStart w:id="20" w:name="_Toc17897937"/>
      <w:bookmarkStart w:id="21" w:name="_Toc17898179"/>
      <w:r>
        <w:rPr>
          <w:rFonts w:hAnsi="宋体" w:hint="eastAsia"/>
          <w:szCs w:val="24"/>
        </w:rPr>
        <w:t>与分红相关的其他信息</w:t>
      </w:r>
      <w:bookmarkEnd w:id="10"/>
      <w:bookmarkEnd w:id="13"/>
      <w:bookmarkEnd w:id="14"/>
      <w:bookmarkEnd w:id="15"/>
      <w:bookmarkEnd w:id="16"/>
      <w:bookmarkEnd w:id="17"/>
      <w:bookmarkEnd w:id="18"/>
      <w:bookmarkEnd w:id="19"/>
      <w:bookmarkEnd w:id="20"/>
      <w:bookmarkEnd w:id="21"/>
      <w:r>
        <w:rPr>
          <w:rFonts w:hAnsi="宋体" w:hint="eastAsia"/>
          <w:szCs w:val="24"/>
        </w:rPr>
        <w:t xml:space="preserve"> </w:t>
      </w:r>
      <w:bookmarkEnd w:id="11"/>
      <w:bookmarkEnd w:id="12"/>
    </w:p>
    <w:tbl>
      <w:tblPr>
        <w:tblW w:w="8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28"/>
        <w:gridCol w:w="4817"/>
      </w:tblGrid>
      <w:tr w:rsidR="00A31D88">
        <w:trPr>
          <w:divId w:val="796263200"/>
        </w:trPr>
        <w:tc>
          <w:tcPr>
            <w:tcW w:w="3927" w:type="dxa"/>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 xml:space="preserve">权益登记日 </w:t>
            </w:r>
          </w:p>
        </w:tc>
        <w:tc>
          <w:tcPr>
            <w:tcW w:w="4815" w:type="dxa"/>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2025年2月25日</w:t>
            </w:r>
          </w:p>
        </w:tc>
      </w:tr>
      <w:tr w:rsidR="00A31D88">
        <w:trPr>
          <w:divId w:val="796263200"/>
        </w:trPr>
        <w:tc>
          <w:tcPr>
            <w:tcW w:w="3927" w:type="dxa"/>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 xml:space="preserve">除息日 </w:t>
            </w:r>
          </w:p>
        </w:tc>
        <w:tc>
          <w:tcPr>
            <w:tcW w:w="4815" w:type="dxa"/>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2025年2月25日</w:t>
            </w:r>
          </w:p>
        </w:tc>
      </w:tr>
      <w:tr w:rsidR="00A31D88">
        <w:trPr>
          <w:divId w:val="796263200"/>
        </w:trPr>
        <w:tc>
          <w:tcPr>
            <w:tcW w:w="3927" w:type="dxa"/>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 xml:space="preserve">现金红利发放日 </w:t>
            </w:r>
          </w:p>
        </w:tc>
        <w:tc>
          <w:tcPr>
            <w:tcW w:w="4815" w:type="dxa"/>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2025年2月26日</w:t>
            </w:r>
          </w:p>
        </w:tc>
      </w:tr>
      <w:tr w:rsidR="00A31D88">
        <w:trPr>
          <w:divId w:val="796263200"/>
        </w:trPr>
        <w:tc>
          <w:tcPr>
            <w:tcW w:w="3927" w:type="dxa"/>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 xml:space="preserve">分红对象 </w:t>
            </w:r>
          </w:p>
        </w:tc>
        <w:tc>
          <w:tcPr>
            <w:tcW w:w="4815" w:type="dxa"/>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权益登记日在本公司登记在册的本基金全体持有人。</w:t>
            </w:r>
          </w:p>
        </w:tc>
      </w:tr>
      <w:tr w:rsidR="00A31D88">
        <w:trPr>
          <w:divId w:val="796263200"/>
        </w:trPr>
        <w:tc>
          <w:tcPr>
            <w:tcW w:w="3927" w:type="dxa"/>
            <w:tcBorders>
              <w:top w:val="single" w:sz="4" w:space="0" w:color="auto"/>
              <w:left w:val="single" w:sz="4" w:space="0" w:color="auto"/>
              <w:bottom w:val="single" w:sz="4" w:space="0" w:color="auto"/>
              <w:right w:val="single" w:sz="4" w:space="0" w:color="auto"/>
            </w:tcBorders>
            <w:vAlign w:val="center"/>
            <w:hideMark/>
          </w:tcPr>
          <w:p w:rsidR="00A31D88" w:rsidRDefault="00A31D88">
            <w:pPr>
              <w:rPr>
                <w:rFonts w:hint="eastAsia"/>
              </w:rPr>
            </w:pPr>
            <w:r>
              <w:rPr>
                <w:rFonts w:hint="eastAsia"/>
                <w:szCs w:val="21"/>
              </w:rPr>
              <w:t xml:space="preserve">红利再投资相关事项的说明 </w:t>
            </w:r>
          </w:p>
        </w:tc>
        <w:tc>
          <w:tcPr>
            <w:tcW w:w="4815" w:type="dxa"/>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 xml:space="preserve">1.选择红利再投资的投资者红利再投资所得的基金份额将按2025年2月25日的基金份额净值计算确定。 </w:t>
            </w:r>
            <w:r>
              <w:rPr>
                <w:rFonts w:hint="eastAsia"/>
                <w:szCs w:val="21"/>
              </w:rPr>
              <w:br/>
              <w:t xml:space="preserve">2.选择红利再投资方式的投资者其红利再投资所得的基金份额将于2025年2月26日直接计入其基金账户，2025年2月27日起可以查询、赎回。 </w:t>
            </w:r>
            <w:r>
              <w:rPr>
                <w:rFonts w:hint="eastAsia"/>
                <w:szCs w:val="21"/>
              </w:rPr>
              <w:br/>
              <w:t>3.选择现金分红方式的投资者的红利款将于2025年2月26日自基金托管账户划出。</w:t>
            </w:r>
          </w:p>
        </w:tc>
      </w:tr>
      <w:tr w:rsidR="00A31D88">
        <w:trPr>
          <w:divId w:val="796263200"/>
        </w:trPr>
        <w:tc>
          <w:tcPr>
            <w:tcW w:w="3927" w:type="dxa"/>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 xml:space="preserve">税收相关事项的说明 </w:t>
            </w:r>
          </w:p>
        </w:tc>
        <w:tc>
          <w:tcPr>
            <w:tcW w:w="4815" w:type="dxa"/>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根据财政部、国家税务总局的财税字[2002]128号《关于开放式证券投资基金有关税收问题的通知》，基金向投资者分配的基金收益，暂免征收所得税。</w:t>
            </w:r>
          </w:p>
        </w:tc>
      </w:tr>
      <w:tr w:rsidR="00A31D88">
        <w:trPr>
          <w:divId w:val="796263200"/>
        </w:trPr>
        <w:tc>
          <w:tcPr>
            <w:tcW w:w="3927" w:type="dxa"/>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 xml:space="preserve">费用相关事项的说明 </w:t>
            </w:r>
          </w:p>
        </w:tc>
        <w:tc>
          <w:tcPr>
            <w:tcW w:w="4815" w:type="dxa"/>
            <w:tcBorders>
              <w:top w:val="single" w:sz="4" w:space="0" w:color="auto"/>
              <w:left w:val="single" w:sz="4" w:space="0" w:color="auto"/>
              <w:bottom w:val="single" w:sz="4" w:space="0" w:color="auto"/>
              <w:right w:val="single" w:sz="4" w:space="0" w:color="auto"/>
            </w:tcBorders>
            <w:hideMark/>
          </w:tcPr>
          <w:p w:rsidR="00A31D88" w:rsidRDefault="00A31D88">
            <w:pPr>
              <w:rPr>
                <w:rFonts w:hint="eastAsia"/>
              </w:rPr>
            </w:pPr>
            <w:r>
              <w:rPr>
                <w:rFonts w:hint="eastAsia"/>
                <w:szCs w:val="21"/>
              </w:rPr>
              <w:t xml:space="preserve">1.本基金本次分红免收分红手续费。 </w:t>
            </w:r>
            <w:r>
              <w:rPr>
                <w:rFonts w:hint="eastAsia"/>
                <w:szCs w:val="21"/>
              </w:rPr>
              <w:br/>
              <w:t>2.选择红利再投资方式的投资者，其红利再投资所得的基金份额免收申购费用。</w:t>
            </w:r>
          </w:p>
        </w:tc>
      </w:tr>
    </w:tbl>
    <w:p w:rsidR="00A31D88" w:rsidRDefault="00A31D88">
      <w:pPr>
        <w:pStyle w:val="XBRLTitle1"/>
        <w:spacing w:before="156" w:line="360" w:lineRule="auto"/>
        <w:ind w:left="425"/>
        <w:jc w:val="left"/>
        <w:rPr>
          <w:rFonts w:hint="eastAsia"/>
        </w:rPr>
      </w:pPr>
      <w:bookmarkStart w:id="22" w:name="_Toc34322063"/>
      <w:bookmarkStart w:id="23" w:name="_Toc513295941"/>
      <w:bookmarkStart w:id="24" w:name="_Toc513295878"/>
      <w:bookmarkStart w:id="25" w:name="_Toc438646481"/>
      <w:bookmarkStart w:id="26" w:name="_Toc481075097"/>
      <w:bookmarkStart w:id="27" w:name="_Toc490050049"/>
      <w:bookmarkStart w:id="28" w:name="_Toc512519529"/>
      <w:bookmarkStart w:id="29" w:name="_Toc17897969"/>
      <w:bookmarkStart w:id="30" w:name="_Toc17898228"/>
      <w:bookmarkStart w:id="31" w:name="m201_01"/>
      <w:r>
        <w:rPr>
          <w:rFonts w:hAnsi="宋体" w:hint="eastAsia"/>
          <w:szCs w:val="24"/>
        </w:rPr>
        <w:t>其他需要提示的事项</w:t>
      </w:r>
      <w:bookmarkEnd w:id="22"/>
      <w:bookmarkEnd w:id="23"/>
      <w:bookmarkEnd w:id="24"/>
      <w:bookmarkEnd w:id="25"/>
      <w:bookmarkEnd w:id="26"/>
      <w:bookmarkEnd w:id="27"/>
      <w:bookmarkEnd w:id="28"/>
      <w:bookmarkEnd w:id="29"/>
      <w:bookmarkEnd w:id="30"/>
      <w:r>
        <w:rPr>
          <w:rFonts w:hAnsi="宋体" w:hint="eastAsia"/>
          <w:szCs w:val="24"/>
        </w:rPr>
        <w:t xml:space="preserve"> </w:t>
      </w:r>
    </w:p>
    <w:p w:rsidR="00A31D88" w:rsidRDefault="00A31D88">
      <w:pPr>
        <w:spacing w:line="360" w:lineRule="auto"/>
        <w:ind w:firstLineChars="200" w:firstLine="420"/>
        <w:jc w:val="left"/>
        <w:rPr>
          <w:rFonts w:hint="eastAsia"/>
        </w:rPr>
      </w:pPr>
      <w:r>
        <w:rPr>
          <w:rFonts w:hint="eastAsia"/>
          <w:szCs w:val="21"/>
        </w:rPr>
        <w:t>1）权益登记日以后（含权益登记日）申购的基金份额不享有本次分红，而权益登记日申请赎回的基金份额享有本次分红。</w:t>
      </w:r>
      <w:r>
        <w:rPr>
          <w:rFonts w:hint="eastAsia"/>
          <w:szCs w:val="21"/>
        </w:rPr>
        <w:br/>
        <w:t xml:space="preserve">　　2） 基金份额持有人可以在每个基金开放日的交易时间内到基金销售网点选择或更改分红方式，最终分红方式以权益登记日之前的最后一次修改为准，在权益登记日及权益登记日之后的修改对此次分红无效。对于未在权益登记日之前选择具体分红方式的投资者，基金默认的分红方式为现金分红。</w:t>
      </w:r>
      <w:r>
        <w:rPr>
          <w:rFonts w:hint="eastAsia"/>
          <w:szCs w:val="21"/>
        </w:rPr>
        <w:br/>
        <w:t xml:space="preserve">　　3)请投资者到销售网点或通过本公司客户服务中心确认分红方式，若希望更改分红方式的，请于2025年2月25日前（不含2月25日）到基金销售网点办理变更手续。</w:t>
      </w:r>
      <w:r>
        <w:rPr>
          <w:rFonts w:hint="eastAsia"/>
          <w:szCs w:val="21"/>
        </w:rPr>
        <w:br/>
        <w:t xml:space="preserve">　　4)咨询办法</w:t>
      </w:r>
      <w:r>
        <w:rPr>
          <w:rFonts w:hint="eastAsia"/>
          <w:szCs w:val="21"/>
        </w:rPr>
        <w:br/>
        <w:t xml:space="preserve">　　银河基金管理有限公司网站：www.cgf.cn</w:t>
      </w:r>
      <w:r>
        <w:rPr>
          <w:rFonts w:hint="eastAsia"/>
          <w:szCs w:val="21"/>
        </w:rPr>
        <w:br/>
        <w:t xml:space="preserve">　　银河基金管理有限公司客服热线：400-820-0860 </w:t>
      </w:r>
      <w:r>
        <w:rPr>
          <w:rFonts w:hint="eastAsia"/>
          <w:szCs w:val="21"/>
        </w:rPr>
        <w:br/>
        <w:t xml:space="preserve">　　5）其它告知事项</w:t>
      </w:r>
      <w:r>
        <w:rPr>
          <w:rFonts w:hint="eastAsia"/>
          <w:szCs w:val="21"/>
        </w:rPr>
        <w:br/>
        <w:t xml:space="preserve">　　因分红导致的基金净值变化，不会改变基金的风险收益特征，也不会降低基金投资风险或提高基金投资收益。</w:t>
      </w:r>
      <w:r>
        <w:rPr>
          <w:rFonts w:hint="eastAsia"/>
          <w:szCs w:val="21"/>
        </w:rPr>
        <w:br/>
        <w:t xml:space="preserve">　　风险提示：</w:t>
      </w:r>
      <w:r>
        <w:rPr>
          <w:rFonts w:hint="eastAsia"/>
          <w:szCs w:val="21"/>
        </w:rPr>
        <w:br/>
        <w:t xml:space="preserve">　　基金管理人承诺以诚实信用、勤勉尽责的原则管理和运用基金财产，但不保证基金一定盈利，也不保证最低收益。投资者做出投资决策之前，请仔细阅读基金合同、基金招募说明书和基金产品资料概要等产品法律文件，充分认识基金的风险收益特征和产品特性，认真考虑基金存在的各项风险因素，并根据自身的投资目的、投资期限、投资经验、资产状况等因素充分考虑自身的风险承受能力，在了解产品情况及销售适当性意见的基础上，理性判断并谨慎做出投资决策。基金管理人提醒投资者基金投资的“买者自负”原则，在做出投资决策后，基金运营状况与基金净值变化引致的投资风险，由投资者自行负担。基金管理人、基金托管人、基金销售机构及相关机构不对基金投资收益做出任何承诺或保证。</w:t>
      </w:r>
    </w:p>
    <w:p w:rsidR="00A31D88" w:rsidRDefault="00A31D88">
      <w:pPr>
        <w:spacing w:line="360" w:lineRule="auto"/>
        <w:ind w:firstLineChars="600" w:firstLine="1446"/>
        <w:jc w:val="right"/>
        <w:rPr>
          <w:rFonts w:hint="eastAsia"/>
          <w:b/>
          <w:bCs/>
          <w:sz w:val="24"/>
          <w:szCs w:val="30"/>
        </w:rPr>
      </w:pPr>
      <w:r>
        <w:rPr>
          <w:rFonts w:hint="eastAsia"/>
          <w:b/>
          <w:bCs/>
          <w:sz w:val="24"/>
          <w:szCs w:val="30"/>
        </w:rPr>
        <w:t xml:space="preserve">　 </w:t>
      </w:r>
    </w:p>
    <w:p w:rsidR="00A31D88" w:rsidRDefault="00A31D88">
      <w:pPr>
        <w:spacing w:line="360" w:lineRule="auto"/>
        <w:ind w:firstLineChars="600" w:firstLine="1446"/>
        <w:jc w:val="right"/>
        <w:rPr>
          <w:rFonts w:hint="eastAsia"/>
          <w:b/>
          <w:bCs/>
          <w:sz w:val="24"/>
          <w:szCs w:val="30"/>
        </w:rPr>
      </w:pPr>
      <w:r>
        <w:rPr>
          <w:rFonts w:hint="eastAsia"/>
          <w:b/>
          <w:bCs/>
          <w:sz w:val="24"/>
          <w:szCs w:val="30"/>
        </w:rPr>
        <w:t xml:space="preserve">　 </w:t>
      </w:r>
    </w:p>
    <w:p w:rsidR="00A31D88" w:rsidRDefault="00A31D88">
      <w:pPr>
        <w:spacing w:line="360" w:lineRule="auto"/>
        <w:ind w:firstLineChars="600" w:firstLine="1446"/>
        <w:jc w:val="right"/>
        <w:rPr>
          <w:rFonts w:hint="eastAsia"/>
        </w:rPr>
      </w:pPr>
      <w:r>
        <w:rPr>
          <w:rFonts w:hint="eastAsia"/>
          <w:b/>
          <w:bCs/>
          <w:sz w:val="24"/>
          <w:szCs w:val="24"/>
        </w:rPr>
        <w:t>银河基金管理有限公司</w:t>
      </w:r>
    </w:p>
    <w:p w:rsidR="00A31D88" w:rsidRDefault="00A31D88">
      <w:pPr>
        <w:spacing w:line="360" w:lineRule="auto"/>
        <w:ind w:firstLineChars="600" w:firstLine="1446"/>
        <w:jc w:val="right"/>
        <w:rPr>
          <w:rFonts w:hint="eastAsia"/>
        </w:rPr>
      </w:pPr>
      <w:r>
        <w:rPr>
          <w:rFonts w:hint="eastAsia"/>
          <w:b/>
          <w:bCs/>
          <w:sz w:val="24"/>
          <w:szCs w:val="24"/>
        </w:rPr>
        <w:t>2025年2月22日</w:t>
      </w:r>
      <w:bookmarkEnd w:id="31"/>
      <w:r>
        <w:rPr>
          <w:rFonts w:hint="eastAsia"/>
          <w:b/>
          <w:bCs/>
          <w:sz w:val="24"/>
          <w:szCs w:val="24"/>
        </w:rPr>
        <w:t xml:space="preserve"> </w:t>
      </w:r>
    </w:p>
    <w:sectPr w:rsidR="00A31D88">
      <w:headerReference w:type="default" r:id="rId8"/>
      <w:footerReference w:type="default" r:id="rId9"/>
      <w:headerReference w:type="first" r:id="rId10"/>
      <w:footerReference w:type="first" r:id="rId11"/>
      <w:pgSz w:w="11907" w:h="16839"/>
      <w:pgMar w:top="1440" w:right="1531" w:bottom="1134" w:left="1531"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1D88" w:rsidRDefault="00A31D88">
      <w:pPr>
        <w:rPr>
          <w:rFonts w:ascii="Times New Roman" w:hAnsi="Times New Roman" w:cs="Times New Roman"/>
          <w:szCs w:val="21"/>
        </w:rPr>
      </w:pPr>
      <w:r>
        <w:rPr>
          <w:rFonts w:ascii="Times New Roman" w:hAnsi="Times New Roman" w:cs="Times New Roman"/>
          <w:szCs w:val="21"/>
        </w:rPr>
        <w:separator/>
      </w:r>
      <w:r>
        <w:rPr>
          <w:rFonts w:ascii="Times New Roman" w:hAnsi="Times New Roman" w:cs="Times New Roman"/>
          <w:szCs w:val="21"/>
        </w:rPr>
        <w:t xml:space="preserve"> </w:t>
      </w:r>
    </w:p>
  </w:endnote>
  <w:endnote w:type="continuationSeparator" w:id="0">
    <w:p w:rsidR="00A31D88" w:rsidRDefault="00A31D88">
      <w:pPr>
        <w:rPr>
          <w:rFonts w:ascii="Times New Roman" w:hAnsi="Times New Roman" w:cs="Times New Roman"/>
          <w:szCs w:val="21"/>
        </w:rPr>
      </w:pPr>
      <w:r>
        <w:rPr>
          <w:rFonts w:ascii="Times New Roman" w:hAnsi="Times New Roman" w:cs="Times New Roman"/>
          <w:szCs w:val="21"/>
        </w:rPr>
        <w:continuationSeparator/>
      </w:r>
      <w:r>
        <w:rPr>
          <w:rFonts w:ascii="Times New Roman" w:hAnsi="Times New Roman" w:cs="Times New Roman"/>
          <w:szCs w:val="21"/>
        </w:rP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Microsoft YaHei UI">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仿宋">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D88" w:rsidRDefault="00A31D88">
    <w:pPr>
      <w:jc w:val="center"/>
      <w:rPr>
        <w:rFonts w:hint="eastAsia"/>
      </w:rPr>
    </w:pPr>
    <w:r>
      <w:rPr>
        <w:rFonts w:hint="eastAsia"/>
        <w:sz w:val="18"/>
        <w:szCs w:val="18"/>
      </w:rPr>
      <w:t>第</w:t>
    </w:r>
    <w:r>
      <w:rPr>
        <w:rFonts w:hint="eastAsia"/>
      </w:rPr>
      <w:t xml:space="preserve"> </w:t>
    </w:r>
    <w:r>
      <w:rPr>
        <w:rFonts w:hint="eastAsia"/>
        <w:sz w:val="18"/>
        <w:szCs w:val="18"/>
      </w:rPr>
      <w:fldChar w:fldCharType="begin"/>
    </w:r>
    <w:r>
      <w:rPr>
        <w:rFonts w:hint="eastAsia"/>
        <w:sz w:val="18"/>
        <w:szCs w:val="18"/>
      </w:rPr>
      <w:instrText xml:space="preserve"> PAGE </w:instrText>
    </w:r>
    <w:r>
      <w:rPr>
        <w:sz w:val="18"/>
        <w:szCs w:val="18"/>
      </w:rPr>
      <w:fldChar w:fldCharType="separate"/>
    </w:r>
    <w:r>
      <w:rPr>
        <w:rFonts w:hint="eastAsia"/>
        <w:noProof/>
        <w:sz w:val="18"/>
        <w:szCs w:val="18"/>
      </w:rPr>
      <w:t>2</w:t>
    </w:r>
    <w:r>
      <w:rPr>
        <w:rFonts w:hint="eastAsia"/>
      </w:rPr>
      <w:t xml:space="preserve"> </w:t>
    </w:r>
    <w:r>
      <w:rPr>
        <w:rFonts w:hint="eastAsia"/>
        <w:sz w:val="18"/>
        <w:szCs w:val="18"/>
      </w:rPr>
      <w:fldChar w:fldCharType="end"/>
    </w:r>
    <w:r>
      <w:rPr>
        <w:rFonts w:hint="eastAsia"/>
        <w:sz w:val="18"/>
        <w:szCs w:val="18"/>
        <w:lang w:val="zh-CN"/>
      </w:rPr>
      <w:t>页 共</w:t>
    </w:r>
    <w:r>
      <w:rPr>
        <w:rFonts w:hint="eastAsia"/>
      </w:rPr>
      <w:t xml:space="preserve"> </w:t>
    </w:r>
    <w:r>
      <w:rPr>
        <w:rFonts w:hint="eastAsia"/>
        <w:sz w:val="18"/>
        <w:szCs w:val="18"/>
      </w:rPr>
      <w:fldChar w:fldCharType="begin"/>
    </w:r>
    <w:r>
      <w:rPr>
        <w:rFonts w:hint="eastAsia"/>
        <w:sz w:val="18"/>
        <w:szCs w:val="18"/>
      </w:rPr>
      <w:instrText xml:space="preserve"> NUMPAGES  </w:instrText>
    </w:r>
    <w:r>
      <w:rPr>
        <w:sz w:val="18"/>
        <w:szCs w:val="18"/>
      </w:rPr>
      <w:fldChar w:fldCharType="separate"/>
    </w:r>
    <w:r>
      <w:rPr>
        <w:rFonts w:hint="eastAsia"/>
        <w:noProof/>
        <w:sz w:val="18"/>
        <w:szCs w:val="18"/>
      </w:rPr>
      <w:t>2</w:t>
    </w:r>
    <w:r>
      <w:rPr>
        <w:rFonts w:hint="eastAsia"/>
      </w:rPr>
      <w:t xml:space="preserve"> </w:t>
    </w:r>
    <w:r>
      <w:rPr>
        <w:rFonts w:hint="eastAsia"/>
        <w:sz w:val="18"/>
        <w:szCs w:val="18"/>
      </w:rPr>
      <w:fldChar w:fldCharType="end"/>
    </w:r>
    <w:r>
      <w:rPr>
        <w:rFonts w:hint="eastAsia"/>
        <w:sz w:val="18"/>
        <w:szCs w:val="18"/>
      </w:rPr>
      <w:t>页</w:t>
    </w:r>
    <w:r>
      <w:rPr>
        <w:rFonts w:hint="eastAsia"/>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D88" w:rsidRDefault="00A31D88">
    <w:pPr>
      <w:pStyle w:val="aa"/>
      <w:rPr>
        <w:rFonts w:hint="eastAsia"/>
      </w:rPr>
    </w:pPr>
  </w:p>
  <w:p w:rsidR="00A31D88" w:rsidRDefault="00A31D88">
    <w:pPr>
      <w:jc w:val="center"/>
      <w:rPr>
        <w:rFonts w:hint="eastAsia"/>
      </w:rPr>
    </w:pPr>
    <w:r>
      <w:rPr>
        <w:rFonts w:hint="eastAsia"/>
        <w:sz w:val="18"/>
        <w:szCs w:val="18"/>
      </w:rPr>
      <w:t>第</w:t>
    </w:r>
    <w:r>
      <w:rPr>
        <w:rFonts w:hint="eastAsia"/>
      </w:rPr>
      <w:t xml:space="preserve"> </w:t>
    </w:r>
    <w:r>
      <w:rPr>
        <w:rFonts w:hint="eastAsia"/>
        <w:sz w:val="18"/>
        <w:szCs w:val="18"/>
      </w:rPr>
      <w:fldChar w:fldCharType="begin"/>
    </w:r>
    <w:r>
      <w:rPr>
        <w:rFonts w:hint="eastAsia"/>
        <w:sz w:val="18"/>
        <w:szCs w:val="18"/>
      </w:rPr>
      <w:instrText xml:space="preserve"> PAGE </w:instrText>
    </w:r>
    <w:r>
      <w:rPr>
        <w:sz w:val="18"/>
        <w:szCs w:val="18"/>
      </w:rPr>
      <w:fldChar w:fldCharType="separate"/>
    </w:r>
    <w:r>
      <w:rPr>
        <w:rFonts w:hint="eastAsia"/>
        <w:noProof/>
        <w:sz w:val="18"/>
        <w:szCs w:val="18"/>
      </w:rPr>
      <w:t>1</w:t>
    </w:r>
    <w:r>
      <w:rPr>
        <w:rFonts w:hint="eastAsia"/>
      </w:rPr>
      <w:t xml:space="preserve"> </w:t>
    </w:r>
    <w:r>
      <w:rPr>
        <w:rFonts w:hint="eastAsia"/>
        <w:sz w:val="18"/>
        <w:szCs w:val="18"/>
      </w:rPr>
      <w:fldChar w:fldCharType="end"/>
    </w:r>
    <w:r>
      <w:rPr>
        <w:rFonts w:hint="eastAsia"/>
        <w:sz w:val="18"/>
        <w:szCs w:val="18"/>
        <w:lang w:val="zh-CN"/>
      </w:rPr>
      <w:t>页 共</w:t>
    </w:r>
    <w:r>
      <w:rPr>
        <w:rFonts w:hint="eastAsia"/>
      </w:rPr>
      <w:t xml:space="preserve"> </w:t>
    </w:r>
    <w:r>
      <w:rPr>
        <w:rFonts w:hint="eastAsia"/>
        <w:sz w:val="18"/>
        <w:szCs w:val="18"/>
      </w:rPr>
      <w:fldChar w:fldCharType="begin"/>
    </w:r>
    <w:r>
      <w:rPr>
        <w:rFonts w:hint="eastAsia"/>
        <w:sz w:val="18"/>
        <w:szCs w:val="18"/>
      </w:rPr>
      <w:instrText xml:space="preserve"> NUMPAGES  </w:instrText>
    </w:r>
    <w:r>
      <w:rPr>
        <w:sz w:val="18"/>
        <w:szCs w:val="18"/>
      </w:rPr>
      <w:fldChar w:fldCharType="separate"/>
    </w:r>
    <w:r>
      <w:rPr>
        <w:rFonts w:hint="eastAsia"/>
        <w:noProof/>
        <w:sz w:val="18"/>
        <w:szCs w:val="18"/>
      </w:rPr>
      <w:t>2</w:t>
    </w:r>
    <w:r>
      <w:rPr>
        <w:rFonts w:hint="eastAsia"/>
      </w:rPr>
      <w:t xml:space="preserve"> </w:t>
    </w:r>
    <w:r>
      <w:rPr>
        <w:rFonts w:hint="eastAsia"/>
        <w:sz w:val="18"/>
        <w:szCs w:val="18"/>
      </w:rPr>
      <w:fldChar w:fldCharType="end"/>
    </w:r>
    <w:r>
      <w:rPr>
        <w:rFonts w:hint="eastAsia"/>
        <w:sz w:val="18"/>
        <w:szCs w:val="18"/>
      </w:rPr>
      <w:t>页</w:t>
    </w:r>
    <w:r>
      <w:rPr>
        <w:rFonts w:hint="eastAsia"/>
      </w:rPr>
      <w:t xml:space="preserve"> </w:t>
    </w:r>
  </w:p>
  <w:p w:rsidR="00A31D88" w:rsidRDefault="00A31D88">
    <w:pPr>
      <w:pStyle w:val="aa"/>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1D88" w:rsidRDefault="00A31D88">
      <w:pPr>
        <w:rPr>
          <w:rFonts w:ascii="Times New Roman" w:hAnsi="Times New Roman" w:cs="Times New Roman"/>
          <w:szCs w:val="21"/>
        </w:rPr>
      </w:pPr>
      <w:r>
        <w:rPr>
          <w:rFonts w:ascii="Times New Roman" w:hAnsi="Times New Roman" w:cs="Times New Roman"/>
          <w:szCs w:val="21"/>
        </w:rPr>
        <w:separator/>
      </w:r>
      <w:r>
        <w:rPr>
          <w:rFonts w:ascii="Times New Roman" w:hAnsi="Times New Roman" w:cs="Times New Roman"/>
          <w:szCs w:val="21"/>
        </w:rPr>
        <w:t xml:space="preserve"> </w:t>
      </w:r>
    </w:p>
  </w:footnote>
  <w:footnote w:type="continuationSeparator" w:id="0">
    <w:p w:rsidR="00A31D88" w:rsidRDefault="00A31D88">
      <w:pPr>
        <w:rPr>
          <w:rFonts w:ascii="Times New Roman" w:hAnsi="Times New Roman" w:cs="Times New Roman"/>
          <w:szCs w:val="21"/>
        </w:rPr>
      </w:pPr>
      <w:r>
        <w:rPr>
          <w:rFonts w:ascii="Times New Roman" w:hAnsi="Times New Roman" w:cs="Times New Roman"/>
          <w:szCs w:val="21"/>
        </w:rPr>
        <w:continuationSeparator/>
      </w:r>
      <w:r>
        <w:rPr>
          <w:rFonts w:ascii="Times New Roman" w:hAnsi="Times New Roman" w:cs="Times New Roman"/>
          <w:szCs w:val="21"/>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D88" w:rsidRDefault="00A31D88">
    <w:pPr>
      <w:pStyle w:val="a8"/>
      <w:jc w:val="right"/>
    </w:pPr>
    <w:r>
      <w:rPr>
        <w:rFonts w:hint="eastAsia"/>
      </w:rPr>
      <w:t>银河睿鑫纯债债券型证券投资基金分红公告</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D88" w:rsidRDefault="00A31D88">
    <w:pPr>
      <w:pStyle w:val="a8"/>
      <w:jc w:val="right"/>
      <w:rPr>
        <w:rFonts w:hint="eastAsia"/>
      </w:rPr>
    </w:pPr>
    <w:r>
      <w:rPr>
        <w:rFonts w:hint="eastAsia"/>
      </w:rPr>
      <w:t>银河睿鑫纯债债券型证券投资基金分红公告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804A17E2"/>
    <w:lvl w:ilvl="0">
      <w:start w:val="1"/>
      <w:numFmt w:val="decimal"/>
      <w:pStyle w:val="XBRLTitle1"/>
      <w:lvlText w:val="%1."/>
      <w:lvlJc w:val="left"/>
      <w:pPr>
        <w:ind w:left="425" w:hanging="425"/>
      </w:pPr>
      <w:rPr>
        <w:sz w:val="24"/>
        <w:szCs w:val="24"/>
      </w:rPr>
    </w:lvl>
    <w:lvl w:ilvl="1">
      <w:start w:val="1"/>
      <w:numFmt w:val="decimal"/>
      <w:pStyle w:val="XBRLTitle2"/>
      <w:suff w:val="space"/>
      <w:lvlText w:val="%1.%2"/>
      <w:lvlJc w:val="left"/>
      <w:pPr>
        <w:ind w:left="3148" w:hanging="454"/>
      </w:pPr>
    </w:lvl>
    <w:lvl w:ilvl="2">
      <w:start w:val="1"/>
      <w:numFmt w:val="decimal"/>
      <w:pStyle w:val="XBRLTitle3"/>
      <w:suff w:val="space"/>
      <w:lvlText w:val="%1.%2.%3"/>
      <w:lvlJc w:val="left"/>
      <w:pPr>
        <w:ind w:left="1050" w:hanging="624"/>
      </w:pPr>
      <w:rPr>
        <w:sz w:val="24"/>
        <w:szCs w:val="24"/>
      </w:rPr>
    </w:lvl>
    <w:lvl w:ilvl="3">
      <w:start w:val="1"/>
      <w:numFmt w:val="decimal"/>
      <w:suff w:val="space"/>
      <w:lvlText w:val="%1.%2.%3.%4"/>
      <w:lvlJc w:val="left"/>
      <w:pPr>
        <w:ind w:left="794" w:hanging="794"/>
      </w:pPr>
    </w:lvl>
    <w:lvl w:ilvl="4">
      <w:start w:val="1"/>
      <w:numFmt w:val="decimal"/>
      <w:suff w:val="space"/>
      <w:lvlText w:val="%1.%2.%3.%4.%5"/>
      <w:lvlJc w:val="left"/>
      <w:pPr>
        <w:ind w:left="1021" w:hanging="1021"/>
      </w:pPr>
    </w:lvl>
    <w:lvl w:ilvl="5">
      <w:start w:val="1"/>
      <w:numFmt w:val="decimal"/>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0"/>
  <w:mirrorMargins/>
  <w:bordersDoNotSurroundHeader/>
  <w:bordersDoNotSurroundFooter/>
  <w:attachedTemplate r:id="rId1"/>
  <w:doNotTrackMove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307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2001A"/>
    <w:rsid w:val="00A31D88"/>
    <w:rsid w:val="00C2001A"/>
    <w:rsid w:val="00E404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宋体" w:eastAsia="宋体" w:hAnsi="宋体"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uiPriority="0" w:unhideWhenUsed="0"/>
    <w:lsdException w:name="header" w:semiHidden="0" w:unhideWhenUsed="0"/>
    <w:lsdException w:name="footer" w:semiHidden="0" w:unhideWhenUsed="0"/>
    <w:lsdException w:name="caption" w:uiPriority="35" w:qFormat="1"/>
    <w:lsdException w:name="footnote reference" w:semiHidden="0" w:uiPriority="0" w:unhideWhenUsed="0"/>
    <w:lsdException w:name="page number" w:semiHidden="0" w:unhideWhenUsed="0"/>
    <w:lsdException w:name="Title" w:semiHidden="0" w:uiPriority="10" w:unhideWhenUsed="0" w:qFormat="1"/>
    <w:lsdException w:name="Default Paragraph Font" w:semiHidden="0" w:uiPriority="1" w:unhideWhenUsed="0"/>
    <w:lsdException w:name="Subtitle" w:semiHidden="0" w:uiPriority="0" w:unhideWhenUsed="0" w:qFormat="1"/>
    <w:lsdException w:name="Date" w:semiHidden="0" w:uiPriority="0" w:unhideWhenUsed="0"/>
    <w:lsdException w:name="Strong" w:semiHidden="0" w:uiPriority="22" w:unhideWhenUsed="0" w:qFormat="1"/>
    <w:lsdException w:name="Emphasis" w:semiHidden="0" w:uiPriority="20" w:unhideWhenUsed="0" w:qFormat="1"/>
    <w:lsdException w:name="Document Map" w:semiHidden="0" w:uiPriority="0" w:unhideWhenUsed="0"/>
    <w:lsdException w:name="Normal (Web)" w:semiHidden="0" w:uiPriority="0" w:unhideWhenUsed="0"/>
    <w:lsdException w:name="Table Grid" w:uiPriority="59"/>
    <w:lsdException w:name="No Spacing"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宋体"/>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rPr>
  </w:style>
  <w:style w:type="paragraph" w:styleId="2">
    <w:name w:val="heading 2"/>
    <w:basedOn w:val="a"/>
    <w:next w:val="a"/>
    <w:link w:val="21"/>
    <w:uiPriority w:val="9"/>
    <w:qFormat/>
    <w:pPr>
      <w:keepNext/>
      <w:keepLines/>
      <w:spacing w:before="260" w:after="260" w:line="408" w:lineRule="auto"/>
      <w:outlineLvl w:val="1"/>
    </w:pPr>
    <w:rPr>
      <w:rFonts w:ascii="Cambria" w:hAnsi="Cambria"/>
      <w:b/>
      <w:bCs/>
      <w:kern w:val="0"/>
      <w:sz w:val="32"/>
      <w:szCs w:val="32"/>
      <w:lang/>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rPr>
  </w:style>
  <w:style w:type="paragraph" w:styleId="4">
    <w:name w:val="heading 4"/>
    <w:basedOn w:val="a"/>
    <w:next w:val="a"/>
    <w:link w:val="41"/>
    <w:qFormat/>
    <w:pPr>
      <w:keepNext/>
      <w:keepLines/>
      <w:spacing w:before="240" w:after="290" w:line="372" w:lineRule="auto"/>
      <w:outlineLvl w:val="3"/>
    </w:pPr>
    <w:rPr>
      <w:rFonts w:ascii="Cambria" w:hAnsi="Cambria"/>
      <w:b/>
      <w:bCs/>
      <w:kern w:val="0"/>
      <w:sz w:val="24"/>
      <w:szCs w:val="24"/>
      <w:lang/>
    </w:rPr>
  </w:style>
  <w:style w:type="paragraph" w:styleId="5">
    <w:name w:val="heading 5"/>
    <w:basedOn w:val="a"/>
    <w:next w:val="a"/>
    <w:link w:val="51"/>
    <w:uiPriority w:val="9"/>
    <w:semiHidden/>
    <w:unhideWhenUsed/>
    <w:qFormat/>
    <w:pPr>
      <w:keepNext/>
      <w:keepLines/>
      <w:spacing w:before="240" w:after="290" w:line="372" w:lineRule="auto"/>
      <w:outlineLvl w:val="4"/>
    </w:pPr>
    <w:rPr>
      <w:b/>
      <w:bCs/>
      <w:sz w:val="24"/>
      <w:szCs w:val="24"/>
    </w:rPr>
  </w:style>
  <w:style w:type="paragraph" w:styleId="6">
    <w:name w:val="heading 6"/>
    <w:basedOn w:val="a"/>
    <w:next w:val="a"/>
    <w:link w:val="61"/>
    <w:uiPriority w:val="9"/>
    <w:semiHidden/>
    <w:unhideWhenUsed/>
    <w:qFormat/>
    <w:pPr>
      <w:keepNext/>
      <w:keepLines/>
      <w:spacing w:before="240" w:after="64" w:line="312" w:lineRule="auto"/>
      <w:outlineLvl w:val="5"/>
    </w:pPr>
    <w:rPr>
      <w:rFonts w:ascii="Cambria" w:hAnsi="Cambria"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Pr>
      <w:color w:val="0000FF"/>
      <w:u w:val="single"/>
    </w:rPr>
  </w:style>
  <w:style w:type="character" w:styleId="a4">
    <w:name w:val="访问过的超链接"/>
    <w:uiPriority w:val="99"/>
    <w:semiHidden/>
    <w:unhideWhenUsed/>
    <w:rPr>
      <w:color w:val="800080"/>
      <w:u w:val="single"/>
    </w:rPr>
  </w:style>
  <w:style w:type="character" w:customStyle="1" w:styleId="10">
    <w:name w:val="标题 1 字符"/>
    <w:link w:val="1"/>
    <w:uiPriority w:val="9"/>
    <w:locked/>
    <w:rPr>
      <w:b/>
      <w:bCs/>
      <w:kern w:val="44"/>
      <w:sz w:val="44"/>
      <w:szCs w:val="44"/>
    </w:rPr>
  </w:style>
  <w:style w:type="character" w:customStyle="1" w:styleId="20">
    <w:name w:val="标题 2 字符"/>
    <w:link w:val="2"/>
    <w:uiPriority w:val="9"/>
    <w:locked/>
    <w:rPr>
      <w:rFonts w:ascii="Cambria" w:eastAsia="宋体" w:hAnsi="Cambria" w:cs="Times New Roman" w:hint="default"/>
      <w:b/>
      <w:bCs/>
      <w:kern w:val="2"/>
      <w:sz w:val="32"/>
      <w:szCs w:val="32"/>
    </w:rPr>
  </w:style>
  <w:style w:type="character" w:customStyle="1" w:styleId="30">
    <w:name w:val="标题 3 字符"/>
    <w:link w:val="3"/>
    <w:uiPriority w:val="9"/>
    <w:locked/>
    <w:rPr>
      <w:b/>
      <w:bCs/>
      <w:kern w:val="2"/>
      <w:sz w:val="32"/>
      <w:szCs w:val="32"/>
    </w:rPr>
  </w:style>
  <w:style w:type="character" w:customStyle="1" w:styleId="40">
    <w:name w:val="标题 4 字符"/>
    <w:link w:val="4"/>
    <w:locked/>
    <w:rPr>
      <w:rFonts w:ascii="Cambria" w:eastAsia="宋体" w:hAnsi="Cambria" w:cs="Times New Roman" w:hint="default"/>
      <w:b/>
      <w:bCs/>
      <w:kern w:val="2"/>
      <w:sz w:val="24"/>
      <w:szCs w:val="24"/>
    </w:rPr>
  </w:style>
  <w:style w:type="character" w:customStyle="1" w:styleId="50">
    <w:name w:val="标题 5 字符"/>
    <w:link w:val="5"/>
    <w:uiPriority w:val="9"/>
    <w:semiHidden/>
    <w:rPr>
      <w:rFonts w:cs="宋体"/>
      <w:b/>
      <w:bCs/>
      <w:kern w:val="2"/>
      <w:sz w:val="28"/>
      <w:szCs w:val="28"/>
    </w:rPr>
  </w:style>
  <w:style w:type="character" w:customStyle="1" w:styleId="60">
    <w:name w:val="标题 6 字符"/>
    <w:link w:val="6"/>
    <w:uiPriority w:val="9"/>
    <w:semiHidden/>
    <w:rPr>
      <w:rFonts w:ascii="Cambria" w:eastAsia="宋体" w:hAnsi="Cambria" w:cs="Times New Roman"/>
      <w:b/>
      <w:bCs/>
      <w:kern w:val="2"/>
      <w:sz w:val="24"/>
      <w:szCs w:val="24"/>
    </w:rPr>
  </w:style>
  <w:style w:type="paragraph" w:customStyle="1" w:styleId="msonormal0">
    <w:name w:val="msonormal"/>
    <w:basedOn w:val="a"/>
    <w:pPr>
      <w:widowControl/>
      <w:spacing w:before="100" w:beforeAutospacing="1" w:after="100" w:afterAutospacing="1"/>
      <w:jc w:val="left"/>
    </w:pPr>
    <w:rPr>
      <w:kern w:val="0"/>
      <w:sz w:val="24"/>
    </w:rPr>
  </w:style>
  <w:style w:type="paragraph" w:styleId="a5">
    <w:name w:val="Normal (Web)"/>
    <w:basedOn w:val="a"/>
    <w:pPr>
      <w:widowControl/>
      <w:spacing w:before="100" w:beforeAutospacing="1" w:after="100" w:afterAutospacing="1"/>
      <w:jc w:val="left"/>
    </w:pPr>
    <w:rPr>
      <w:kern w:val="0"/>
      <w:sz w:val="24"/>
    </w:rPr>
  </w:style>
  <w:style w:type="paragraph" w:styleId="TOC1">
    <w:name w:val="TOC 1"/>
    <w:basedOn w:val="a"/>
    <w:next w:val="a"/>
    <w:autoRedefine/>
    <w:uiPriority w:val="39"/>
    <w:semiHidden/>
    <w:unhideWhenUsed/>
    <w:pPr>
      <w:tabs>
        <w:tab w:val="right" w:leader="dot" w:pos="8835"/>
      </w:tabs>
    </w:pPr>
    <w:rPr>
      <w:noProof/>
    </w:rPr>
  </w:style>
  <w:style w:type="paragraph" w:styleId="TOC2">
    <w:name w:val="TOC 2"/>
    <w:basedOn w:val="a"/>
    <w:next w:val="a"/>
    <w:autoRedefine/>
    <w:uiPriority w:val="39"/>
    <w:semiHidden/>
    <w:unhideWhenUsed/>
    <w:pPr>
      <w:ind w:leftChars="200" w:left="420"/>
    </w:pPr>
  </w:style>
  <w:style w:type="paragraph" w:styleId="TOC3">
    <w:name w:val="TOC 3"/>
    <w:basedOn w:val="a"/>
    <w:next w:val="a"/>
    <w:autoRedefine/>
    <w:uiPriority w:val="39"/>
    <w:semiHidden/>
    <w:unhideWhenUsed/>
  </w:style>
  <w:style w:type="paragraph" w:styleId="a6">
    <w:name w:val="footnote text"/>
    <w:basedOn w:val="a"/>
    <w:link w:val="12"/>
    <w:pPr>
      <w:snapToGrid w:val="0"/>
      <w:jc w:val="left"/>
    </w:pPr>
    <w:rPr>
      <w:sz w:val="18"/>
      <w:szCs w:val="18"/>
    </w:rPr>
  </w:style>
  <w:style w:type="character" w:customStyle="1" w:styleId="a7">
    <w:name w:val="脚注文本 字符"/>
    <w:link w:val="a6"/>
    <w:locked/>
    <w:rPr>
      <w:kern w:val="2"/>
      <w:sz w:val="18"/>
      <w:szCs w:val="18"/>
    </w:rPr>
  </w:style>
  <w:style w:type="paragraph" w:styleId="a8">
    <w:name w:val="header"/>
    <w:basedOn w:val="a"/>
    <w:link w:val="22"/>
    <w:uiPriority w:val="99"/>
    <w:pPr>
      <w:pBdr>
        <w:bottom w:val="single" w:sz="6" w:space="1" w:color="auto"/>
      </w:pBdr>
      <w:tabs>
        <w:tab w:val="center" w:pos="4153"/>
        <w:tab w:val="right" w:pos="8306"/>
      </w:tabs>
      <w:snapToGrid w:val="0"/>
      <w:jc w:val="center"/>
    </w:pPr>
    <w:rPr>
      <w:sz w:val="18"/>
      <w:szCs w:val="18"/>
    </w:rPr>
  </w:style>
  <w:style w:type="character" w:customStyle="1" w:styleId="a9">
    <w:name w:val="页眉 字符"/>
    <w:link w:val="a8"/>
    <w:uiPriority w:val="99"/>
    <w:locked/>
    <w:rPr>
      <w:kern w:val="2"/>
      <w:sz w:val="18"/>
      <w:szCs w:val="18"/>
    </w:rPr>
  </w:style>
  <w:style w:type="paragraph" w:styleId="aa">
    <w:name w:val="footer"/>
    <w:basedOn w:val="a"/>
    <w:link w:val="13"/>
    <w:uiPriority w:val="99"/>
    <w:pPr>
      <w:tabs>
        <w:tab w:val="center" w:pos="4153"/>
        <w:tab w:val="right" w:pos="8306"/>
      </w:tabs>
      <w:snapToGrid w:val="0"/>
      <w:jc w:val="left"/>
    </w:pPr>
    <w:rPr>
      <w:sz w:val="18"/>
      <w:szCs w:val="18"/>
    </w:rPr>
  </w:style>
  <w:style w:type="character" w:customStyle="1" w:styleId="ab">
    <w:name w:val="页脚 字符"/>
    <w:link w:val="aa"/>
    <w:uiPriority w:val="99"/>
    <w:locked/>
    <w:rPr>
      <w:kern w:val="2"/>
      <w:sz w:val="18"/>
      <w:szCs w:val="18"/>
    </w:rPr>
  </w:style>
  <w:style w:type="paragraph" w:styleId="ac">
    <w:name w:val="Title"/>
    <w:basedOn w:val="1"/>
    <w:next w:val="2"/>
    <w:link w:val="14"/>
    <w:uiPriority w:val="10"/>
    <w:qFormat/>
    <w:pPr>
      <w:keepNext w:val="0"/>
      <w:keepLines w:val="0"/>
      <w:spacing w:before="240" w:after="60" w:line="240" w:lineRule="auto"/>
      <w:jc w:val="center"/>
    </w:pPr>
    <w:rPr>
      <w:rFonts w:ascii="Cambria" w:hAnsi="Cambria"/>
      <w:kern w:val="0"/>
      <w:sz w:val="32"/>
      <w:szCs w:val="32"/>
    </w:rPr>
  </w:style>
  <w:style w:type="character" w:customStyle="1" w:styleId="ad">
    <w:name w:val="标题 字符"/>
    <w:link w:val="ac"/>
    <w:uiPriority w:val="10"/>
    <w:locked/>
    <w:rPr>
      <w:rFonts w:ascii="Cambria" w:eastAsia="宋体" w:hAnsi="Cambria" w:cs="Times New Roman" w:hint="default"/>
      <w:b/>
      <w:bCs/>
      <w:kern w:val="2"/>
      <w:sz w:val="32"/>
      <w:szCs w:val="32"/>
    </w:rPr>
  </w:style>
  <w:style w:type="paragraph" w:styleId="ae">
    <w:name w:val="Subtitle"/>
    <w:basedOn w:val="2"/>
    <w:next w:val="3"/>
    <w:link w:val="15"/>
    <w:qFormat/>
    <w:pPr>
      <w:spacing w:before="240" w:after="60" w:line="312" w:lineRule="auto"/>
      <w:jc w:val="left"/>
    </w:pPr>
    <w:rPr>
      <w:bCs w:val="0"/>
      <w:kern w:val="24"/>
      <w:sz w:val="24"/>
    </w:rPr>
  </w:style>
  <w:style w:type="character" w:customStyle="1" w:styleId="af">
    <w:name w:val="副标题 字符"/>
    <w:link w:val="ae"/>
    <w:locked/>
    <w:rPr>
      <w:rFonts w:ascii="Calibri" w:eastAsia="宋体" w:hAnsi="Calibri" w:cs="Times New Roman" w:hint="default"/>
      <w:b/>
      <w:bCs/>
      <w:kern w:val="24"/>
      <w:sz w:val="32"/>
      <w:szCs w:val="32"/>
    </w:rPr>
  </w:style>
  <w:style w:type="paragraph" w:styleId="af0">
    <w:name w:val="Date"/>
    <w:basedOn w:val="a"/>
    <w:next w:val="a"/>
    <w:link w:val="16"/>
    <w:rPr>
      <w:sz w:val="32"/>
      <w:lang/>
    </w:rPr>
  </w:style>
  <w:style w:type="character" w:customStyle="1" w:styleId="af1">
    <w:name w:val="日期 字符"/>
    <w:link w:val="af0"/>
    <w:locked/>
    <w:rPr>
      <w:kern w:val="2"/>
      <w:sz w:val="21"/>
    </w:rPr>
  </w:style>
  <w:style w:type="paragraph" w:styleId="af2">
    <w:name w:val="Document Map"/>
    <w:basedOn w:val="a"/>
    <w:link w:val="17"/>
    <w:pPr>
      <w:shd w:val="clear" w:color="auto" w:fill="000080"/>
    </w:pPr>
  </w:style>
  <w:style w:type="character" w:customStyle="1" w:styleId="af3">
    <w:name w:val="文档结构图 字符"/>
    <w:link w:val="af2"/>
    <w:locked/>
    <w:rPr>
      <w:rFonts w:ascii="Microsoft YaHei UI" w:eastAsia="Microsoft YaHei UI" w:hAnsi="Microsoft YaHei UI" w:hint="eastAsia"/>
      <w:kern w:val="2"/>
      <w:sz w:val="18"/>
      <w:szCs w:val="18"/>
    </w:rPr>
  </w:style>
  <w:style w:type="paragraph" w:styleId="af4">
    <w:name w:val="Balloon Text"/>
    <w:basedOn w:val="a"/>
    <w:link w:val="18"/>
    <w:uiPriority w:val="99"/>
    <w:semiHidden/>
    <w:unhideWhenUsed/>
    <w:rPr>
      <w:sz w:val="18"/>
      <w:szCs w:val="18"/>
    </w:rPr>
  </w:style>
  <w:style w:type="character" w:customStyle="1" w:styleId="af5">
    <w:name w:val="批注框文本 字符"/>
    <w:link w:val="af4"/>
    <w:uiPriority w:val="99"/>
    <w:semiHidden/>
    <w:locked/>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4"/>
      <w:szCs w:val="24"/>
      <w:lang w:val="en-US" w:eastAsia="zh-CN"/>
    </w:rPr>
  </w:style>
  <w:style w:type="paragraph" w:customStyle="1" w:styleId="XBRLTitle6">
    <w:name w:val="XBRLTitle6"/>
    <w:basedOn w:val="ae"/>
    <w:next w:val="4"/>
    <w:qFormat/>
    <w:pPr>
      <w:numPr>
        <w:ilvl w:val="5"/>
        <w:numId w:val="2"/>
      </w:numPr>
      <w:spacing w:beforeLines="50" w:after="0" w:line="240" w:lineRule="auto"/>
      <w:ind w:left="2042"/>
      <w:outlineLvl w:val="9"/>
    </w:pPr>
    <w:rPr>
      <w:bCs/>
    </w:rPr>
  </w:style>
  <w:style w:type="paragraph" w:customStyle="1" w:styleId="af6">
    <w:name w:val="次标题"/>
    <w:basedOn w:val="3"/>
    <w:next w:val="a"/>
    <w:pPr>
      <w:spacing w:before="120" w:after="120"/>
      <w:jc w:val="left"/>
    </w:pPr>
    <w:rPr>
      <w:sz w:val="21"/>
    </w:rPr>
  </w:style>
  <w:style w:type="paragraph" w:customStyle="1" w:styleId="XBRL6">
    <w:name w:val="XBRL标题6"/>
    <w:basedOn w:val="ae"/>
    <w:next w:val="4"/>
    <w:qFormat/>
    <w:pPr>
      <w:spacing w:beforeLines="50" w:after="0" w:line="240" w:lineRule="auto"/>
      <w:outlineLvl w:val="9"/>
    </w:pPr>
    <w:rPr>
      <w:bCs/>
    </w:rPr>
  </w:style>
  <w:style w:type="paragraph" w:customStyle="1" w:styleId="XBRL2">
    <w:name w:val="XBRL标题2"/>
    <w:basedOn w:val="ae"/>
    <w:next w:val="4"/>
    <w:qFormat/>
    <w:pPr>
      <w:spacing w:beforeLines="50" w:after="0" w:line="240" w:lineRule="auto"/>
    </w:pPr>
    <w:rPr>
      <w:bCs/>
    </w:rPr>
  </w:style>
  <w:style w:type="paragraph" w:customStyle="1" w:styleId="XBRL3">
    <w:name w:val="XBRL标题3"/>
    <w:basedOn w:val="ae"/>
    <w:next w:val="4"/>
    <w:qFormat/>
    <w:pPr>
      <w:spacing w:beforeLines="5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after="0" w:line="240" w:lineRule="auto"/>
      <w:ind w:left="850"/>
      <w:jc w:val="center"/>
    </w:pPr>
    <w:rPr>
      <w:rFonts w:hAnsi="Cambria"/>
      <w:sz w:val="24"/>
    </w:rPr>
  </w:style>
  <w:style w:type="paragraph" w:customStyle="1" w:styleId="XBRLTitle2">
    <w:name w:val="XBRLTitle2"/>
    <w:basedOn w:val="ae"/>
    <w:next w:val="4"/>
    <w:qFormat/>
    <w:pPr>
      <w:keepNext w:val="0"/>
      <w:keepLines w:val="0"/>
      <w:numPr>
        <w:ilvl w:val="1"/>
        <w:numId w:val="2"/>
      </w:numPr>
      <w:spacing w:beforeLines="50" w:after="0" w:line="240" w:lineRule="auto"/>
      <w:ind w:left="3602"/>
    </w:pPr>
    <w:rPr>
      <w:rFonts w:ascii="宋体"/>
      <w:bCs/>
    </w:rPr>
  </w:style>
  <w:style w:type="paragraph" w:customStyle="1" w:styleId="XBRLTitle5">
    <w:name w:val="XBRLTitle5"/>
    <w:basedOn w:val="ae"/>
    <w:next w:val="4"/>
    <w:qFormat/>
    <w:pPr>
      <w:numPr>
        <w:ilvl w:val="4"/>
        <w:numId w:val="2"/>
      </w:numPr>
      <w:spacing w:beforeLines="5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after="0" w:line="240" w:lineRule="auto"/>
      <w:jc w:val="center"/>
    </w:pPr>
    <w:rPr>
      <w:rFonts w:ascii="Cambria" w:hAnsi="Cambria"/>
      <w:sz w:val="24"/>
    </w:rPr>
  </w:style>
  <w:style w:type="paragraph" w:customStyle="1" w:styleId="XBRL5">
    <w:name w:val="XBRL标题5"/>
    <w:basedOn w:val="ae"/>
    <w:next w:val="4"/>
    <w:qFormat/>
    <w:pPr>
      <w:spacing w:beforeLines="50" w:after="0" w:line="240" w:lineRule="auto"/>
      <w:outlineLvl w:val="9"/>
    </w:pPr>
    <w:rPr>
      <w:bCs/>
    </w:rPr>
  </w:style>
  <w:style w:type="paragraph" w:customStyle="1" w:styleId="XBRL4">
    <w:name w:val="XBRL标题4"/>
    <w:basedOn w:val="ae"/>
    <w:next w:val="4"/>
    <w:qFormat/>
    <w:pPr>
      <w:spacing w:beforeLines="50" w:after="0" w:line="240" w:lineRule="auto"/>
      <w:outlineLvl w:val="9"/>
    </w:pPr>
    <w:rPr>
      <w:bCs/>
    </w:rPr>
  </w:style>
  <w:style w:type="paragraph" w:customStyle="1" w:styleId="XBRLTitle4">
    <w:name w:val="XBRLTitle4"/>
    <w:basedOn w:val="ae"/>
    <w:next w:val="4"/>
    <w:qFormat/>
    <w:pPr>
      <w:numPr>
        <w:ilvl w:val="3"/>
        <w:numId w:val="2"/>
      </w:numPr>
      <w:spacing w:beforeLines="5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BRLTitle3">
    <w:name w:val="XBRLTitle3"/>
    <w:basedOn w:val="ae"/>
    <w:next w:val="4"/>
    <w:autoRedefine/>
    <w:qFormat/>
    <w:pPr>
      <w:keepNext w:val="0"/>
      <w:keepLines w:val="0"/>
      <w:numPr>
        <w:ilvl w:val="2"/>
        <w:numId w:val="2"/>
      </w:numPr>
      <w:spacing w:beforeLines="50" w:after="0" w:line="360" w:lineRule="auto"/>
      <w:ind w:firstLine="0"/>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olor w:val="000000"/>
      <w:kern w:val="0"/>
      <w:sz w:val="24"/>
      <w:szCs w:val="24"/>
    </w:rPr>
  </w:style>
  <w:style w:type="character" w:styleId="af7">
    <w:name w:val="footnote reference"/>
    <w:rPr>
      <w:vertAlign w:val="superscript"/>
    </w:rPr>
  </w:style>
  <w:style w:type="character" w:customStyle="1" w:styleId="1Char">
    <w:name w:val="标题 1 Char"/>
    <w:link w:val="1"/>
    <w:uiPriority w:val="9"/>
    <w:locked/>
    <w:rPr>
      <w:b/>
      <w:bCs/>
      <w:kern w:val="44"/>
      <w:sz w:val="44"/>
      <w:szCs w:val="44"/>
    </w:rPr>
  </w:style>
  <w:style w:type="character" w:customStyle="1" w:styleId="2Char">
    <w:name w:val="标题 2 Char"/>
    <w:link w:val="2"/>
    <w:uiPriority w:val="9"/>
    <w:locked/>
    <w:rPr>
      <w:rFonts w:ascii="Cambria" w:eastAsia="宋体" w:hAnsi="Cambria" w:cs="Times New Roman" w:hint="default"/>
      <w:b/>
      <w:bCs/>
      <w:kern w:val="2"/>
      <w:sz w:val="32"/>
      <w:szCs w:val="32"/>
    </w:rPr>
  </w:style>
  <w:style w:type="character" w:customStyle="1" w:styleId="3Char">
    <w:name w:val="标题 3 Char"/>
    <w:link w:val="3"/>
    <w:uiPriority w:val="9"/>
    <w:locked/>
    <w:rPr>
      <w:b/>
      <w:bCs/>
      <w:kern w:val="2"/>
      <w:sz w:val="32"/>
      <w:szCs w:val="32"/>
    </w:rPr>
  </w:style>
  <w:style w:type="character" w:customStyle="1" w:styleId="4Char">
    <w:name w:val="标题 4 Char"/>
    <w:link w:val="4"/>
    <w:locked/>
    <w:rPr>
      <w:rFonts w:ascii="Cambria" w:eastAsia="宋体" w:hAnsi="Cambria" w:cs="Times New Roman" w:hint="default"/>
      <w:b/>
      <w:bCs/>
      <w:kern w:val="2"/>
      <w:sz w:val="24"/>
      <w:szCs w:val="24"/>
    </w:rPr>
  </w:style>
  <w:style w:type="character" w:customStyle="1" w:styleId="5Char">
    <w:name w:val="标题 5 Char"/>
    <w:link w:val="5"/>
    <w:uiPriority w:val="9"/>
    <w:semiHidden/>
    <w:locked/>
    <w:rPr>
      <w:b/>
      <w:bCs/>
      <w:kern w:val="2"/>
      <w:sz w:val="24"/>
      <w:szCs w:val="24"/>
    </w:rPr>
  </w:style>
  <w:style w:type="character" w:customStyle="1" w:styleId="6Char">
    <w:name w:val="标题 6 Char"/>
    <w:link w:val="6"/>
    <w:uiPriority w:val="9"/>
    <w:semiHidden/>
    <w:locked/>
    <w:rPr>
      <w:rFonts w:ascii="Cambria" w:eastAsia="宋体" w:hAnsi="Cambria" w:cs="Times New Roman" w:hint="default"/>
      <w:b/>
      <w:bCs/>
      <w:kern w:val="2"/>
      <w:sz w:val="24"/>
      <w:szCs w:val="24"/>
    </w:rPr>
  </w:style>
  <w:style w:type="character" w:customStyle="1" w:styleId="Char0">
    <w:name w:val="脚注文本 Char"/>
    <w:link w:val="a6"/>
    <w:locked/>
    <w:rPr>
      <w:kern w:val="2"/>
      <w:sz w:val="18"/>
      <w:szCs w:val="18"/>
    </w:rPr>
  </w:style>
  <w:style w:type="character" w:customStyle="1" w:styleId="Char1">
    <w:name w:val="页眉 Char"/>
    <w:link w:val="a8"/>
    <w:uiPriority w:val="99"/>
    <w:locked/>
    <w:rPr>
      <w:kern w:val="2"/>
      <w:sz w:val="18"/>
      <w:szCs w:val="18"/>
    </w:rPr>
  </w:style>
  <w:style w:type="character" w:customStyle="1" w:styleId="Char2">
    <w:name w:val="页脚 Char"/>
    <w:link w:val="aa"/>
    <w:uiPriority w:val="99"/>
    <w:locked/>
    <w:rPr>
      <w:kern w:val="2"/>
      <w:sz w:val="18"/>
      <w:szCs w:val="18"/>
    </w:rPr>
  </w:style>
  <w:style w:type="character" w:customStyle="1" w:styleId="Char3">
    <w:name w:val="标题 Char"/>
    <w:link w:val="ac"/>
    <w:uiPriority w:val="10"/>
    <w:locked/>
    <w:rPr>
      <w:rFonts w:ascii="Cambria" w:hAnsi="Cambria" w:cs="Times New Roman" w:hint="default"/>
      <w:b/>
      <w:bCs/>
      <w:kern w:val="2"/>
      <w:sz w:val="32"/>
      <w:szCs w:val="32"/>
    </w:rPr>
  </w:style>
  <w:style w:type="character" w:customStyle="1" w:styleId="Char4">
    <w:name w:val="副标题 Char"/>
    <w:link w:val="ae"/>
    <w:locked/>
    <w:rPr>
      <w:rFonts w:ascii="Cambria" w:hAnsi="Cambria" w:cs="Times New Roman" w:hint="default"/>
      <w:b/>
      <w:bCs/>
      <w:kern w:val="24"/>
      <w:sz w:val="32"/>
      <w:szCs w:val="32"/>
    </w:rPr>
  </w:style>
  <w:style w:type="character" w:customStyle="1" w:styleId="Char5">
    <w:name w:val="日期 Char"/>
    <w:link w:val="af0"/>
    <w:locked/>
    <w:rPr>
      <w:kern w:val="2"/>
      <w:sz w:val="21"/>
    </w:rPr>
  </w:style>
  <w:style w:type="character" w:customStyle="1" w:styleId="Char6">
    <w:name w:val="文档结构图 Char"/>
    <w:link w:val="af2"/>
    <w:locked/>
    <w:rPr>
      <w:rFonts w:ascii="宋体" w:eastAsia="宋体" w:hAnsi="宋体" w:hint="eastAsia"/>
      <w:kern w:val="2"/>
      <w:sz w:val="18"/>
      <w:szCs w:val="18"/>
    </w:rPr>
  </w:style>
  <w:style w:type="character" w:customStyle="1" w:styleId="Char7">
    <w:name w:val="批注框文本 Char"/>
    <w:link w:val="af4"/>
    <w:uiPriority w:val="99"/>
    <w:semiHidden/>
    <w:locked/>
    <w:rPr>
      <w:kern w:val="2"/>
      <w:sz w:val="18"/>
      <w:szCs w:val="18"/>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宋体"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宋体" w:hint="default"/>
      <w:b/>
      <w:bCs/>
      <w:sz w:val="24"/>
      <w:szCs w:val="24"/>
    </w:rPr>
  </w:style>
  <w:style w:type="character" w:customStyle="1" w:styleId="12">
    <w:name w:val="脚注文本 字符1"/>
    <w:link w:val="a6"/>
    <w:locked/>
    <w:rPr>
      <w:kern w:val="2"/>
      <w:sz w:val="18"/>
      <w:szCs w:val="18"/>
    </w:rPr>
  </w:style>
  <w:style w:type="character" w:customStyle="1" w:styleId="22">
    <w:name w:val="页眉 字符2"/>
    <w:link w:val="a8"/>
    <w:locked/>
    <w:rPr>
      <w:kern w:val="2"/>
      <w:sz w:val="18"/>
      <w:szCs w:val="18"/>
    </w:rPr>
  </w:style>
  <w:style w:type="character" w:customStyle="1" w:styleId="13">
    <w:name w:val="页脚 字符1"/>
    <w:link w:val="aa"/>
    <w:uiPriority w:val="99"/>
    <w:locked/>
    <w:rPr>
      <w:kern w:val="2"/>
      <w:sz w:val="18"/>
      <w:szCs w:val="18"/>
    </w:rPr>
  </w:style>
  <w:style w:type="character" w:customStyle="1" w:styleId="14">
    <w:name w:val="标题 字符1"/>
    <w:link w:val="ac"/>
    <w:uiPriority w:val="10"/>
    <w:locked/>
    <w:rPr>
      <w:rFonts w:ascii="Cambria" w:hAnsi="Cambria" w:cs="宋体" w:hint="default"/>
      <w:b/>
      <w:bCs/>
      <w:sz w:val="32"/>
      <w:szCs w:val="32"/>
    </w:rPr>
  </w:style>
  <w:style w:type="character" w:customStyle="1" w:styleId="15">
    <w:name w:val="副标题 字符1"/>
    <w:link w:val="ae"/>
    <w:locked/>
    <w:rPr>
      <w:rFonts w:ascii="Cambria" w:eastAsia="宋体" w:hAnsi="Cambria" w:cs="宋体" w:hint="default"/>
      <w:b/>
      <w:bCs w:val="0"/>
      <w:kern w:val="24"/>
      <w:sz w:val="24"/>
      <w:szCs w:val="32"/>
    </w:rPr>
  </w:style>
  <w:style w:type="character" w:customStyle="1" w:styleId="16">
    <w:name w:val="日期 字符1"/>
    <w:link w:val="af0"/>
    <w:locked/>
    <w:rPr>
      <w:rFonts w:ascii="宋体" w:eastAsia="宋体" w:hAnsi="宋体" w:hint="eastAsia"/>
      <w:kern w:val="2"/>
      <w:sz w:val="32"/>
    </w:rPr>
  </w:style>
  <w:style w:type="character" w:customStyle="1" w:styleId="17">
    <w:name w:val="文档结构图 字符1"/>
    <w:link w:val="af2"/>
    <w:locked/>
    <w:rPr>
      <w:rFonts w:ascii="宋体" w:eastAsia="宋体" w:hAnsi="宋体" w:hint="eastAsia"/>
      <w:kern w:val="2"/>
      <w:sz w:val="18"/>
      <w:szCs w:val="18"/>
    </w:rPr>
  </w:style>
  <w:style w:type="character" w:customStyle="1" w:styleId="18">
    <w:name w:val="批注框文本 字符1"/>
    <w:link w:val="af4"/>
    <w:uiPriority w:val="99"/>
    <w:semiHidden/>
    <w:locked/>
    <w:rPr>
      <w:kern w:val="2"/>
      <w:sz w:val="18"/>
      <w:szCs w:val="18"/>
    </w:rPr>
  </w:style>
  <w:style w:type="character" w:customStyle="1" w:styleId="51">
    <w:name w:val="标题 5 字符1"/>
    <w:link w:val="5"/>
    <w:uiPriority w:val="9"/>
    <w:semiHidden/>
    <w:locked/>
    <w:rPr>
      <w:b/>
      <w:bCs/>
      <w:kern w:val="2"/>
      <w:sz w:val="24"/>
      <w:szCs w:val="24"/>
    </w:rPr>
  </w:style>
  <w:style w:type="character" w:customStyle="1" w:styleId="61">
    <w:name w:val="标题 6 字符1"/>
    <w:link w:val="6"/>
    <w:uiPriority w:val="9"/>
    <w:semiHidden/>
    <w:locked/>
    <w:rPr>
      <w:rFonts w:ascii="Cambria" w:eastAsia="宋体" w:hAnsi="Cambria" w:cs="Times New Roman" w:hint="default"/>
      <w:b/>
      <w:bCs/>
      <w:kern w:val="2"/>
      <w:sz w:val="24"/>
      <w:szCs w:val="24"/>
    </w:rPr>
  </w:style>
  <w:style w:type="character" w:customStyle="1" w:styleId="19">
    <w:name w:val="页眉 字符1"/>
    <w:locked/>
    <w:rPr>
      <w:kern w:val="2"/>
      <w:sz w:val="18"/>
      <w:szCs w:val="18"/>
    </w:rPr>
  </w:style>
  <w:style w:type="table" w:styleId="af8">
    <w:name w:val="Table Grid"/>
    <w:basedOn w:val="a1"/>
    <w:uiPriority w:val="59"/>
    <w:semiHidden/>
    <w:unhideWhenUse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movednode">
    <w:name w:val="removednode"/>
    <w:basedOn w:val="a"/>
    <w:pPr>
      <w:widowControl/>
      <w:spacing w:before="100" w:beforeAutospacing="1" w:after="100" w:afterAutospacing="1"/>
      <w:jc w:val="left"/>
    </w:pPr>
    <w:rPr>
      <w:kern w:val="0"/>
      <w:sz w:val="24"/>
    </w:rPr>
  </w:style>
  <w:style w:type="character" w:customStyle="1" w:styleId="Char10">
    <w:name w:val="页眉 Char1"/>
    <w:locked/>
    <w:rPr>
      <w:kern w:val="2"/>
      <w:sz w:val="18"/>
      <w:szCs w:val="18"/>
    </w:rPr>
  </w:style>
  <w:style w:type="character" w:customStyle="1" w:styleId="Char11">
    <w:name w:val="页脚 Char1"/>
    <w:uiPriority w:val="99"/>
    <w:locked/>
    <w:rPr>
      <w:kern w:val="2"/>
      <w:sz w:val="18"/>
      <w:szCs w:val="18"/>
    </w:rPr>
  </w:style>
</w:styles>
</file>

<file path=word/webSettings.xml><?xml version="1.0" encoding="utf-8"?>
<w:webSettings xmlns:r="http://schemas.openxmlformats.org/officeDocument/2006/relationships" xmlns:w="http://schemas.openxmlformats.org/wordprocessingml/2006/main">
  <w:divs>
    <w:div w:id="796263200">
      <w:marLeft w:val="0"/>
      <w:marRight w:val="0"/>
      <w:marTop w:val="0"/>
      <w:marBottom w:val="0"/>
      <w:divBdr>
        <w:top w:val="none" w:sz="0" w:space="0" w:color="auto"/>
        <w:left w:val="none" w:sz="0" w:space="0" w:color="auto"/>
        <w:bottom w:val="none" w:sz="0" w:space="0" w:color="auto"/>
        <w:right w:val="none" w:sz="0" w:space="0" w:color="auto"/>
      </w:divBdr>
    </w:div>
    <w:div w:id="16243103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relyOnVML/>
  <w:allowPNG/>
  <w:doNotRelyOnCSS/>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D59B4-1C97-4D32-802C-252A2AFE2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1388</Characters>
  <Application>Microsoft Office Word</Application>
  <DocSecurity>4</DocSecurity>
  <Lines>11</Lines>
  <Paragraphs>3</Paragraphs>
  <ScaleCrop>false</ScaleCrop>
  <Company/>
  <LinksUpToDate>false</LinksUpToDate>
  <CharactersWithSpaces>1628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ZHONGM</cp:lastModifiedBy>
  <cp:revision>2</cp:revision>
  <dcterms:created xsi:type="dcterms:W3CDTF">2025-02-21T16:00:00Z</dcterms:created>
  <dcterms:modified xsi:type="dcterms:W3CDTF">2025-02-21T16:00:00Z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