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66BC" w:rsidRDefault="0023146D">
      <w:pPr>
        <w:pStyle w:val="XBRL2"/>
        <w:spacing w:before="156"/>
      </w:pPr>
      <w:bookmarkStart w:id="0" w:name="_Toc510201001"/>
      <w:bookmarkEnd w:id="0"/>
      <w:r>
        <w:t xml:space="preserve">　</w:t>
      </w:r>
      <w:r>
        <w:t xml:space="preserve"> </w:t>
      </w:r>
    </w:p>
    <w:p w:rsidR="00DD66BC" w:rsidRDefault="0023146D">
      <w:pPr>
        <w:jc w:val="center"/>
      </w:pPr>
      <w:r>
        <w:rPr>
          <w:rFonts w:cs="Times New Roman" w:hint="eastAsia"/>
          <w:b/>
          <w:sz w:val="48"/>
          <w:szCs w:val="48"/>
        </w:rPr>
        <w:t>关于工银瑞信大和日经</w:t>
      </w:r>
      <w:r>
        <w:rPr>
          <w:rFonts w:cs="Times New Roman" w:hint="eastAsia"/>
          <w:b/>
          <w:sz w:val="48"/>
          <w:szCs w:val="48"/>
        </w:rPr>
        <w:t>225</w:t>
      </w:r>
      <w:r>
        <w:rPr>
          <w:rFonts w:cs="Times New Roman" w:hint="eastAsia"/>
          <w:b/>
          <w:sz w:val="48"/>
          <w:szCs w:val="48"/>
        </w:rPr>
        <w:t>交易型开放式指数证券投资基金（</w:t>
      </w:r>
      <w:r>
        <w:rPr>
          <w:rFonts w:cs="Times New Roman" w:hint="eastAsia"/>
          <w:b/>
          <w:sz w:val="48"/>
          <w:szCs w:val="48"/>
        </w:rPr>
        <w:t>QDII</w:t>
      </w:r>
      <w:r>
        <w:rPr>
          <w:rFonts w:cs="Times New Roman" w:hint="eastAsia"/>
          <w:b/>
          <w:sz w:val="48"/>
          <w:szCs w:val="48"/>
        </w:rPr>
        <w:t>）因境外主要投资市场节假日暂停申购、赎回业务的公告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bookmarkStart w:id="1" w:name="_GoBack"/>
      <w:bookmarkEnd w:id="1"/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560" w:lineRule="exact"/>
        <w:jc w:val="center"/>
        <w:rPr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</w:t>
      </w:r>
      <w:r>
        <w:rPr>
          <w:rFonts w:hint="eastAsia"/>
          <w:color w:val="000000"/>
          <w:kern w:val="0"/>
          <w:sz w:val="18"/>
        </w:rPr>
        <w:t xml:space="preserve"> </w:t>
      </w:r>
    </w:p>
    <w:p w:rsidR="00DD66BC" w:rsidRDefault="0023146D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</w:t>
      </w:r>
      <w:r>
        <w:rPr>
          <w:rFonts w:hint="eastAsia"/>
          <w:b/>
          <w:bCs/>
          <w:sz w:val="24"/>
          <w:szCs w:val="30"/>
        </w:rPr>
        <w:t>2025</w:t>
      </w:r>
      <w:r>
        <w:rPr>
          <w:rFonts w:hint="eastAsia"/>
          <w:b/>
          <w:bCs/>
          <w:sz w:val="24"/>
          <w:szCs w:val="30"/>
        </w:rPr>
        <w:t>年</w:t>
      </w:r>
      <w:r>
        <w:rPr>
          <w:rFonts w:hint="eastAsia"/>
          <w:b/>
          <w:bCs/>
          <w:sz w:val="24"/>
          <w:szCs w:val="30"/>
        </w:rPr>
        <w:t>2</w:t>
      </w:r>
      <w:r>
        <w:rPr>
          <w:rFonts w:hint="eastAsia"/>
          <w:b/>
          <w:bCs/>
          <w:sz w:val="24"/>
          <w:szCs w:val="30"/>
        </w:rPr>
        <w:t>月</w:t>
      </w:r>
      <w:r>
        <w:rPr>
          <w:rFonts w:hint="eastAsia"/>
          <w:b/>
          <w:bCs/>
          <w:sz w:val="24"/>
          <w:szCs w:val="30"/>
        </w:rPr>
        <w:t>21</w:t>
      </w:r>
      <w:r>
        <w:rPr>
          <w:rFonts w:hint="eastAsia"/>
          <w:b/>
          <w:bCs/>
          <w:sz w:val="24"/>
          <w:szCs w:val="30"/>
        </w:rPr>
        <w:t>日</w:t>
      </w:r>
    </w:p>
    <w:p w:rsidR="00DD66BC" w:rsidRDefault="0023146D">
      <w:pPr>
        <w:pStyle w:val="XBRLTitle1"/>
        <w:spacing w:before="156"/>
        <w:jc w:val="left"/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2" w:name="_Toc490050000"/>
      <w:bookmarkStart w:id="3" w:name="_Toc481075046"/>
      <w:bookmarkStart w:id="4" w:name="_Toc34322059"/>
      <w:bookmarkStart w:id="5" w:name="_Toc513295892"/>
      <w:bookmarkStart w:id="6" w:name="_Toc512519480"/>
      <w:bookmarkStart w:id="7" w:name="_Toc438646451"/>
      <w:bookmarkStart w:id="8" w:name="_Toc17897936"/>
      <w:bookmarkStart w:id="9" w:name="_Toc17898178"/>
      <w:bookmarkStart w:id="10" w:name="_Toc513295846"/>
      <w:bookmarkStart w:id="11" w:name="m101"/>
      <w:bookmarkStart w:id="12" w:name="m01_01"/>
      <w:bookmarkStart w:id="13" w:name="_Toc194311890"/>
      <w:r>
        <w:rPr>
          <w:rFonts w:hint="eastAsia"/>
          <w:szCs w:val="24"/>
        </w:rPr>
        <w:lastRenderedPageBreak/>
        <w:t>公告基本信息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/>
          <w:szCs w:val="24"/>
        </w:rPr>
        <w:t xml:space="preserve"> </w:t>
      </w:r>
      <w:bookmarkEnd w:id="11"/>
      <w:bookmarkEnd w:id="12"/>
      <w:bookmarkEnd w:id="13"/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5"/>
        <w:gridCol w:w="2326"/>
        <w:gridCol w:w="4850"/>
      </w:tblGrid>
      <w:tr w:rsidR="00DD66BC"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 w:hint="eastAsia"/>
              </w:rPr>
              <w:t>工银瑞信大和日经</w:t>
            </w:r>
            <w:r>
              <w:rPr>
                <w:rFonts w:asciiTheme="minorEastAsia" w:eastAsiaTheme="minorEastAsia" w:hAnsiTheme="minorEastAsia" w:hint="eastAsia"/>
              </w:rPr>
              <w:t>225</w:t>
            </w:r>
            <w:r>
              <w:rPr>
                <w:rFonts w:asciiTheme="minorEastAsia" w:eastAsiaTheme="minorEastAsia" w:hAnsiTheme="minorEastAsia" w:hint="eastAsia"/>
              </w:rPr>
              <w:t>交易型开放式指数证券投资基金（</w:t>
            </w:r>
            <w:r>
              <w:rPr>
                <w:rFonts w:asciiTheme="minorEastAsia" w:eastAsiaTheme="minorEastAsia" w:hAnsiTheme="minorEastAsia" w:hint="eastAsia"/>
              </w:rPr>
              <w:t>QDII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D66BC"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 w:hint="eastAsia"/>
              </w:rPr>
              <w:t>基金简称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hint="eastAsia"/>
              </w:rPr>
              <w:t>日经</w:t>
            </w:r>
            <w:r>
              <w:rPr>
                <w:rFonts w:hint="eastAsia"/>
              </w:rPr>
              <w:t>E</w:t>
            </w:r>
            <w:r>
              <w:t>TF</w:t>
            </w:r>
          </w:p>
        </w:tc>
      </w:tr>
      <w:tr w:rsidR="00DD66BC"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 w:hint="eastAsia"/>
              </w:rPr>
              <w:t>基金主代码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/>
              </w:rPr>
              <w:t>159866</w:t>
            </w:r>
          </w:p>
        </w:tc>
      </w:tr>
      <w:tr w:rsidR="00DD66BC"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 w:hint="eastAsia"/>
              </w:rPr>
              <w:t>工银瑞信基金管理有限公司</w:t>
            </w:r>
          </w:p>
        </w:tc>
      </w:tr>
      <w:tr w:rsidR="00DD66BC">
        <w:tc>
          <w:tcPr>
            <w:tcW w:w="4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EastAsia" w:eastAsiaTheme="minorEastAsia" w:hAnsiTheme="minorEastAsia" w:hint="eastAsia"/>
              </w:rPr>
              <w:t>根据《中华人民共和国证券投资基金法》、《公开募集证券投资基金运作管理办法》、《公开募集证券投资基金信息披露管理办法》等有关法律法规，《工银瑞信大和日经</w:t>
            </w:r>
            <w:r>
              <w:rPr>
                <w:rFonts w:asciiTheme="minorEastAsia" w:eastAsiaTheme="minorEastAsia" w:hAnsiTheme="minorEastAsia"/>
              </w:rPr>
              <w:t>225</w:t>
            </w:r>
            <w:r>
              <w:rPr>
                <w:rFonts w:asciiTheme="minorEastAsia" w:eastAsiaTheme="minorEastAsia" w:hAnsiTheme="minorEastAsia"/>
              </w:rPr>
              <w:t>交易型开放式指数证券投资基金（</w:t>
            </w:r>
            <w:r>
              <w:rPr>
                <w:rFonts w:asciiTheme="minorEastAsia" w:eastAsiaTheme="minorEastAsia" w:hAnsiTheme="minorEastAsia"/>
              </w:rPr>
              <w:t>QDII</w:t>
            </w:r>
            <w:r>
              <w:rPr>
                <w:rFonts w:asciiTheme="minorEastAsia" w:eastAsiaTheme="minorEastAsia" w:hAnsiTheme="minorEastAsia"/>
              </w:rPr>
              <w:t>）基金合同</w:t>
            </w:r>
            <w:r>
              <w:rPr>
                <w:rFonts w:asciiTheme="minorEastAsia" w:eastAsiaTheme="minorEastAsia" w:hAnsiTheme="minorEastAsia" w:hint="eastAsia"/>
              </w:rPr>
              <w:t>》、《工银瑞信大和日经</w:t>
            </w:r>
            <w:r>
              <w:rPr>
                <w:rFonts w:asciiTheme="minorEastAsia" w:eastAsiaTheme="minorEastAsia" w:hAnsiTheme="minorEastAsia"/>
              </w:rPr>
              <w:t>225</w:t>
            </w:r>
            <w:r>
              <w:rPr>
                <w:rFonts w:asciiTheme="minorEastAsia" w:eastAsiaTheme="minorEastAsia" w:hAnsiTheme="minorEastAsia"/>
              </w:rPr>
              <w:t>交易型开放式指数证券投资基金（</w:t>
            </w:r>
            <w:r>
              <w:rPr>
                <w:rFonts w:asciiTheme="minorEastAsia" w:eastAsiaTheme="minorEastAsia" w:hAnsiTheme="minorEastAsia"/>
              </w:rPr>
              <w:t>QDII</w:t>
            </w:r>
            <w:r>
              <w:rPr>
                <w:rFonts w:asciiTheme="minorEastAsia" w:eastAsiaTheme="minorEastAsia" w:hAnsiTheme="minorEastAsia"/>
              </w:rPr>
              <w:t>）更新的招募说明书</w:t>
            </w:r>
            <w:r>
              <w:rPr>
                <w:rFonts w:asciiTheme="minorEastAsia" w:eastAsiaTheme="minorEastAsia" w:hAnsiTheme="minorEastAsia" w:hint="eastAsia"/>
              </w:rPr>
              <w:t>》的有关规定，以及境外主要投资市场节假日安排。</w:t>
            </w:r>
          </w:p>
        </w:tc>
      </w:tr>
      <w:tr w:rsidR="00DD66BC"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暂停相关业务的起始日及原因说明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暂停申购起始日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D66BC">
        <w:tc>
          <w:tcPr>
            <w:tcW w:w="1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DD66BC" w:rsidRDefault="00DD66BC">
            <w:pPr>
              <w:widowControl/>
              <w:jc w:val="left"/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暂停赎回起始日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24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D66BC">
        <w:tc>
          <w:tcPr>
            <w:tcW w:w="18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6BC" w:rsidRDefault="00DD66BC">
            <w:pPr>
              <w:widowControl/>
              <w:jc w:val="left"/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rPr>
                <w:rFonts w:asciiTheme="minorHAnsi" w:eastAsiaTheme="minorEastAsia" w:hAnsiTheme="minorHAnsi" w:hint="eastAsia"/>
              </w:rPr>
              <w:t>暂停申购、赎回的原因说明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r>
              <w:t>根据</w:t>
            </w:r>
            <w:r>
              <w:rPr>
                <w:rFonts w:hint="eastAsia"/>
              </w:rPr>
              <w:t>日本东京证券交易所</w:t>
            </w:r>
            <w:r>
              <w:t>节假日休市安排，保护基金份额持有人的利益，保障基金平稳运作。</w:t>
            </w:r>
          </w:p>
        </w:tc>
      </w:tr>
      <w:tr w:rsidR="00DD66BC">
        <w:tc>
          <w:tcPr>
            <w:tcW w:w="18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6BC" w:rsidRDefault="0023146D">
            <w:pPr>
              <w:widowControl/>
              <w:jc w:val="left"/>
            </w:pPr>
            <w:bookmarkStart w:id="14" w:name="_Toc481075097"/>
            <w:bookmarkStart w:id="15" w:name="_Toc513295941"/>
            <w:bookmarkStart w:id="16" w:name="_Toc438646481"/>
            <w:bookmarkStart w:id="17" w:name="_Toc513295878"/>
            <w:bookmarkStart w:id="18" w:name="_Toc490050049"/>
            <w:bookmarkStart w:id="19" w:name="_Toc34322063"/>
            <w:bookmarkStart w:id="20" w:name="_Toc17898228"/>
            <w:bookmarkStart w:id="21" w:name="_Toc512519529"/>
            <w:bookmarkStart w:id="22" w:name="_Toc17897969"/>
            <w:bookmarkStart w:id="23" w:name="m201_01"/>
            <w:r>
              <w:rPr>
                <w:rFonts w:asciiTheme="minorHAnsi" w:eastAsiaTheme="minorEastAsia" w:hAnsiTheme="minorHAnsi" w:hint="eastAsia"/>
              </w:rPr>
              <w:t>恢复相关业务的起始日及原因说明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恢复申购日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D66BC">
        <w:tc>
          <w:tcPr>
            <w:tcW w:w="18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66BC" w:rsidRDefault="00DD66BC">
            <w:pPr>
              <w:widowControl/>
              <w:jc w:val="left"/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恢复赎回日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2025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DD66BC">
        <w:tc>
          <w:tcPr>
            <w:tcW w:w="1885" w:type="dxa"/>
            <w:vMerge/>
            <w:tcBorders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DD66BC" w:rsidRDefault="00DD66BC">
            <w:pPr>
              <w:widowControl/>
              <w:jc w:val="left"/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恢复申购、赎回的原因说明</w:t>
            </w:r>
          </w:p>
        </w:tc>
        <w:tc>
          <w:tcPr>
            <w:tcW w:w="4850" w:type="dxa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6BC" w:rsidRDefault="0023146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根据日本东京证券交易所节假日休市安排，满足投资者的投资需求。</w:t>
            </w:r>
          </w:p>
        </w:tc>
      </w:tr>
    </w:tbl>
    <w:p w:rsidR="00DD66BC" w:rsidRDefault="0023146D">
      <w:pPr>
        <w:pStyle w:val="XBRLTitle1"/>
        <w:spacing w:before="156" w:line="360" w:lineRule="auto"/>
        <w:jc w:val="left"/>
      </w:pPr>
      <w:r>
        <w:rPr>
          <w:rFonts w:hAnsi="宋体" w:hint="eastAsia"/>
          <w:szCs w:val="24"/>
        </w:rPr>
        <w:t>其他需要提示的事项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Ansi="宋体" w:hint="eastAsia"/>
          <w:szCs w:val="24"/>
        </w:rPr>
        <w:t xml:space="preserve"> </w:t>
      </w:r>
    </w:p>
    <w:p w:rsidR="00DD66BC" w:rsidRDefault="0023146D">
      <w:pPr>
        <w:spacing w:line="360" w:lineRule="auto"/>
        <w:ind w:firstLineChars="200" w:firstLine="420"/>
        <w:jc w:val="left"/>
        <w:rPr>
          <w:szCs w:val="24"/>
          <w:lang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、投</w:t>
      </w:r>
      <w:r>
        <w:rPr>
          <w:rFonts w:hint="eastAsia"/>
          <w:szCs w:val="24"/>
          <w:lang/>
        </w:rPr>
        <w:t>资者在</w:t>
      </w:r>
      <w:r>
        <w:rPr>
          <w:rFonts w:hint="eastAsia"/>
          <w:szCs w:val="24"/>
        </w:rPr>
        <w:t>2025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月</w:t>
      </w:r>
      <w:r>
        <w:rPr>
          <w:rFonts w:hint="eastAsia"/>
          <w:szCs w:val="24"/>
        </w:rPr>
        <w:t>24</w:t>
      </w:r>
      <w:r>
        <w:rPr>
          <w:rFonts w:hint="eastAsia"/>
          <w:szCs w:val="24"/>
        </w:rPr>
        <w:t>日</w:t>
      </w:r>
      <w:r>
        <w:rPr>
          <w:szCs w:val="24"/>
          <w:lang/>
        </w:rPr>
        <w:t>仍可进行本基金的二级市场交易。</w:t>
      </w:r>
    </w:p>
    <w:p w:rsidR="00DD66BC" w:rsidRDefault="0023146D">
      <w:pPr>
        <w:spacing w:line="360" w:lineRule="auto"/>
        <w:ind w:left="426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、本基金自</w:t>
      </w:r>
      <w:r>
        <w:rPr>
          <w:rFonts w:hint="eastAsia"/>
          <w:szCs w:val="21"/>
        </w:rPr>
        <w:t>2025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</w:t>
      </w:r>
      <w:r>
        <w:rPr>
          <w:szCs w:val="21"/>
        </w:rPr>
        <w:t>起恢复日常申购、赎回业务，届时不再另行公告。</w:t>
      </w:r>
    </w:p>
    <w:p w:rsidR="00DD66BC" w:rsidRDefault="0023146D">
      <w:pPr>
        <w:spacing w:line="360" w:lineRule="auto"/>
        <w:ind w:left="426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、敬请投资者提前进行相关业务安排，避免因基金境外主要投资场所节假日休市等原因带来的不便。</w:t>
      </w:r>
    </w:p>
    <w:p w:rsidR="00DD66BC" w:rsidRDefault="0023146D">
      <w:pPr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4</w:t>
      </w:r>
      <w:r>
        <w:rPr>
          <w:szCs w:val="21"/>
        </w:rPr>
        <w:t>、</w:t>
      </w:r>
      <w:r>
        <w:rPr>
          <w:rFonts w:hint="eastAsia"/>
          <w:szCs w:val="21"/>
        </w:rPr>
        <w:t>公司客户服务电话</w:t>
      </w:r>
      <w:r>
        <w:rPr>
          <w:rFonts w:hint="eastAsia"/>
          <w:szCs w:val="21"/>
        </w:rPr>
        <w:t>400-811-9999</w:t>
      </w:r>
      <w:r>
        <w:rPr>
          <w:rFonts w:hint="eastAsia"/>
          <w:szCs w:val="21"/>
        </w:rPr>
        <w:t>；本公司网站</w:t>
      </w:r>
      <w:hyperlink r:id="rId8" w:history="1">
        <w:r>
          <w:rPr>
            <w:rFonts w:hint="eastAsia"/>
          </w:rPr>
          <w:t>www.icbccs.com.cn</w:t>
        </w:r>
      </w:hyperlink>
      <w:r>
        <w:rPr>
          <w:rFonts w:hint="eastAsia"/>
          <w:szCs w:val="21"/>
        </w:rPr>
        <w:t>。</w:t>
      </w:r>
    </w:p>
    <w:p w:rsidR="00DD66BC" w:rsidRDefault="0023146D">
      <w:pPr>
        <w:spacing w:line="360" w:lineRule="auto"/>
        <w:ind w:firstLineChars="200" w:firstLine="420"/>
        <w:jc w:val="left"/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风险提示：基金管理人依照恪尽职守、诚实信用、谨慎勤勉的原则管理和运用基金财产，但不保证基金一定盈利，也不保证最低收益。敬请投资人注意投资风险。投资者投资基金前应认真阅读基金的基金合同、更新的招募说明书、基金产品资料概要等法律文件，并选择适合</w:t>
      </w:r>
      <w:r>
        <w:rPr>
          <w:rFonts w:hint="eastAsia"/>
          <w:szCs w:val="21"/>
        </w:rPr>
        <w:t>自身风险承受能力的投资品种进行投资。</w:t>
      </w:r>
    </w:p>
    <w:p w:rsidR="00DD66BC" w:rsidRDefault="0023146D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</w:t>
      </w:r>
      <w:r>
        <w:rPr>
          <w:rFonts w:hint="eastAsia"/>
          <w:b/>
          <w:bCs/>
          <w:sz w:val="24"/>
          <w:szCs w:val="30"/>
        </w:rPr>
        <w:t xml:space="preserve"> </w:t>
      </w:r>
      <w:r>
        <w:rPr>
          <w:rFonts w:hint="eastAsia"/>
          <w:b/>
          <w:bCs/>
          <w:sz w:val="24"/>
          <w:szCs w:val="30"/>
        </w:rPr>
        <w:t xml:space="preserve">　</w:t>
      </w:r>
      <w:r>
        <w:rPr>
          <w:rFonts w:hint="eastAsia"/>
          <w:b/>
          <w:bCs/>
          <w:sz w:val="24"/>
          <w:szCs w:val="30"/>
        </w:rPr>
        <w:t xml:space="preserve"> </w:t>
      </w:r>
    </w:p>
    <w:p w:rsidR="00DD66BC" w:rsidRDefault="0023146D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工银瑞信基金管理有限公司</w:t>
      </w:r>
    </w:p>
    <w:bookmarkEnd w:id="23"/>
    <w:p w:rsidR="00DD66BC" w:rsidRDefault="0023146D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</w:t>
      </w:r>
      <w:r>
        <w:rPr>
          <w:rFonts w:hint="eastAsia"/>
          <w:b/>
          <w:bCs/>
          <w:sz w:val="24"/>
          <w:szCs w:val="24"/>
        </w:rPr>
        <w:t>年</w:t>
      </w:r>
      <w:r>
        <w:rPr>
          <w:rFonts w:hint="eastAsia"/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月</w:t>
      </w:r>
      <w:r>
        <w:rPr>
          <w:rFonts w:hint="eastAsia"/>
          <w:b/>
          <w:bCs/>
          <w:sz w:val="24"/>
          <w:szCs w:val="24"/>
        </w:rPr>
        <w:t>21</w:t>
      </w:r>
      <w:r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 xml:space="preserve"> </w:t>
      </w:r>
    </w:p>
    <w:sectPr w:rsidR="00DD66BC" w:rsidSect="00DD66BC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BC" w:rsidRDefault="00DD66BC" w:rsidP="00DD66BC">
      <w:r>
        <w:separator/>
      </w:r>
    </w:p>
  </w:endnote>
  <w:endnote w:type="continuationSeparator" w:id="0">
    <w:p w:rsidR="00DD66BC" w:rsidRDefault="00DD66BC" w:rsidP="00DD6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BC" w:rsidRDefault="0023146D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DD66BC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DD66BC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DD66BC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</w:t>
    </w:r>
    <w:r>
      <w:rPr>
        <w:rFonts w:hint="eastAsia"/>
        <w:sz w:val="18"/>
        <w:szCs w:val="18"/>
        <w:lang w:val="zh-CN"/>
      </w:rPr>
      <w:t xml:space="preserve"> </w:t>
    </w:r>
    <w:r>
      <w:rPr>
        <w:rFonts w:hint="eastAsia"/>
        <w:sz w:val="18"/>
        <w:szCs w:val="18"/>
        <w:lang w:val="zh-CN"/>
      </w:rPr>
      <w:t>共</w:t>
    </w:r>
    <w:r>
      <w:rPr>
        <w:rFonts w:hint="eastAsia"/>
      </w:rPr>
      <w:t xml:space="preserve"> </w:t>
    </w:r>
    <w:r w:rsidR="00DD66BC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DD66BC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="00DD66BC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BC" w:rsidRDefault="00DD66BC">
    <w:pPr>
      <w:pStyle w:val="a7"/>
    </w:pPr>
  </w:p>
  <w:p w:rsidR="00DD66BC" w:rsidRDefault="0023146D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DD66BC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DD66BC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DD66BC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</w:t>
    </w:r>
    <w:r>
      <w:rPr>
        <w:rFonts w:hint="eastAsia"/>
        <w:sz w:val="18"/>
        <w:szCs w:val="18"/>
        <w:lang w:val="zh-CN"/>
      </w:rPr>
      <w:t xml:space="preserve"> </w:t>
    </w:r>
    <w:r>
      <w:rPr>
        <w:rFonts w:hint="eastAsia"/>
        <w:sz w:val="18"/>
        <w:szCs w:val="18"/>
        <w:lang w:val="zh-CN"/>
      </w:rPr>
      <w:t>共</w:t>
    </w:r>
    <w:r>
      <w:rPr>
        <w:rFonts w:hint="eastAsia"/>
      </w:rPr>
      <w:t xml:space="preserve"> </w:t>
    </w:r>
    <w:r w:rsidR="00DD66BC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DD66BC">
      <w:rPr>
        <w:rFonts w:hint="eastAsia"/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DD66BC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DD66BC" w:rsidRDefault="00DD66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BC" w:rsidRDefault="00DD66BC" w:rsidP="00DD66BC">
      <w:r>
        <w:separator/>
      </w:r>
    </w:p>
  </w:footnote>
  <w:footnote w:type="continuationSeparator" w:id="0">
    <w:p w:rsidR="00DD66BC" w:rsidRDefault="00DD66BC" w:rsidP="00DD6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BC" w:rsidRDefault="0023146D">
    <w:pPr>
      <w:pStyle w:val="a8"/>
    </w:pPr>
    <w:r>
      <w:rPr>
        <w:rFonts w:hint="eastAsia"/>
      </w:rPr>
      <w:t>关于工银瑞信大和日经</w:t>
    </w:r>
    <w:r>
      <w:rPr>
        <w:rFonts w:hint="eastAsia"/>
      </w:rPr>
      <w:t>225</w:t>
    </w:r>
    <w:r>
      <w:rPr>
        <w:rFonts w:hint="eastAsia"/>
      </w:rPr>
      <w:t>交易型开放式指数证券投资基金（</w:t>
    </w:r>
    <w:r>
      <w:rPr>
        <w:rFonts w:hint="eastAsia"/>
      </w:rPr>
      <w:t>QDII</w:t>
    </w:r>
    <w:r>
      <w:rPr>
        <w:rFonts w:hint="eastAsia"/>
      </w:rPr>
      <w:t>）因境外主要投资市场节假日暂停申购、赎回业务的公告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6BC" w:rsidRDefault="0023146D">
    <w:pPr>
      <w:pStyle w:val="a8"/>
    </w:pPr>
    <w:r>
      <w:rPr>
        <w:rFonts w:hint="eastAsia"/>
      </w:rPr>
      <w:t>关于工银瑞信大和日经</w:t>
    </w:r>
    <w:r>
      <w:rPr>
        <w:rFonts w:hint="eastAsia"/>
      </w:rPr>
      <w:t>225</w:t>
    </w:r>
    <w:r>
      <w:rPr>
        <w:rFonts w:hint="eastAsia"/>
      </w:rPr>
      <w:t>交易型开放式指数证券投资基金（</w:t>
    </w:r>
    <w:r>
      <w:rPr>
        <w:rFonts w:hint="eastAsia"/>
      </w:rPr>
      <w:t>QDII</w:t>
    </w:r>
    <w:r>
      <w:rPr>
        <w:rFonts w:hint="eastAsia"/>
      </w:rPr>
      <w:t>）因境外主要投资市场节假日</w:t>
    </w:r>
    <w:r>
      <w:t>暂停申购、</w:t>
    </w:r>
    <w:r>
      <w:rPr>
        <w:rFonts w:hint="eastAsia"/>
      </w:rPr>
      <w:t>赎回</w:t>
    </w:r>
    <w:r>
      <w:t>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547D73EE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bordersDoNotSurroundHeader/>
  <w:bordersDoNotSurroundFooter/>
  <w:trackRevisions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737"/>
    <w:rsid w:val="000238D8"/>
    <w:rsid w:val="00033E39"/>
    <w:rsid w:val="00073452"/>
    <w:rsid w:val="0009424B"/>
    <w:rsid w:val="00113A0B"/>
    <w:rsid w:val="00163C0E"/>
    <w:rsid w:val="001840E6"/>
    <w:rsid w:val="001A2EA4"/>
    <w:rsid w:val="001B6ADA"/>
    <w:rsid w:val="0023146D"/>
    <w:rsid w:val="00231D07"/>
    <w:rsid w:val="00282170"/>
    <w:rsid w:val="002B4237"/>
    <w:rsid w:val="002C10A2"/>
    <w:rsid w:val="00315FE5"/>
    <w:rsid w:val="0032154C"/>
    <w:rsid w:val="00387383"/>
    <w:rsid w:val="003A076E"/>
    <w:rsid w:val="0041719B"/>
    <w:rsid w:val="0045012B"/>
    <w:rsid w:val="00473DCC"/>
    <w:rsid w:val="004775AA"/>
    <w:rsid w:val="00477F04"/>
    <w:rsid w:val="00500953"/>
    <w:rsid w:val="00507F6D"/>
    <w:rsid w:val="005166D8"/>
    <w:rsid w:val="00524CF3"/>
    <w:rsid w:val="005464C8"/>
    <w:rsid w:val="005936BF"/>
    <w:rsid w:val="005D1EB2"/>
    <w:rsid w:val="006134AF"/>
    <w:rsid w:val="00645AF9"/>
    <w:rsid w:val="00731347"/>
    <w:rsid w:val="00744542"/>
    <w:rsid w:val="00764740"/>
    <w:rsid w:val="007D7AC7"/>
    <w:rsid w:val="007E35D3"/>
    <w:rsid w:val="007F2055"/>
    <w:rsid w:val="008C4C29"/>
    <w:rsid w:val="008E2ABD"/>
    <w:rsid w:val="00AF595D"/>
    <w:rsid w:val="00B134C6"/>
    <w:rsid w:val="00B543F1"/>
    <w:rsid w:val="00B7080B"/>
    <w:rsid w:val="00B905FD"/>
    <w:rsid w:val="00B9343D"/>
    <w:rsid w:val="00B95EA0"/>
    <w:rsid w:val="00B96983"/>
    <w:rsid w:val="00BD0F15"/>
    <w:rsid w:val="00BF1D8A"/>
    <w:rsid w:val="00C23E36"/>
    <w:rsid w:val="00C32B62"/>
    <w:rsid w:val="00CB17DC"/>
    <w:rsid w:val="00CD608C"/>
    <w:rsid w:val="00D03F88"/>
    <w:rsid w:val="00D324A0"/>
    <w:rsid w:val="00D33737"/>
    <w:rsid w:val="00D87C8B"/>
    <w:rsid w:val="00DB5E35"/>
    <w:rsid w:val="00DD66BC"/>
    <w:rsid w:val="00DE6961"/>
    <w:rsid w:val="00E65A97"/>
    <w:rsid w:val="00E902E3"/>
    <w:rsid w:val="00E918C4"/>
    <w:rsid w:val="00F1283A"/>
    <w:rsid w:val="00FD3A34"/>
    <w:rsid w:val="00FF2068"/>
    <w:rsid w:val="08E51792"/>
    <w:rsid w:val="0FFC2D46"/>
    <w:rsid w:val="14EC000E"/>
    <w:rsid w:val="1B773380"/>
    <w:rsid w:val="280A6C8B"/>
    <w:rsid w:val="395A4B64"/>
    <w:rsid w:val="3CEB3F7F"/>
    <w:rsid w:val="532257B9"/>
    <w:rsid w:val="6B14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footnote reference" w:semiHidden="0" w:uiPriority="0" w:unhideWhenUsed="0" w:qFormat="1"/>
    <w:lsdException w:name="annotation reference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Date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BC"/>
    <w:pPr>
      <w:widowControl w:val="0"/>
      <w:jc w:val="both"/>
    </w:pPr>
    <w:rPr>
      <w:rFonts w:ascii="宋体" w:hAnsi="宋体"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DD66BC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Char1"/>
    <w:uiPriority w:val="9"/>
    <w:qFormat/>
    <w:rsid w:val="00DD66BC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Char1"/>
    <w:uiPriority w:val="9"/>
    <w:qFormat/>
    <w:rsid w:val="00DD66BC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Char1"/>
    <w:qFormat/>
    <w:rsid w:val="00DD66BC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DD66BC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DD66BC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qFormat/>
    <w:rsid w:val="00DD66BC"/>
    <w:pPr>
      <w:shd w:val="clear" w:color="auto" w:fill="00008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DD66BC"/>
    <w:pPr>
      <w:jc w:val="left"/>
    </w:pPr>
  </w:style>
  <w:style w:type="paragraph" w:styleId="30">
    <w:name w:val="toc 3"/>
    <w:basedOn w:val="a"/>
    <w:next w:val="a"/>
    <w:uiPriority w:val="39"/>
    <w:semiHidden/>
    <w:unhideWhenUsed/>
    <w:qFormat/>
    <w:rsid w:val="00DD66BC"/>
  </w:style>
  <w:style w:type="paragraph" w:styleId="a5">
    <w:name w:val="Date"/>
    <w:basedOn w:val="a"/>
    <w:next w:val="a"/>
    <w:link w:val="Char10"/>
    <w:qFormat/>
    <w:rsid w:val="00DD66BC"/>
    <w:rPr>
      <w:sz w:val="32"/>
      <w:lang w:val="zh-CN"/>
    </w:rPr>
  </w:style>
  <w:style w:type="paragraph" w:styleId="a6">
    <w:name w:val="Balloon Text"/>
    <w:basedOn w:val="a"/>
    <w:link w:val="Char11"/>
    <w:uiPriority w:val="99"/>
    <w:semiHidden/>
    <w:unhideWhenUsed/>
    <w:qFormat/>
    <w:rsid w:val="00DD66BC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DD6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0"/>
    <w:uiPriority w:val="99"/>
    <w:qFormat/>
    <w:rsid w:val="00DD6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DD66BC"/>
    <w:pPr>
      <w:tabs>
        <w:tab w:val="right" w:leader="dot" w:pos="8835"/>
      </w:tabs>
    </w:pPr>
  </w:style>
  <w:style w:type="paragraph" w:styleId="a9">
    <w:name w:val="Subtitle"/>
    <w:basedOn w:val="2"/>
    <w:next w:val="3"/>
    <w:link w:val="Char12"/>
    <w:qFormat/>
    <w:rsid w:val="00DD66BC"/>
    <w:pPr>
      <w:spacing w:before="240" w:after="60" w:line="312" w:lineRule="auto"/>
      <w:jc w:val="left"/>
    </w:pPr>
    <w:rPr>
      <w:bCs w:val="0"/>
      <w:kern w:val="24"/>
      <w:sz w:val="24"/>
    </w:rPr>
  </w:style>
  <w:style w:type="paragraph" w:styleId="aa">
    <w:name w:val="footnote text"/>
    <w:basedOn w:val="a"/>
    <w:link w:val="Char13"/>
    <w:qFormat/>
    <w:rsid w:val="00DD66BC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semiHidden/>
    <w:unhideWhenUsed/>
    <w:qFormat/>
    <w:rsid w:val="00DD66BC"/>
    <w:pPr>
      <w:ind w:leftChars="200" w:left="420"/>
    </w:pPr>
  </w:style>
  <w:style w:type="paragraph" w:styleId="ab">
    <w:name w:val="Normal (Web)"/>
    <w:basedOn w:val="a"/>
    <w:qFormat/>
    <w:rsid w:val="00DD66B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1"/>
    <w:next w:val="2"/>
    <w:link w:val="Char14"/>
    <w:uiPriority w:val="10"/>
    <w:qFormat/>
    <w:rsid w:val="00DD66BC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d">
    <w:name w:val="annotation subject"/>
    <w:basedOn w:val="a4"/>
    <w:next w:val="a4"/>
    <w:link w:val="Char0"/>
    <w:uiPriority w:val="99"/>
    <w:semiHidden/>
    <w:unhideWhenUsed/>
    <w:qFormat/>
    <w:rsid w:val="00DD66BC"/>
    <w:rPr>
      <w:b/>
      <w:bCs/>
    </w:rPr>
  </w:style>
  <w:style w:type="table" w:styleId="ae">
    <w:name w:val="Table Grid"/>
    <w:basedOn w:val="a1"/>
    <w:uiPriority w:val="59"/>
    <w:qFormat/>
    <w:rsid w:val="00DD66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qFormat/>
    <w:rsid w:val="00DD66BC"/>
    <w:rPr>
      <w:color w:val="800080" w:themeColor="followedHyperlink"/>
      <w:u w:val="single"/>
    </w:rPr>
  </w:style>
  <w:style w:type="character" w:styleId="af0">
    <w:name w:val="Hyperlink"/>
    <w:basedOn w:val="a0"/>
    <w:uiPriority w:val="99"/>
    <w:unhideWhenUsed/>
    <w:qFormat/>
    <w:rsid w:val="00DD66BC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sid w:val="00DD66BC"/>
    <w:rPr>
      <w:sz w:val="21"/>
      <w:szCs w:val="21"/>
    </w:rPr>
  </w:style>
  <w:style w:type="character" w:styleId="af2">
    <w:name w:val="footnote reference"/>
    <w:qFormat/>
    <w:rsid w:val="00DD66BC"/>
    <w:rPr>
      <w:vertAlign w:val="superscript"/>
    </w:rPr>
  </w:style>
  <w:style w:type="character" w:customStyle="1" w:styleId="11">
    <w:name w:val="标题 1 字符"/>
    <w:basedOn w:val="a0"/>
    <w:uiPriority w:val="9"/>
    <w:qFormat/>
    <w:locked/>
    <w:rsid w:val="00DD66BC"/>
    <w:rPr>
      <w:b/>
      <w:bCs/>
      <w:kern w:val="44"/>
      <w:sz w:val="44"/>
      <w:szCs w:val="44"/>
    </w:rPr>
  </w:style>
  <w:style w:type="character" w:customStyle="1" w:styleId="21">
    <w:name w:val="标题 2 字符"/>
    <w:basedOn w:val="a0"/>
    <w:uiPriority w:val="9"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1">
    <w:name w:val="标题 3 字符"/>
    <w:basedOn w:val="a0"/>
    <w:uiPriority w:val="9"/>
    <w:qFormat/>
    <w:locked/>
    <w:rsid w:val="00DD66BC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qFormat/>
    <w:rsid w:val="00DD66BC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qFormat/>
    <w:rsid w:val="00DD66BC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qFormat/>
    <w:rsid w:val="00DD66BC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af3">
    <w:name w:val="脚注文本 字符"/>
    <w:basedOn w:val="a0"/>
    <w:qFormat/>
    <w:locked/>
    <w:rsid w:val="00DD66BC"/>
    <w:rPr>
      <w:kern w:val="2"/>
      <w:sz w:val="18"/>
      <w:szCs w:val="18"/>
    </w:rPr>
  </w:style>
  <w:style w:type="character" w:customStyle="1" w:styleId="af4">
    <w:name w:val="页眉 字符"/>
    <w:basedOn w:val="a0"/>
    <w:uiPriority w:val="99"/>
    <w:qFormat/>
    <w:locked/>
    <w:rsid w:val="00DD66BC"/>
    <w:rPr>
      <w:kern w:val="2"/>
      <w:sz w:val="18"/>
      <w:szCs w:val="18"/>
    </w:rPr>
  </w:style>
  <w:style w:type="character" w:customStyle="1" w:styleId="af5">
    <w:name w:val="页脚 字符"/>
    <w:basedOn w:val="a0"/>
    <w:uiPriority w:val="99"/>
    <w:qFormat/>
    <w:locked/>
    <w:rsid w:val="00DD66BC"/>
    <w:rPr>
      <w:kern w:val="2"/>
      <w:sz w:val="18"/>
      <w:szCs w:val="18"/>
    </w:rPr>
  </w:style>
  <w:style w:type="character" w:customStyle="1" w:styleId="af6">
    <w:name w:val="标题 字符"/>
    <w:basedOn w:val="a0"/>
    <w:uiPriority w:val="10"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af7">
    <w:name w:val="副标题 字符"/>
    <w:basedOn w:val="a0"/>
    <w:qFormat/>
    <w:locked/>
    <w:rsid w:val="00DD66BC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character" w:customStyle="1" w:styleId="af8">
    <w:name w:val="日期 字符"/>
    <w:basedOn w:val="a0"/>
    <w:qFormat/>
    <w:locked/>
    <w:rsid w:val="00DD66BC"/>
    <w:rPr>
      <w:kern w:val="2"/>
      <w:sz w:val="21"/>
    </w:rPr>
  </w:style>
  <w:style w:type="character" w:customStyle="1" w:styleId="af9">
    <w:name w:val="文档结构图 字符"/>
    <w:basedOn w:val="a0"/>
    <w:qFormat/>
    <w:locked/>
    <w:rsid w:val="00DD66BC"/>
    <w:rPr>
      <w:rFonts w:ascii="Microsoft YaHei UI" w:eastAsia="Microsoft YaHei UI" w:hAnsi="Microsoft YaHei UI" w:hint="eastAsia"/>
      <w:kern w:val="2"/>
      <w:sz w:val="18"/>
      <w:szCs w:val="18"/>
    </w:rPr>
  </w:style>
  <w:style w:type="character" w:customStyle="1" w:styleId="afa">
    <w:name w:val="批注框文本 字符"/>
    <w:basedOn w:val="a0"/>
    <w:uiPriority w:val="99"/>
    <w:semiHidden/>
    <w:qFormat/>
    <w:locked/>
    <w:rsid w:val="00DD66BC"/>
    <w:rPr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D66B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/>
    </w:rPr>
  </w:style>
  <w:style w:type="paragraph" w:customStyle="1" w:styleId="XBRLTitle6">
    <w:name w:val="XBRLTitle6"/>
    <w:basedOn w:val="a9"/>
    <w:next w:val="4"/>
    <w:qFormat/>
    <w:rsid w:val="00DD66BC"/>
    <w:pPr>
      <w:numPr>
        <w:ilvl w:val="5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afb">
    <w:name w:val="次标题"/>
    <w:basedOn w:val="3"/>
    <w:next w:val="a"/>
    <w:qFormat/>
    <w:rsid w:val="00DD66BC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9"/>
    <w:next w:val="4"/>
    <w:qFormat/>
    <w:rsid w:val="00DD66BC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9"/>
    <w:next w:val="4"/>
    <w:qFormat/>
    <w:rsid w:val="00DD66BC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9"/>
    <w:next w:val="4"/>
    <w:qFormat/>
    <w:rsid w:val="00DD66BC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DD66BC"/>
    <w:pPr>
      <w:keepNext w:val="0"/>
      <w:keepLines w:val="0"/>
      <w:numPr>
        <w:numId w:val="1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9"/>
    <w:next w:val="4"/>
    <w:qFormat/>
    <w:rsid w:val="00DD66BC"/>
    <w:pPr>
      <w:keepNext w:val="0"/>
      <w:keepLines w:val="0"/>
      <w:numPr>
        <w:ilvl w:val="1"/>
        <w:numId w:val="1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9"/>
    <w:next w:val="4"/>
    <w:qFormat/>
    <w:rsid w:val="00DD66BC"/>
    <w:pPr>
      <w:numPr>
        <w:ilvl w:val="4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Char3">
    <w:name w:val="Char"/>
    <w:basedOn w:val="a"/>
    <w:qFormat/>
    <w:rsid w:val="00DD66BC"/>
  </w:style>
  <w:style w:type="paragraph" w:customStyle="1" w:styleId="CharCharCharCharCharChar1CharCharChar">
    <w:name w:val="Char Char Char Char Char Char1 Char Char Char"/>
    <w:basedOn w:val="a"/>
    <w:qFormat/>
    <w:rsid w:val="00DD66BC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DD66BC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9"/>
    <w:next w:val="4"/>
    <w:qFormat/>
    <w:rsid w:val="00DD66BC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9"/>
    <w:next w:val="4"/>
    <w:qFormat/>
    <w:rsid w:val="00DD66BC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9"/>
    <w:next w:val="4"/>
    <w:qFormat/>
    <w:rsid w:val="00DD66BC"/>
    <w:pPr>
      <w:numPr>
        <w:ilvl w:val="3"/>
        <w:numId w:val="1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qFormat/>
    <w:rsid w:val="00DD66B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9"/>
    <w:next w:val="4"/>
    <w:qFormat/>
    <w:rsid w:val="00DD66BC"/>
    <w:pPr>
      <w:keepNext w:val="0"/>
      <w:keepLines w:val="0"/>
      <w:numPr>
        <w:ilvl w:val="2"/>
        <w:numId w:val="1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qFormat/>
    <w:rsid w:val="00DD66BC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customStyle="1" w:styleId="1Char">
    <w:name w:val="标题 1 Char"/>
    <w:basedOn w:val="a0"/>
    <w:uiPriority w:val="9"/>
    <w:qFormat/>
    <w:locked/>
    <w:rsid w:val="00DD66B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qFormat/>
    <w:locked/>
    <w:rsid w:val="00DD66BC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qFormat/>
    <w:locked/>
    <w:rsid w:val="00DD66BC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4">
    <w:name w:val="脚注文本 Char"/>
    <w:basedOn w:val="a0"/>
    <w:qFormat/>
    <w:locked/>
    <w:rsid w:val="00DD66BC"/>
    <w:rPr>
      <w:kern w:val="2"/>
      <w:sz w:val="18"/>
      <w:szCs w:val="18"/>
    </w:rPr>
  </w:style>
  <w:style w:type="character" w:customStyle="1" w:styleId="Char5">
    <w:name w:val="页眉 Char"/>
    <w:basedOn w:val="a0"/>
    <w:uiPriority w:val="99"/>
    <w:qFormat/>
    <w:locked/>
    <w:rsid w:val="00DD66BC"/>
    <w:rPr>
      <w:kern w:val="2"/>
      <w:sz w:val="18"/>
      <w:szCs w:val="18"/>
    </w:rPr>
  </w:style>
  <w:style w:type="character" w:customStyle="1" w:styleId="Char6">
    <w:name w:val="页脚 Char"/>
    <w:basedOn w:val="a0"/>
    <w:uiPriority w:val="99"/>
    <w:qFormat/>
    <w:locked/>
    <w:rsid w:val="00DD66BC"/>
    <w:rPr>
      <w:kern w:val="2"/>
      <w:sz w:val="18"/>
      <w:szCs w:val="18"/>
    </w:rPr>
  </w:style>
  <w:style w:type="character" w:customStyle="1" w:styleId="Char7">
    <w:name w:val="标题 Char"/>
    <w:basedOn w:val="a0"/>
    <w:uiPriority w:val="10"/>
    <w:qFormat/>
    <w:locked/>
    <w:rsid w:val="00DD66BC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8">
    <w:name w:val="副标题 Char"/>
    <w:basedOn w:val="a0"/>
    <w:qFormat/>
    <w:locked/>
    <w:rsid w:val="00DD66BC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9">
    <w:name w:val="日期 Char"/>
    <w:basedOn w:val="a0"/>
    <w:qFormat/>
    <w:locked/>
    <w:rsid w:val="00DD66BC"/>
    <w:rPr>
      <w:kern w:val="2"/>
      <w:sz w:val="21"/>
    </w:rPr>
  </w:style>
  <w:style w:type="character" w:customStyle="1" w:styleId="Chara">
    <w:name w:val="文档结构图 Char"/>
    <w:basedOn w:val="a0"/>
    <w:qFormat/>
    <w:locked/>
    <w:rsid w:val="00DD66BC"/>
    <w:rPr>
      <w:rFonts w:ascii="宋体" w:eastAsia="宋体" w:hAnsi="宋体" w:hint="eastAsia"/>
      <w:kern w:val="2"/>
      <w:sz w:val="18"/>
      <w:szCs w:val="18"/>
    </w:rPr>
  </w:style>
  <w:style w:type="character" w:customStyle="1" w:styleId="Charb">
    <w:name w:val="批注框文本 Char"/>
    <w:basedOn w:val="a0"/>
    <w:uiPriority w:val="99"/>
    <w:semiHidden/>
    <w:qFormat/>
    <w:locked/>
    <w:rsid w:val="00DD66BC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qFormat/>
    <w:locked/>
    <w:rsid w:val="00DD66BC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qFormat/>
    <w:locked/>
    <w:rsid w:val="00DD66BC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qFormat/>
    <w:locked/>
    <w:rsid w:val="00DD66BC"/>
    <w:rPr>
      <w:b/>
      <w:bCs/>
      <w:sz w:val="32"/>
      <w:szCs w:val="32"/>
    </w:rPr>
  </w:style>
  <w:style w:type="character" w:customStyle="1" w:styleId="4Char1">
    <w:name w:val="标题 4 Char1"/>
    <w:link w:val="4"/>
    <w:semiHidden/>
    <w:qFormat/>
    <w:locked/>
    <w:rsid w:val="00DD66BC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3">
    <w:name w:val="脚注文本 Char1"/>
    <w:basedOn w:val="a0"/>
    <w:link w:val="aa"/>
    <w:qFormat/>
    <w:locked/>
    <w:rsid w:val="00DD66BC"/>
    <w:rPr>
      <w:kern w:val="2"/>
      <w:sz w:val="18"/>
      <w:szCs w:val="18"/>
    </w:rPr>
  </w:style>
  <w:style w:type="character" w:customStyle="1" w:styleId="Char20">
    <w:name w:val="页眉 Char2"/>
    <w:basedOn w:val="a0"/>
    <w:link w:val="a8"/>
    <w:qFormat/>
    <w:locked/>
    <w:rsid w:val="00DD66BC"/>
    <w:rPr>
      <w:kern w:val="2"/>
      <w:sz w:val="18"/>
      <w:szCs w:val="18"/>
    </w:rPr>
  </w:style>
  <w:style w:type="character" w:customStyle="1" w:styleId="Char2">
    <w:name w:val="页脚 Char2"/>
    <w:basedOn w:val="a0"/>
    <w:link w:val="a7"/>
    <w:uiPriority w:val="99"/>
    <w:qFormat/>
    <w:locked/>
    <w:rsid w:val="00DD66BC"/>
    <w:rPr>
      <w:kern w:val="2"/>
      <w:sz w:val="18"/>
      <w:szCs w:val="18"/>
    </w:rPr>
  </w:style>
  <w:style w:type="character" w:customStyle="1" w:styleId="Char14">
    <w:name w:val="标题 Char1"/>
    <w:link w:val="ac"/>
    <w:uiPriority w:val="10"/>
    <w:qFormat/>
    <w:locked/>
    <w:rsid w:val="00DD66BC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9"/>
    <w:qFormat/>
    <w:locked/>
    <w:rsid w:val="00DD66BC"/>
    <w:rPr>
      <w:rFonts w:ascii="Cambria" w:eastAsia="宋体" w:hAnsi="Cambria" w:cs="宋体" w:hint="default"/>
      <w:b/>
      <w:kern w:val="24"/>
      <w:sz w:val="24"/>
      <w:szCs w:val="32"/>
    </w:rPr>
  </w:style>
  <w:style w:type="character" w:customStyle="1" w:styleId="Char10">
    <w:name w:val="日期 Char1"/>
    <w:link w:val="a5"/>
    <w:qFormat/>
    <w:locked/>
    <w:rsid w:val="00DD66BC"/>
    <w:rPr>
      <w:rFonts w:ascii="宋体" w:eastAsia="宋体" w:hAnsi="宋体" w:hint="eastAsia"/>
      <w:kern w:val="2"/>
      <w:sz w:val="32"/>
    </w:rPr>
  </w:style>
  <w:style w:type="character" w:customStyle="1" w:styleId="Char1">
    <w:name w:val="文档结构图 Char1"/>
    <w:basedOn w:val="a0"/>
    <w:link w:val="a3"/>
    <w:qFormat/>
    <w:locked/>
    <w:rsid w:val="00DD66BC"/>
    <w:rPr>
      <w:rFonts w:ascii="宋体" w:eastAsia="宋体" w:hAnsi="宋体" w:hint="eastAsia"/>
      <w:kern w:val="2"/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qFormat/>
    <w:locked/>
    <w:rsid w:val="00DD66BC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qFormat/>
    <w:locked/>
    <w:rsid w:val="00DD66BC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qFormat/>
    <w:locked/>
    <w:rsid w:val="00DD66BC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qFormat/>
    <w:locked/>
    <w:rsid w:val="00DD66BC"/>
    <w:rPr>
      <w:kern w:val="2"/>
      <w:sz w:val="18"/>
      <w:szCs w:val="18"/>
    </w:rPr>
  </w:style>
  <w:style w:type="character" w:customStyle="1" w:styleId="Char15">
    <w:name w:val="页眉 Char1"/>
    <w:basedOn w:val="a0"/>
    <w:qFormat/>
    <w:locked/>
    <w:rsid w:val="00DD66BC"/>
    <w:rPr>
      <w:kern w:val="2"/>
      <w:sz w:val="18"/>
      <w:szCs w:val="18"/>
    </w:rPr>
  </w:style>
  <w:style w:type="character" w:customStyle="1" w:styleId="Char16">
    <w:name w:val="页脚 Char1"/>
    <w:basedOn w:val="a0"/>
    <w:uiPriority w:val="99"/>
    <w:qFormat/>
    <w:locked/>
    <w:rsid w:val="00DD66BC"/>
    <w:rPr>
      <w:kern w:val="2"/>
      <w:sz w:val="18"/>
      <w:szCs w:val="18"/>
    </w:rPr>
  </w:style>
  <w:style w:type="paragraph" w:styleId="afc">
    <w:name w:val="List Paragraph"/>
    <w:basedOn w:val="a"/>
    <w:uiPriority w:val="99"/>
    <w:qFormat/>
    <w:rsid w:val="00DD66BC"/>
    <w:pPr>
      <w:ind w:firstLineChars="200" w:firstLine="420"/>
    </w:pPr>
  </w:style>
  <w:style w:type="character" w:customStyle="1" w:styleId="Char">
    <w:name w:val="批注文字 Char"/>
    <w:basedOn w:val="a0"/>
    <w:link w:val="a4"/>
    <w:uiPriority w:val="99"/>
    <w:semiHidden/>
    <w:qFormat/>
    <w:rsid w:val="00DD66BC"/>
    <w:rPr>
      <w:rFonts w:cs="宋体"/>
      <w:kern w:val="2"/>
      <w:sz w:val="21"/>
    </w:rPr>
  </w:style>
  <w:style w:type="character" w:customStyle="1" w:styleId="Char0">
    <w:name w:val="批注主题 Char"/>
    <w:basedOn w:val="Char"/>
    <w:link w:val="ad"/>
    <w:uiPriority w:val="99"/>
    <w:semiHidden/>
    <w:qFormat/>
    <w:rsid w:val="00DD66BC"/>
    <w:rPr>
      <w:rFonts w:cs="宋体"/>
      <w:b/>
      <w:bCs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ccs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9FEE-D281-44DC-BE60-CBA9364B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4</DocSecurity>
  <Lines>7</Lines>
  <Paragraphs>1</Paragraphs>
  <ScaleCrop>false</ScaleCrop>
  <Company>ICBC.V20200907.01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ZHONGM</cp:lastModifiedBy>
  <cp:revision>2</cp:revision>
  <cp:lastPrinted>2024-08-06T01:08:00Z</cp:lastPrinted>
  <dcterms:created xsi:type="dcterms:W3CDTF">2025-02-20T16:01:00Z</dcterms:created>
  <dcterms:modified xsi:type="dcterms:W3CDTF">2025-02-20T16:01:00Z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63670CFD0DF04C12A131D45D43804DA3</vt:lpwstr>
  </property>
</Properties>
</file>