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DE" w:rsidRDefault="00B97E80">
      <w:pPr>
        <w:jc w:val="center"/>
        <w:rPr>
          <w:rFonts w:ascii="宋体" w:eastAsia="宋体" w:hAnsi="宋体" w:cs="宋体"/>
          <w:sz w:val="48"/>
          <w:szCs w:val="48"/>
          <w:lang w:eastAsia="zh-CN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sz w:val="48"/>
          <w:szCs w:val="48"/>
          <w:lang w:eastAsia="zh-CN"/>
        </w:rPr>
        <w:t>鹏华碳中和主题混合型证券投资基金暂停</w:t>
      </w:r>
      <w:r w:rsidR="005876F4">
        <w:rPr>
          <w:rFonts w:ascii="宋体" w:eastAsia="宋体" w:hAnsi="宋体" w:cs="宋体" w:hint="eastAsia"/>
          <w:b/>
          <w:bCs/>
          <w:sz w:val="48"/>
          <w:szCs w:val="48"/>
          <w:lang w:eastAsia="zh-CN"/>
        </w:rPr>
        <w:t>个人投资者</w:t>
      </w:r>
      <w:r>
        <w:rPr>
          <w:rFonts w:ascii="宋体" w:eastAsia="宋体" w:hAnsi="宋体" w:cs="宋体"/>
          <w:b/>
          <w:bCs/>
          <w:sz w:val="48"/>
          <w:szCs w:val="48"/>
          <w:lang w:eastAsia="zh-CN"/>
        </w:rPr>
        <w:t>大额申购、转换转入和定期定额投资业务的公告</w:t>
      </w:r>
    </w:p>
    <w:p w:rsidR="005F35DE" w:rsidRDefault="00B97E80">
      <w:pPr>
        <w:jc w:val="center"/>
        <w:rPr>
          <w:sz w:val="30"/>
          <w:szCs w:val="30"/>
          <w:lang w:eastAsia="zh-CN"/>
        </w:rPr>
      </w:pPr>
      <w:r>
        <w:rPr>
          <w:rFonts w:eastAsia="Times New Roman"/>
          <w:sz w:val="30"/>
          <w:szCs w:val="30"/>
          <w:lang w:eastAsia="zh-CN"/>
        </w:rPr>
        <w:t> </w:t>
      </w:r>
    </w:p>
    <w:p w:rsidR="005F35DE" w:rsidRDefault="00B97E80">
      <w:pPr>
        <w:jc w:val="center"/>
        <w:rPr>
          <w:sz w:val="30"/>
          <w:szCs w:val="30"/>
          <w:lang w:eastAsia="zh-CN"/>
        </w:rPr>
      </w:pPr>
      <w:r>
        <w:rPr>
          <w:rFonts w:eastAsia="Times New Roman"/>
          <w:sz w:val="30"/>
          <w:szCs w:val="30"/>
          <w:lang w:eastAsia="zh-CN"/>
        </w:rPr>
        <w:t> </w:t>
      </w:r>
    </w:p>
    <w:p w:rsidR="005F35DE" w:rsidRDefault="00B97E80">
      <w:pPr>
        <w:jc w:val="center"/>
        <w:rPr>
          <w:sz w:val="30"/>
          <w:szCs w:val="30"/>
          <w:lang w:eastAsia="zh-CN"/>
        </w:rPr>
      </w:pPr>
      <w:r>
        <w:rPr>
          <w:rFonts w:eastAsia="Times New Roman"/>
          <w:sz w:val="30"/>
          <w:szCs w:val="30"/>
          <w:lang w:eastAsia="zh-CN"/>
        </w:rPr>
        <w:t> </w:t>
      </w:r>
    </w:p>
    <w:p w:rsidR="005F35DE" w:rsidRDefault="00B97E80">
      <w:pPr>
        <w:jc w:val="center"/>
        <w:rPr>
          <w:sz w:val="30"/>
          <w:szCs w:val="30"/>
          <w:lang w:eastAsia="zh-CN"/>
        </w:rPr>
      </w:pPr>
      <w:r>
        <w:rPr>
          <w:rFonts w:eastAsia="Times New Roman"/>
          <w:sz w:val="30"/>
          <w:szCs w:val="30"/>
          <w:lang w:eastAsia="zh-CN"/>
        </w:rPr>
        <w:t> </w:t>
      </w:r>
    </w:p>
    <w:p w:rsidR="005F35DE" w:rsidRDefault="00B97E80">
      <w:pPr>
        <w:jc w:val="center"/>
        <w:rPr>
          <w:sz w:val="30"/>
          <w:szCs w:val="30"/>
          <w:lang w:eastAsia="zh-CN"/>
        </w:rPr>
      </w:pPr>
      <w:r>
        <w:rPr>
          <w:rFonts w:eastAsia="Times New Roman"/>
          <w:sz w:val="30"/>
          <w:szCs w:val="30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  <w:rPr>
          <w:lang w:eastAsia="zh-CN"/>
        </w:rPr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center"/>
        <w:rPr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公告送出日期：2025年02月21日</w:t>
      </w:r>
    </w:p>
    <w:p w:rsidR="005F35DE" w:rsidRDefault="00B97E80">
      <w:pPr>
        <w:jc w:val="both"/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</w:pPr>
      <w:r>
        <w:rPr>
          <w:rFonts w:eastAsia="Times New Roman"/>
          <w:lang w:eastAsia="zh-CN"/>
        </w:rPr>
        <w:t> </w:t>
      </w:r>
    </w:p>
    <w:p w:rsidR="005F35DE" w:rsidRDefault="00B97E80">
      <w:pPr>
        <w:jc w:val="both"/>
      </w:pPr>
      <w:r>
        <w:rPr>
          <w:rFonts w:eastAsia="Times New Roman"/>
          <w:lang w:eastAsia="zh-CN"/>
        </w:rPr>
        <w:t> </w:t>
      </w:r>
    </w:p>
    <w:p w:rsidR="005F35DE" w:rsidRDefault="00B97E80">
      <w:r>
        <w:rPr>
          <w:rFonts w:ascii="宋体" w:eastAsia="宋体" w:hAnsi="宋体" w:cs="宋体"/>
          <w:b/>
          <w:bCs/>
          <w:lang w:eastAsia="zh-CN"/>
        </w:rPr>
        <w:lastRenderedPageBreak/>
        <w:t>1公告基本信息</w:t>
      </w:r>
    </w:p>
    <w:tbl>
      <w:tblPr>
        <w:tblW w:w="0" w:type="auto"/>
        <w:tblInd w:w="226" w:type="dxa"/>
        <w:tblCellMar>
          <w:left w:w="0" w:type="dxa"/>
          <w:right w:w="0" w:type="dxa"/>
        </w:tblCellMar>
        <w:tblLook w:val="04A0"/>
      </w:tblPr>
      <w:tblGrid>
        <w:gridCol w:w="4445"/>
        <w:gridCol w:w="1812"/>
        <w:gridCol w:w="2039"/>
      </w:tblGrid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基金名称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鹏华碳中和主题混合型证券投资基金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基金简称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鹏华碳中和主题混合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基金主代码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016530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基金管理人名称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鹏华基金管理有限公司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公告依据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《鹏华碳中和主题混合型证券投资基金基金合同》（以下简称“基金合同”）、《鹏华碳中和主题混合型证券投资基金招募说明书》及其更新（以下简称“招募说明书”）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暂停大额申购起始日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2025年02月24日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暂停大额转换转入起始日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2025年02月24日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暂停大额定期定额投资起始日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2025年02月24日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暂停大额申购（转换转入、定期定额投资）的原因说明</w:t>
            </w:r>
          </w:p>
        </w:tc>
        <w:tc>
          <w:tcPr>
            <w:tcW w:w="40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18" w:type="dxa"/>
              <w:bottom w:w="10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保护基金份额持有人利益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10" w:type="dxa"/>
              <w:left w:w="10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下属基金份额类别的基金简称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鹏华碳中和主题混合A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鹏华碳中和主题混合C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10" w:type="dxa"/>
              <w:left w:w="10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下属基金份额类别的基金代码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016530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016531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10" w:type="dxa"/>
              <w:left w:w="10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该类基金份额是否暂停大额申购（转换转入、定期定额投资）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是</w:t>
            </w:r>
          </w:p>
        </w:tc>
      </w:tr>
      <w:tr w:rsidR="005F35DE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10" w:type="dxa"/>
              <w:left w:w="10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该类基金份额的限制申购（转换转入、定期定额投资）金额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1,000,000</w:t>
            </w:r>
          </w:p>
        </w:tc>
        <w:tc>
          <w:tcPr>
            <w:tcW w:w="1875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10" w:type="dxa"/>
              <w:left w:w="118" w:type="dxa"/>
              <w:bottom w:w="8" w:type="dxa"/>
              <w:right w:w="108" w:type="dxa"/>
            </w:tcMar>
            <w:hideMark/>
          </w:tcPr>
          <w:p w:rsidR="005F35DE" w:rsidRDefault="00B97E80" w:rsidP="00BF10E9">
            <w:pPr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1,000,000</w:t>
            </w:r>
          </w:p>
        </w:tc>
      </w:tr>
    </w:tbl>
    <w:p w:rsidR="00BF10E9" w:rsidRDefault="00BF10E9">
      <w:pPr>
        <w:spacing w:line="360" w:lineRule="auto"/>
        <w:rPr>
          <w:rFonts w:ascii="宋体" w:eastAsia="宋体" w:hAnsi="宋体" w:cs="宋体"/>
          <w:b/>
          <w:bCs/>
          <w:lang w:eastAsia="zh-CN"/>
        </w:rPr>
      </w:pPr>
    </w:p>
    <w:p w:rsidR="005F35DE" w:rsidRDefault="00B97E80">
      <w:pPr>
        <w:spacing w:line="360" w:lineRule="auto"/>
      </w:pPr>
      <w:r>
        <w:rPr>
          <w:rFonts w:ascii="宋体" w:eastAsia="宋体" w:hAnsi="宋体" w:cs="宋体"/>
          <w:b/>
          <w:bCs/>
          <w:lang w:eastAsia="zh-CN"/>
        </w:rPr>
        <w:t>2其他需要提示的事项</w:t>
      </w:r>
    </w:p>
    <w:p w:rsidR="005F35DE" w:rsidRPr="00BF10E9" w:rsidRDefault="00B97E80">
      <w:pPr>
        <w:spacing w:line="360" w:lineRule="auto"/>
        <w:ind w:firstLine="442"/>
        <w:jc w:val="both"/>
        <w:rPr>
          <w:rFonts w:ascii="宋体" w:eastAsia="宋体" w:hAnsi="宋体"/>
          <w:sz w:val="21"/>
          <w:szCs w:val="21"/>
          <w:lang w:eastAsia="zh-CN"/>
        </w:rPr>
      </w:pPr>
      <w:r w:rsidRPr="00BF10E9">
        <w:rPr>
          <w:rFonts w:ascii="宋体" w:eastAsia="宋体" w:hAnsi="宋体" w:cs="宋体"/>
          <w:sz w:val="21"/>
          <w:szCs w:val="21"/>
          <w:lang w:eastAsia="zh-CN"/>
        </w:rPr>
        <w:t>（</w:t>
      </w:r>
      <w:r w:rsidRPr="00BF10E9">
        <w:rPr>
          <w:rFonts w:ascii="宋体" w:eastAsia="宋体" w:hAnsi="宋体"/>
          <w:sz w:val="21"/>
          <w:szCs w:val="21"/>
          <w:lang w:eastAsia="zh-CN"/>
        </w:rPr>
        <w:t>1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）鹏华碳中和主题混合型证券投资基金（以下简称</w:t>
      </w:r>
      <w:r w:rsidRPr="00BF10E9">
        <w:rPr>
          <w:rFonts w:ascii="宋体" w:eastAsia="宋体" w:hAnsi="宋体"/>
          <w:sz w:val="21"/>
          <w:szCs w:val="21"/>
          <w:lang w:eastAsia="zh-CN"/>
        </w:rPr>
        <w:t>“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本基金</w:t>
      </w:r>
      <w:r w:rsidRPr="00BF10E9">
        <w:rPr>
          <w:rFonts w:ascii="宋体" w:eastAsia="宋体" w:hAnsi="宋体"/>
          <w:sz w:val="21"/>
          <w:szCs w:val="21"/>
          <w:lang w:eastAsia="zh-CN"/>
        </w:rPr>
        <w:t>”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）</w:t>
      </w:r>
      <w:r w:rsidRPr="00BF10E9">
        <w:rPr>
          <w:rFonts w:ascii="宋体" w:eastAsia="宋体" w:hAnsi="宋体"/>
          <w:sz w:val="21"/>
          <w:szCs w:val="21"/>
          <w:lang w:eastAsia="zh-CN"/>
        </w:rPr>
        <w:t>A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类基金份额自</w:t>
      </w:r>
      <w:r w:rsidRPr="00BF10E9">
        <w:rPr>
          <w:rFonts w:ascii="宋体" w:eastAsia="宋体" w:hAnsi="宋体"/>
          <w:sz w:val="21"/>
          <w:szCs w:val="21"/>
          <w:lang w:eastAsia="zh-CN"/>
        </w:rPr>
        <w:t>2025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年</w:t>
      </w:r>
      <w:r w:rsidRPr="00BF10E9">
        <w:rPr>
          <w:rFonts w:ascii="宋体" w:eastAsia="宋体" w:hAnsi="宋体"/>
          <w:sz w:val="21"/>
          <w:szCs w:val="21"/>
          <w:lang w:eastAsia="zh-CN"/>
        </w:rPr>
        <w:t>02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月</w:t>
      </w:r>
      <w:r w:rsidRPr="00BF10E9">
        <w:rPr>
          <w:rFonts w:ascii="宋体" w:eastAsia="宋体" w:hAnsi="宋体"/>
          <w:sz w:val="21"/>
          <w:szCs w:val="21"/>
          <w:lang w:eastAsia="zh-CN"/>
        </w:rPr>
        <w:t>24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日起，</w:t>
      </w:r>
      <w:r w:rsidR="005876F4">
        <w:rPr>
          <w:rFonts w:ascii="宋体" w:eastAsia="宋体" w:hAnsi="宋体" w:cs="宋体" w:hint="eastAsia"/>
          <w:sz w:val="21"/>
          <w:szCs w:val="21"/>
          <w:lang w:eastAsia="zh-CN"/>
        </w:rPr>
        <w:t>个人投资者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单日单个基金账户累计的申购、转换转入、定期定额投资金额限额设置为人民币</w:t>
      </w:r>
      <w:r w:rsidRPr="00BF10E9">
        <w:rPr>
          <w:rFonts w:ascii="宋体" w:eastAsia="宋体" w:hAnsi="宋体"/>
          <w:sz w:val="21"/>
          <w:szCs w:val="21"/>
          <w:lang w:eastAsia="zh-CN"/>
        </w:rPr>
        <w:t>100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万元，如某笔申请将导致</w:t>
      </w:r>
      <w:r w:rsidR="005876F4">
        <w:rPr>
          <w:rFonts w:ascii="宋体" w:eastAsia="宋体" w:hAnsi="宋体" w:cs="宋体" w:hint="eastAsia"/>
          <w:sz w:val="21"/>
          <w:szCs w:val="21"/>
          <w:lang w:eastAsia="zh-CN"/>
        </w:rPr>
        <w:t>个人投资者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单日单个基金账户累计申购、转换转入、定期定额投资本基金</w:t>
      </w:r>
      <w:r w:rsidRPr="00BF10E9">
        <w:rPr>
          <w:rFonts w:ascii="宋体" w:eastAsia="宋体" w:hAnsi="宋体"/>
          <w:sz w:val="21"/>
          <w:szCs w:val="21"/>
          <w:lang w:eastAsia="zh-CN"/>
        </w:rPr>
        <w:t>A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类基金份额金额超过人民币</w:t>
      </w:r>
      <w:r w:rsidRPr="00BF10E9">
        <w:rPr>
          <w:rFonts w:ascii="宋体" w:eastAsia="宋体" w:hAnsi="宋体"/>
          <w:sz w:val="21"/>
          <w:szCs w:val="21"/>
          <w:lang w:eastAsia="zh-CN"/>
        </w:rPr>
        <w:t>100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万元（不含</w:t>
      </w:r>
      <w:r w:rsidRPr="00BF10E9">
        <w:rPr>
          <w:rFonts w:ascii="宋体" w:eastAsia="宋体" w:hAnsi="宋体"/>
          <w:sz w:val="21"/>
          <w:szCs w:val="21"/>
          <w:lang w:eastAsia="zh-CN"/>
        </w:rPr>
        <w:t>100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万元），本基金管理人将有权拒绝该笔申请。</w:t>
      </w:r>
      <w:r w:rsidRPr="00BF10E9">
        <w:rPr>
          <w:rFonts w:ascii="宋体" w:eastAsia="宋体" w:hAnsi="宋体"/>
          <w:sz w:val="21"/>
          <w:szCs w:val="21"/>
          <w:lang w:eastAsia="zh-CN"/>
        </w:rPr>
        <w:t xml:space="preserve"> </w:t>
      </w:r>
    </w:p>
    <w:p w:rsidR="005F35DE" w:rsidRPr="00BF10E9" w:rsidRDefault="00B97E80">
      <w:pPr>
        <w:spacing w:line="360" w:lineRule="auto"/>
        <w:ind w:firstLine="442"/>
        <w:jc w:val="both"/>
        <w:rPr>
          <w:rFonts w:ascii="宋体" w:eastAsia="宋体" w:hAnsi="宋体"/>
          <w:sz w:val="21"/>
          <w:szCs w:val="21"/>
          <w:lang w:eastAsia="zh-CN"/>
        </w:rPr>
      </w:pPr>
      <w:r w:rsidRPr="00BF10E9">
        <w:rPr>
          <w:rFonts w:ascii="宋体" w:eastAsia="宋体" w:hAnsi="宋体" w:cs="宋体"/>
          <w:sz w:val="21"/>
          <w:szCs w:val="21"/>
          <w:lang w:eastAsia="zh-CN"/>
        </w:rPr>
        <w:t>本基金</w:t>
      </w:r>
      <w:r w:rsidRPr="00BF10E9">
        <w:rPr>
          <w:rFonts w:ascii="宋体" w:eastAsia="宋体" w:hAnsi="宋体"/>
          <w:sz w:val="21"/>
          <w:szCs w:val="21"/>
          <w:lang w:eastAsia="zh-CN"/>
        </w:rPr>
        <w:t>C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类基金份额自</w:t>
      </w:r>
      <w:r w:rsidRPr="00BF10E9">
        <w:rPr>
          <w:rFonts w:ascii="宋体" w:eastAsia="宋体" w:hAnsi="宋体"/>
          <w:sz w:val="21"/>
          <w:szCs w:val="21"/>
          <w:lang w:eastAsia="zh-CN"/>
        </w:rPr>
        <w:t>2025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年</w:t>
      </w:r>
      <w:r w:rsidRPr="00BF10E9">
        <w:rPr>
          <w:rFonts w:ascii="宋体" w:eastAsia="宋体" w:hAnsi="宋体"/>
          <w:sz w:val="21"/>
          <w:szCs w:val="21"/>
          <w:lang w:eastAsia="zh-CN"/>
        </w:rPr>
        <w:t>02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月</w:t>
      </w:r>
      <w:r w:rsidRPr="00BF10E9">
        <w:rPr>
          <w:rFonts w:ascii="宋体" w:eastAsia="宋体" w:hAnsi="宋体"/>
          <w:sz w:val="21"/>
          <w:szCs w:val="21"/>
          <w:lang w:eastAsia="zh-CN"/>
        </w:rPr>
        <w:t>24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日起，</w:t>
      </w:r>
      <w:r w:rsidR="005876F4">
        <w:rPr>
          <w:rFonts w:ascii="宋体" w:eastAsia="宋体" w:hAnsi="宋体" w:cs="宋体" w:hint="eastAsia"/>
          <w:sz w:val="21"/>
          <w:szCs w:val="21"/>
          <w:lang w:eastAsia="zh-CN"/>
        </w:rPr>
        <w:t>个人投资者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单日单个基金账户累计的申购、转换转入、定期定额投资金额限额设置为人民币</w:t>
      </w:r>
      <w:r w:rsidRPr="00BF10E9">
        <w:rPr>
          <w:rFonts w:ascii="宋体" w:eastAsia="宋体" w:hAnsi="宋体"/>
          <w:sz w:val="21"/>
          <w:szCs w:val="21"/>
          <w:lang w:eastAsia="zh-CN"/>
        </w:rPr>
        <w:t>100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万元，如某笔申请将导致</w:t>
      </w:r>
      <w:r w:rsidR="005876F4">
        <w:rPr>
          <w:rFonts w:ascii="宋体" w:eastAsia="宋体" w:hAnsi="宋体" w:cs="宋体" w:hint="eastAsia"/>
          <w:sz w:val="21"/>
          <w:szCs w:val="21"/>
          <w:lang w:eastAsia="zh-CN"/>
        </w:rPr>
        <w:t>个人投资者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单日单个基金账户累计申购、转换转入、定期定额投资本基金</w:t>
      </w:r>
      <w:r w:rsidRPr="00BF10E9">
        <w:rPr>
          <w:rFonts w:ascii="宋体" w:eastAsia="宋体" w:hAnsi="宋体"/>
          <w:sz w:val="21"/>
          <w:szCs w:val="21"/>
          <w:lang w:eastAsia="zh-CN"/>
        </w:rPr>
        <w:t>C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类基金份额金额超过人民币</w:t>
      </w:r>
      <w:r w:rsidRPr="00BF10E9">
        <w:rPr>
          <w:rFonts w:ascii="宋体" w:eastAsia="宋体" w:hAnsi="宋体"/>
          <w:sz w:val="21"/>
          <w:szCs w:val="21"/>
          <w:lang w:eastAsia="zh-CN"/>
        </w:rPr>
        <w:t>100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万元（不含</w:t>
      </w:r>
      <w:r w:rsidRPr="00BF10E9">
        <w:rPr>
          <w:rFonts w:ascii="宋体" w:eastAsia="宋体" w:hAnsi="宋体"/>
          <w:sz w:val="21"/>
          <w:szCs w:val="21"/>
          <w:lang w:eastAsia="zh-CN"/>
        </w:rPr>
        <w:t>100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万元），本基金管理人将有权拒绝该笔申请。</w:t>
      </w:r>
      <w:r w:rsidRPr="00BF10E9">
        <w:rPr>
          <w:rFonts w:ascii="宋体" w:eastAsia="宋体" w:hAnsi="宋体"/>
          <w:sz w:val="21"/>
          <w:szCs w:val="21"/>
          <w:lang w:eastAsia="zh-CN"/>
        </w:rPr>
        <w:t xml:space="preserve"> </w:t>
      </w:r>
    </w:p>
    <w:p w:rsidR="005F35DE" w:rsidRPr="00BF10E9" w:rsidRDefault="00B97E80">
      <w:pPr>
        <w:spacing w:line="360" w:lineRule="auto"/>
        <w:ind w:firstLine="442"/>
        <w:jc w:val="both"/>
        <w:rPr>
          <w:rFonts w:ascii="宋体" w:eastAsia="宋体" w:hAnsi="宋体"/>
          <w:sz w:val="21"/>
          <w:szCs w:val="21"/>
          <w:lang w:eastAsia="zh-CN"/>
        </w:rPr>
      </w:pPr>
      <w:r w:rsidRPr="00BF10E9">
        <w:rPr>
          <w:rFonts w:ascii="宋体" w:eastAsia="宋体" w:hAnsi="宋体" w:cs="宋体"/>
          <w:sz w:val="21"/>
          <w:szCs w:val="21"/>
          <w:lang w:eastAsia="zh-CN"/>
        </w:rPr>
        <w:t>（2）在暂停</w:t>
      </w:r>
      <w:r w:rsidR="005876F4">
        <w:rPr>
          <w:rFonts w:ascii="宋体" w:eastAsia="宋体" w:hAnsi="宋体" w:cs="宋体" w:hint="eastAsia"/>
          <w:sz w:val="21"/>
          <w:szCs w:val="21"/>
          <w:lang w:eastAsia="zh-CN"/>
        </w:rPr>
        <w:t>个人投资者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大额申购、转换转入、定期定额投资业务期间，</w:t>
      </w:r>
      <w:r w:rsidR="005876F4">
        <w:rPr>
          <w:rFonts w:ascii="宋体" w:eastAsia="宋体" w:hAnsi="宋体" w:cs="宋体" w:hint="eastAsia"/>
          <w:sz w:val="21"/>
          <w:szCs w:val="21"/>
          <w:lang w:eastAsia="zh-CN"/>
        </w:rPr>
        <w:t>个人投资者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赎回、转换转出等其他业务仍照常办理。恢复办理本基金</w:t>
      </w:r>
      <w:r w:rsidR="005876F4">
        <w:rPr>
          <w:rFonts w:ascii="宋体" w:eastAsia="宋体" w:hAnsi="宋体" w:cs="宋体" w:hint="eastAsia"/>
          <w:sz w:val="21"/>
          <w:szCs w:val="21"/>
          <w:lang w:eastAsia="zh-CN"/>
        </w:rPr>
        <w:t>个人投资者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的大额申购、转换转入、定期定额投资业务或调整本基金上述业务限制，基金管理人届时将另行公告。</w:t>
      </w:r>
    </w:p>
    <w:p w:rsidR="005F35DE" w:rsidRPr="00BF10E9" w:rsidRDefault="00B97E80">
      <w:pPr>
        <w:spacing w:line="360" w:lineRule="auto"/>
        <w:ind w:firstLine="442"/>
        <w:jc w:val="both"/>
        <w:rPr>
          <w:rFonts w:ascii="宋体" w:eastAsia="宋体" w:hAnsi="宋体"/>
          <w:sz w:val="21"/>
          <w:szCs w:val="21"/>
        </w:rPr>
      </w:pPr>
      <w:r w:rsidRPr="00BF10E9">
        <w:rPr>
          <w:rFonts w:ascii="宋体" w:eastAsia="宋体" w:hAnsi="宋体" w:cs="宋体"/>
          <w:sz w:val="21"/>
          <w:szCs w:val="21"/>
          <w:lang w:eastAsia="zh-CN"/>
        </w:rPr>
        <w:t>（3）投资者可登录本基金管理人网站（www.phfund.com.cn），或拨打客户服务电话（400-6788-533）咨询相关信息。</w:t>
      </w:r>
    </w:p>
    <w:p w:rsidR="005F35DE" w:rsidRPr="00BF10E9" w:rsidRDefault="00B97E80">
      <w:pPr>
        <w:spacing w:line="360" w:lineRule="auto"/>
        <w:ind w:firstLine="442"/>
        <w:jc w:val="both"/>
        <w:rPr>
          <w:rFonts w:ascii="宋体" w:eastAsia="宋体" w:hAnsi="宋体"/>
          <w:sz w:val="21"/>
          <w:szCs w:val="21"/>
          <w:lang w:eastAsia="zh-CN"/>
        </w:rPr>
      </w:pPr>
      <w:r w:rsidRPr="00BF10E9">
        <w:rPr>
          <w:rFonts w:ascii="宋体" w:eastAsia="宋体" w:hAnsi="宋体" w:cs="宋体"/>
          <w:sz w:val="21"/>
          <w:szCs w:val="21"/>
          <w:lang w:eastAsia="zh-CN"/>
        </w:rPr>
        <w:t>风险提示：本公司承诺以诚实信用、勤勉尽责的原则管理和运用基金资产，但不保证基金一定盈利，也不保证最低收益，敬请投资者注意投资风险。定期定额投资是引导投资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lastRenderedPageBreak/>
        <w:t>人进行长期投资、平均投资成本的一种简单易行的投资方式。但是定期定额投资并不能规避基金投资所固有的风险，不能保证投资人获得收益，也不是替代储蓄的等效理财方式。投资者投资于本基金前应认真阅读基金的基金合同、招募说明书（更新）、基金产品资料概要（更新）等文件，并根据自身风险承受能力选择适合自己的基金产品。</w:t>
      </w:r>
    </w:p>
    <w:p w:rsidR="005F35DE" w:rsidRPr="00BF10E9" w:rsidRDefault="00B97E80">
      <w:pPr>
        <w:spacing w:line="360" w:lineRule="auto"/>
        <w:ind w:firstLine="442"/>
        <w:jc w:val="both"/>
        <w:rPr>
          <w:rFonts w:ascii="宋体" w:eastAsia="宋体" w:hAnsi="宋体"/>
          <w:sz w:val="21"/>
          <w:szCs w:val="21"/>
          <w:lang w:eastAsia="zh-CN"/>
        </w:rPr>
      </w:pPr>
      <w:r w:rsidRPr="00BF10E9">
        <w:rPr>
          <w:rFonts w:ascii="宋体" w:eastAsia="宋体" w:hAnsi="宋体" w:cs="宋体"/>
          <w:sz w:val="21"/>
          <w:szCs w:val="21"/>
          <w:lang w:eastAsia="zh-CN"/>
        </w:rPr>
        <w:t>特此公告。</w:t>
      </w:r>
    </w:p>
    <w:p w:rsidR="005F35DE" w:rsidRPr="00BF10E9" w:rsidRDefault="00B97E80">
      <w:pPr>
        <w:spacing w:line="360" w:lineRule="auto"/>
        <w:jc w:val="right"/>
        <w:rPr>
          <w:rFonts w:ascii="宋体" w:eastAsia="宋体" w:hAnsi="宋体"/>
          <w:sz w:val="21"/>
          <w:szCs w:val="21"/>
          <w:lang w:eastAsia="zh-CN"/>
        </w:rPr>
      </w:pPr>
      <w:r w:rsidRPr="00BF10E9">
        <w:rPr>
          <w:rFonts w:ascii="宋体" w:eastAsia="宋体" w:hAnsi="宋体" w:cs="宋体"/>
          <w:sz w:val="21"/>
          <w:szCs w:val="21"/>
          <w:lang w:eastAsia="zh-CN"/>
        </w:rPr>
        <w:t>鹏华基金管理有限公司</w:t>
      </w:r>
    </w:p>
    <w:p w:rsidR="005F35DE" w:rsidRPr="00BF10E9" w:rsidRDefault="00B97E80">
      <w:pPr>
        <w:spacing w:line="360" w:lineRule="auto"/>
        <w:jc w:val="right"/>
        <w:rPr>
          <w:rFonts w:ascii="宋体" w:eastAsia="宋体" w:hAnsi="宋体"/>
          <w:sz w:val="21"/>
          <w:szCs w:val="21"/>
        </w:rPr>
      </w:pPr>
      <w:r w:rsidRPr="00BF10E9">
        <w:rPr>
          <w:rFonts w:ascii="宋体" w:eastAsia="宋体" w:hAnsi="宋体"/>
          <w:sz w:val="21"/>
          <w:szCs w:val="21"/>
          <w:lang w:eastAsia="zh-CN"/>
        </w:rPr>
        <w:t>2025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年</w:t>
      </w:r>
      <w:r w:rsidRPr="00BF10E9">
        <w:rPr>
          <w:rFonts w:ascii="宋体" w:eastAsia="宋体" w:hAnsi="宋体"/>
          <w:sz w:val="21"/>
          <w:szCs w:val="21"/>
          <w:lang w:eastAsia="zh-CN"/>
        </w:rPr>
        <w:t>02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月</w:t>
      </w:r>
      <w:r w:rsidRPr="00BF10E9">
        <w:rPr>
          <w:rFonts w:ascii="宋体" w:eastAsia="宋体" w:hAnsi="宋体"/>
          <w:sz w:val="21"/>
          <w:szCs w:val="21"/>
          <w:lang w:eastAsia="zh-CN"/>
        </w:rPr>
        <w:t>21</w:t>
      </w:r>
      <w:r w:rsidRPr="00BF10E9">
        <w:rPr>
          <w:rFonts w:ascii="宋体" w:eastAsia="宋体" w:hAnsi="宋体" w:cs="宋体"/>
          <w:sz w:val="21"/>
          <w:szCs w:val="21"/>
          <w:lang w:eastAsia="zh-CN"/>
        </w:rPr>
        <w:t>日</w:t>
      </w:r>
    </w:p>
    <w:p w:rsidR="005F35DE" w:rsidRPr="00BF10E9" w:rsidRDefault="00B97E80">
      <w:pPr>
        <w:rPr>
          <w:rFonts w:ascii="宋体" w:eastAsia="宋体" w:hAnsi="宋体"/>
        </w:rPr>
      </w:pPr>
      <w:r w:rsidRPr="00BF10E9">
        <w:rPr>
          <w:rFonts w:ascii="宋体" w:eastAsia="宋体" w:hAnsi="宋体"/>
          <w:lang w:eastAsia="zh-CN"/>
        </w:rPr>
        <w:t> </w:t>
      </w:r>
    </w:p>
    <w:p w:rsidR="00A77B3E" w:rsidRPr="00BF10E9" w:rsidRDefault="00A77B3E">
      <w:pPr>
        <w:rPr>
          <w:rFonts w:ascii="宋体" w:eastAsia="宋体" w:hAnsi="宋体"/>
        </w:rPr>
      </w:pPr>
    </w:p>
    <w:sectPr w:rsidR="00A77B3E" w:rsidRPr="00BF10E9" w:rsidSect="00A5280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E6" w:rsidRDefault="00D40EE6">
      <w:r>
        <w:separator/>
      </w:r>
    </w:p>
  </w:endnote>
  <w:endnote w:type="continuationSeparator" w:id="0">
    <w:p w:rsidR="00D40EE6" w:rsidRDefault="00D4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5DE" w:rsidRDefault="00A5280F">
    <w:pPr>
      <w:jc w:val="center"/>
    </w:pPr>
    <w:r>
      <w:rPr>
        <w:rFonts w:ascii="宋体" w:eastAsia="宋体" w:hAnsi="宋体" w:cs="宋体"/>
        <w:sz w:val="18"/>
      </w:rPr>
      <w:fldChar w:fldCharType="begin"/>
    </w:r>
    <w:r w:rsidR="00B97E80">
      <w:rPr>
        <w:rFonts w:ascii="宋体" w:eastAsia="宋体" w:hAnsi="宋体" w:cs="宋体"/>
        <w:sz w:val="18"/>
        <w:lang w:eastAsia="zh-CN"/>
      </w:rPr>
      <w:instrText xml:space="preserve"> PAGE </w:instrText>
    </w:r>
    <w:r>
      <w:rPr>
        <w:rFonts w:ascii="宋体" w:eastAsia="宋体" w:hAnsi="宋体" w:cs="宋体"/>
        <w:sz w:val="18"/>
      </w:rPr>
      <w:fldChar w:fldCharType="separate"/>
    </w:r>
    <w:r w:rsidR="00945E94">
      <w:rPr>
        <w:rFonts w:ascii="宋体" w:eastAsia="宋体" w:hAnsi="宋体" w:cs="宋体"/>
        <w:noProof/>
        <w:sz w:val="18"/>
        <w:lang w:eastAsia="zh-CN"/>
      </w:rPr>
      <w:t>1</w:t>
    </w:r>
    <w:r>
      <w:rPr>
        <w:rFonts w:ascii="宋体" w:eastAsia="宋体" w:hAnsi="宋体" w:cs="宋体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E6" w:rsidRDefault="00D40EE6">
      <w:r>
        <w:separator/>
      </w:r>
    </w:p>
  </w:footnote>
  <w:footnote w:type="continuationSeparator" w:id="0">
    <w:p w:rsidR="00D40EE6" w:rsidRDefault="00D40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876F4"/>
    <w:rsid w:val="005F35DE"/>
    <w:rsid w:val="00945E94"/>
    <w:rsid w:val="00A5280F"/>
    <w:rsid w:val="00A77B3E"/>
    <w:rsid w:val="00B97E80"/>
    <w:rsid w:val="00BF10E9"/>
    <w:rsid w:val="00CA2A55"/>
    <w:rsid w:val="00D4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805BCE"/>
    <w:pPr>
      <w:spacing w:line="360" w:lineRule="auto"/>
    </w:pPr>
    <w:rPr>
      <w:rFonts w:ascii="宋体" w:eastAsia="宋体" w:hAnsi="宋体" w:cs="宋体"/>
      <w:b/>
      <w:sz w:val="21"/>
    </w:rPr>
  </w:style>
  <w:style w:type="paragraph" w:styleId="a3">
    <w:name w:val="header"/>
    <w:basedOn w:val="a"/>
    <w:link w:val="Char"/>
    <w:unhideWhenUsed/>
    <w:rsid w:val="00BF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10E9"/>
    <w:rPr>
      <w:sz w:val="18"/>
      <w:szCs w:val="18"/>
    </w:rPr>
  </w:style>
  <w:style w:type="paragraph" w:styleId="a4">
    <w:name w:val="footer"/>
    <w:basedOn w:val="a"/>
    <w:link w:val="Char0"/>
    <w:unhideWhenUsed/>
    <w:rsid w:val="00BF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10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2025-02-20T16:02:00Z</dcterms:created>
  <dcterms:modified xsi:type="dcterms:W3CDTF">2025-02-20T16:02:00Z</dcterms:modified>
</cp:coreProperties>
</file>