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D67" w:rsidRDefault="00C67D67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C67D67" w:rsidRDefault="00C67D67">
      <w:pPr>
        <w:jc w:val="center"/>
      </w:pPr>
      <w:r>
        <w:rPr>
          <w:rFonts w:cs="Times New Roman" w:hint="eastAsia"/>
          <w:b/>
          <w:sz w:val="48"/>
          <w:szCs w:val="48"/>
        </w:rPr>
        <w:t>银河睿鑫纯债债券型证券投资基金暂停大额申购、定期定额投资及转换转入业务的公告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D67" w:rsidRDefault="00C67D67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公告送出日期：2025年2月20日</w:t>
      </w:r>
    </w:p>
    <w:p w:rsidR="00C67D67" w:rsidRDefault="00C67D67">
      <w:pPr>
        <w:pStyle w:val="XBRLTitle1"/>
        <w:spacing w:before="156"/>
        <w:ind w:left="425"/>
        <w:jc w:val="left"/>
        <w:rPr>
          <w:rFonts w:hint="eastAsia"/>
        </w:rPr>
      </w:pPr>
      <w:r>
        <w:rPr>
          <w:rFonts w:hint="eastAsia"/>
          <w:b w:val="0"/>
          <w:bCs w:val="0"/>
          <w:color w:val="404040"/>
          <w:kern w:val="0"/>
        </w:rPr>
        <w:br w:type="page"/>
      </w: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384"/>
        <w:gridCol w:w="2693"/>
        <w:gridCol w:w="4445"/>
      </w:tblGrid>
      <w:tr w:rsidR="00C67D67" w:rsidTr="0030742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基金名称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银河睿鑫纯债债券型证券投资基金</w:t>
            </w:r>
          </w:p>
        </w:tc>
      </w:tr>
      <w:tr w:rsidR="00C67D67" w:rsidTr="0030742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基金简称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银河睿鑫债券</w:t>
            </w:r>
            <w:r>
              <w:rPr>
                <w:rFonts w:cs="Calibri" w:hint="eastAsia"/>
              </w:rPr>
              <w:t xml:space="preserve"> </w:t>
            </w:r>
          </w:p>
        </w:tc>
      </w:tr>
      <w:tr w:rsidR="00C67D67" w:rsidTr="0030742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基金主代码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007406</w:t>
            </w:r>
          </w:p>
        </w:tc>
      </w:tr>
      <w:tr w:rsidR="00C67D67" w:rsidTr="0030742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银河基金管理有限公司</w:t>
            </w:r>
          </w:p>
        </w:tc>
      </w:tr>
      <w:tr w:rsidR="00C67D67" w:rsidTr="0030742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公告依据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《银河睿鑫纯债债券型证券投资基金基金合同》、《银河睿鑫纯债债券型证券投资基金招募说明书》及更新</w:t>
            </w:r>
          </w:p>
        </w:tc>
      </w:tr>
      <w:tr w:rsidR="00C67D67" w:rsidTr="00307425">
        <w:trPr>
          <w:trHeight w:val="506"/>
        </w:trPr>
        <w:tc>
          <w:tcPr>
            <w:tcW w:w="13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2025年2月20日</w:t>
            </w:r>
          </w:p>
        </w:tc>
      </w:tr>
      <w:tr w:rsidR="00C67D67" w:rsidTr="00307425">
        <w:trPr>
          <w:trHeight w:val="506"/>
        </w:trPr>
        <w:tc>
          <w:tcPr>
            <w:tcW w:w="4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2025年2月20日</w:t>
            </w:r>
          </w:p>
        </w:tc>
      </w:tr>
      <w:tr w:rsidR="00C67D67" w:rsidTr="00307425">
        <w:trPr>
          <w:trHeight w:val="506"/>
        </w:trPr>
        <w:tc>
          <w:tcPr>
            <w:tcW w:w="4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暂停定期定额投资起始日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2025年2月20日</w:t>
            </w:r>
          </w:p>
        </w:tc>
      </w:tr>
      <w:tr w:rsidR="00C67D67" w:rsidTr="00307425">
        <w:trPr>
          <w:trHeight w:val="506"/>
        </w:trPr>
        <w:tc>
          <w:tcPr>
            <w:tcW w:w="4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 w:rsidRPr="00307425">
              <w:rPr>
                <w:rFonts w:ascii="Calibri" w:hAnsi="Calibri" w:hint="eastAsia"/>
              </w:rPr>
              <w:t>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1,000,000.00</w:t>
            </w:r>
          </w:p>
        </w:tc>
      </w:tr>
      <w:tr w:rsidR="00C67D67" w:rsidTr="00307425">
        <w:trPr>
          <w:trHeight w:val="506"/>
        </w:trPr>
        <w:tc>
          <w:tcPr>
            <w:tcW w:w="4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 xml:space="preserve">限制转换转入金额（单位：人民币元 ）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1,000,000.00</w:t>
            </w:r>
          </w:p>
        </w:tc>
      </w:tr>
      <w:tr w:rsidR="00C67D67" w:rsidTr="00307425">
        <w:trPr>
          <w:trHeight w:val="506"/>
        </w:trPr>
        <w:tc>
          <w:tcPr>
            <w:tcW w:w="4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ascii="Calibri" w:hAnsi="Calibri" w:cs="Times New Roman"/>
              </w:rPr>
              <w:t>限制定期定额投资金额（单位：人民币元</w:t>
            </w:r>
            <w:r w:rsidRPr="00307425">
              <w:rPr>
                <w:rFonts w:ascii="Calibri" w:hAnsi="Calibri" w:cs="Times New Roman"/>
              </w:rPr>
              <w:t xml:space="preserve"> </w:t>
            </w:r>
            <w:r w:rsidRPr="00307425">
              <w:rPr>
                <w:rFonts w:ascii="Calibri" w:hAnsi="Calibri" w:cs="Times New Roman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1,000,000.00</w:t>
            </w:r>
          </w:p>
        </w:tc>
      </w:tr>
      <w:tr w:rsidR="00C67D67" w:rsidTr="00307425">
        <w:trPr>
          <w:trHeight w:val="506"/>
        </w:trPr>
        <w:tc>
          <w:tcPr>
            <w:tcW w:w="4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暂停大额申购、大额转换转入、定期定额投资的原因说明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D67" w:rsidRDefault="00C67D67">
            <w:pPr>
              <w:rPr>
                <w:rFonts w:hint="eastAsia"/>
              </w:rPr>
            </w:pPr>
            <w:r w:rsidRPr="00307425">
              <w:rPr>
                <w:rFonts w:hint="eastAsia"/>
              </w:rPr>
              <w:t>为维护现有基金份额持有人利益,保护基金的平稳运行</w:t>
            </w:r>
          </w:p>
        </w:tc>
      </w:tr>
    </w:tbl>
    <w:p w:rsidR="00C67D67" w:rsidRDefault="00C67D67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>1）银河基金管理有限公司（以下简称“本公司”）决定自2025年2月20日起限制银河睿鑫纯债债券型证券投资基金（以下简称“本基金”）申购、转换转入、定期定额投资业务的金额；即如单日单个基金账户申购、转换转入、定期定额申请金额大于100万元，则100万元确认申购成功，超过100万元（不含）金额的部分将确认失败；如单日单个基金账户多笔累计申购金额大于100万元，按申请金额从大到小排序，本公司将逐笔累加至100万元的申请确认成功，其余超出部分的申请金额本公司有权确认失败。</w:t>
      </w:r>
      <w:r>
        <w:rPr>
          <w:rFonts w:hint="eastAsia"/>
          <w:szCs w:val="24"/>
          <w:lang/>
        </w:rPr>
        <w:br/>
        <w:t xml:space="preserve">　　2）在本基金限制大额申购、定期定额投资及转换转入业务期间，本公司正常办理本基金的赎回等业务。</w:t>
      </w:r>
      <w:r>
        <w:rPr>
          <w:rFonts w:hint="eastAsia"/>
          <w:szCs w:val="24"/>
          <w:lang/>
        </w:rPr>
        <w:br/>
        <w:t xml:space="preserve">　　3）自2025年2月25日起，本基金将恢复办理大额申购、定期定额投资及转换转入业务，届时不再另行公告。</w:t>
      </w:r>
      <w:r>
        <w:rPr>
          <w:rFonts w:hint="eastAsia"/>
          <w:szCs w:val="24"/>
        </w:rPr>
        <w:t xml:space="preserve"> </w:t>
      </w:r>
    </w:p>
    <w:p w:rsidR="00C67D67" w:rsidRDefault="00C67D67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C67D67" w:rsidRDefault="00C67D67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敬请投资人提前做好交易安排。如有疑问，请拨打本公司客户服务电话，免费服务热线400-820-0860，或登录本公司网站www.cgf.cn获取相关信息。</w:t>
      </w:r>
      <w:r>
        <w:rPr>
          <w:rFonts w:hint="eastAsia"/>
          <w:szCs w:val="21"/>
        </w:rPr>
        <w:br/>
        <w:t xml:space="preserve">　　风险提示：基金管理人承诺以诚实信用、勤勉尽责的原则管理和运用基金财产，但不保证基金一定盈利，也不保证最低收益。投资者做出投资决策之前，请仔细阅读基金合同、基金招募说明书和基金产品资料概要等产品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基金管理人提醒投资者基金投资的“买者自负”原则，在做出投资决策后，基金运营状况与基金净值变化引致的投资风险，由投资者自行负担。基金管理人、基金托管人、基金销售机构及相关机构不对基金投资收益做出任何承诺或保证。</w:t>
      </w:r>
      <w:r>
        <w:rPr>
          <w:rFonts w:hint="eastAsia"/>
          <w:szCs w:val="21"/>
        </w:rPr>
        <w:br/>
        <w:t xml:space="preserve">　　特此公告。</w:t>
      </w:r>
    </w:p>
    <w:p w:rsidR="00C67D67" w:rsidRDefault="00C67D67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67D67" w:rsidRDefault="00C67D67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67D67" w:rsidRDefault="00C67D67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银河基金管理有限公司</w:t>
      </w:r>
    </w:p>
    <w:p w:rsidR="00C67D67" w:rsidRDefault="00C67D67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2025年2月20日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C67D6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67" w:rsidRDefault="00C67D6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C67D67" w:rsidRDefault="00C67D6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67" w:rsidRDefault="00C67D67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67" w:rsidRDefault="00C67D67">
    <w:pPr>
      <w:pStyle w:val="aa"/>
      <w:rPr>
        <w:rFonts w:hint="eastAsia"/>
      </w:rPr>
    </w:pPr>
  </w:p>
  <w:p w:rsidR="00C67D67" w:rsidRDefault="00C67D67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1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C67D67" w:rsidRDefault="00C67D67">
    <w:pPr>
      <w:pStyle w:val="a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67" w:rsidRDefault="00C67D6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C67D67" w:rsidRDefault="00C67D6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67" w:rsidRDefault="00C67D67">
    <w:pPr>
      <w:pStyle w:val="a8"/>
      <w:jc w:val="right"/>
    </w:pPr>
    <w:r>
      <w:rPr>
        <w:rFonts w:hint="eastAsia"/>
      </w:rPr>
      <w:t>银河睿鑫纯债债券型证券投资基金暂停大额申购、定期定额投资及转换转入业务的公告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67" w:rsidRDefault="00C67D67">
    <w:pPr>
      <w:pStyle w:val="a8"/>
      <w:jc w:val="right"/>
      <w:rPr>
        <w:rFonts w:hint="eastAsia"/>
      </w:rPr>
    </w:pPr>
    <w:r>
      <w:rPr>
        <w:rFonts w:hint="eastAsia"/>
      </w:rPr>
      <w:t>银河睿鑫纯债债券型证券投资基金暂停大额申购、定期定额投资及转换转入业务的公告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425"/>
    <w:rsid w:val="000B42E7"/>
    <w:rsid w:val="00307425"/>
    <w:rsid w:val="00C6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uiPriority="59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TOC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4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5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6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7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8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ind w:left="850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3602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ind w:left="1588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2">
    <w:name w:val="脚注文本 字符1"/>
    <w:link w:val="a6"/>
    <w:locked/>
    <w:rPr>
      <w:kern w:val="2"/>
      <w:sz w:val="18"/>
      <w:szCs w:val="18"/>
    </w:rPr>
  </w:style>
  <w:style w:type="character" w:customStyle="1" w:styleId="22">
    <w:name w:val="页眉 字符2"/>
    <w:link w:val="a8"/>
    <w:locked/>
    <w:rPr>
      <w:kern w:val="2"/>
      <w:sz w:val="18"/>
      <w:szCs w:val="18"/>
    </w:rPr>
  </w:style>
  <w:style w:type="character" w:customStyle="1" w:styleId="13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4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5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6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7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9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semiHidden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locked/>
    <w:rPr>
      <w:kern w:val="2"/>
      <w:sz w:val="18"/>
      <w:szCs w:val="18"/>
    </w:rPr>
  </w:style>
  <w:style w:type="character" w:customStyle="1" w:styleId="Char11">
    <w:name w:val="页脚 Char1"/>
    <w:uiPriority w:val="99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CF4A-8789-4B36-9006-975C8722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4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2025-02-19T16:00:00Z</dcterms:created>
  <dcterms:modified xsi:type="dcterms:W3CDTF">2025-02-19T16:00:00Z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