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A1" w:rsidRDefault="00540683">
      <w:pPr>
        <w:spacing w:line="232" w:lineRule="exact"/>
      </w:pPr>
    </w:p>
    <w:p w:rsidR="00144BA1" w:rsidRDefault="00540683" w:rsidP="000678FD">
      <w:pPr>
        <w:pStyle w:val="a3"/>
        <w:jc w:val="center"/>
        <w:rPr>
          <w:lang w:eastAsia="zh-CN"/>
        </w:rPr>
      </w:pPr>
      <w:r>
        <w:rPr>
          <w:b/>
          <w:spacing w:val="5"/>
          <w:sz w:val="30"/>
          <w:szCs w:val="30"/>
          <w:lang w:eastAsia="zh-CN"/>
        </w:rPr>
        <w:t>上海国泰君安证券资产管理有限公司</w:t>
      </w:r>
    </w:p>
    <w:p w:rsidR="00144BA1" w:rsidRDefault="00540683">
      <w:pPr>
        <w:spacing w:line="240" w:lineRule="exact"/>
        <w:rPr>
          <w:lang w:eastAsia="zh-CN"/>
        </w:rPr>
      </w:pPr>
    </w:p>
    <w:p w:rsidR="00144BA1" w:rsidRPr="00E32571" w:rsidRDefault="00540683" w:rsidP="00E32571">
      <w:pPr>
        <w:pStyle w:val="a3"/>
        <w:ind w:left="342"/>
        <w:jc w:val="center"/>
        <w:rPr>
          <w:sz w:val="28"/>
          <w:szCs w:val="28"/>
          <w:lang w:eastAsia="zh-CN"/>
        </w:rPr>
      </w:pPr>
      <w:r w:rsidRPr="00E32571">
        <w:rPr>
          <w:b/>
          <w:spacing w:val="3"/>
          <w:sz w:val="32"/>
          <w:szCs w:val="32"/>
          <w:lang w:eastAsia="zh-CN"/>
        </w:rPr>
        <w:t>关于</w:t>
      </w:r>
      <w:r w:rsidRPr="00E32571">
        <w:rPr>
          <w:b/>
          <w:spacing w:val="2"/>
          <w:sz w:val="32"/>
          <w:szCs w:val="32"/>
          <w:lang w:eastAsia="zh-CN"/>
        </w:rPr>
        <w:t>旗下部分开放式证券投资基金</w:t>
      </w:r>
      <w:r>
        <w:rPr>
          <w:rFonts w:hint="eastAsia"/>
          <w:b/>
          <w:spacing w:val="3"/>
          <w:sz w:val="32"/>
          <w:szCs w:val="32"/>
          <w:lang w:eastAsia="zh-CN"/>
        </w:rPr>
        <w:t>在</w:t>
      </w:r>
      <w:r>
        <w:rPr>
          <w:rFonts w:hint="eastAsia"/>
          <w:b/>
          <w:spacing w:val="3"/>
          <w:sz w:val="32"/>
          <w:szCs w:val="32"/>
          <w:lang w:eastAsia="zh-CN"/>
        </w:rPr>
        <w:t>直销柜台</w:t>
      </w:r>
      <w:r w:rsidRPr="00E32571">
        <w:rPr>
          <w:b/>
          <w:spacing w:val="2"/>
          <w:sz w:val="32"/>
          <w:szCs w:val="32"/>
          <w:lang w:eastAsia="zh-CN"/>
        </w:rPr>
        <w:t>开通基金转换业务的公告</w:t>
      </w:r>
    </w:p>
    <w:p w:rsidR="00144BA1" w:rsidRPr="00046A73" w:rsidRDefault="00540683">
      <w:pPr>
        <w:spacing w:line="200" w:lineRule="exact"/>
        <w:rPr>
          <w:lang w:eastAsia="zh-CN"/>
        </w:rPr>
      </w:pPr>
    </w:p>
    <w:p w:rsidR="00144BA1" w:rsidRDefault="00540683">
      <w:pPr>
        <w:spacing w:line="200" w:lineRule="exact"/>
        <w:rPr>
          <w:lang w:eastAsia="zh-CN"/>
        </w:rPr>
      </w:pPr>
    </w:p>
    <w:p w:rsidR="00144BA1" w:rsidRDefault="00540683">
      <w:pPr>
        <w:spacing w:line="200" w:lineRule="exact"/>
        <w:rPr>
          <w:lang w:eastAsia="zh-CN"/>
        </w:rPr>
      </w:pPr>
    </w:p>
    <w:p w:rsidR="00144BA1" w:rsidRPr="00AB66D9" w:rsidRDefault="00540683">
      <w:pPr>
        <w:spacing w:line="300" w:lineRule="exact"/>
        <w:rPr>
          <w:lang w:eastAsia="zh-CN"/>
        </w:rPr>
      </w:pPr>
    </w:p>
    <w:p w:rsidR="00144BA1" w:rsidRPr="00541DED" w:rsidRDefault="00540683" w:rsidP="00541DED">
      <w:pPr>
        <w:pStyle w:val="a3"/>
        <w:spacing w:before="153" w:line="359" w:lineRule="auto"/>
        <w:ind w:left="118" w:right="68" w:firstLine="480"/>
        <w:rPr>
          <w:spacing w:val="-2"/>
          <w:lang w:eastAsia="zh-CN"/>
        </w:rPr>
      </w:pPr>
      <w:r w:rsidRPr="00541DED">
        <w:rPr>
          <w:spacing w:val="-2"/>
          <w:lang w:eastAsia="zh-CN"/>
        </w:rPr>
        <w:t>为满足广大投资者的理财需求，</w:t>
      </w:r>
      <w:r w:rsidRPr="00541DED">
        <w:rPr>
          <w:spacing w:val="-2"/>
          <w:lang w:eastAsia="zh-CN"/>
        </w:rPr>
        <w:t>上海国泰君安证券资产管理有限公司</w:t>
      </w:r>
      <w:r w:rsidRPr="00541DED">
        <w:rPr>
          <w:spacing w:val="-2"/>
          <w:lang w:eastAsia="zh-CN"/>
        </w:rPr>
        <w:t>（以下简称</w:t>
      </w:r>
      <w:r w:rsidRPr="00541DED">
        <w:rPr>
          <w:spacing w:val="-2"/>
          <w:lang w:eastAsia="zh-CN"/>
        </w:rPr>
        <w:t>“</w:t>
      </w:r>
      <w:r w:rsidRPr="00541DED">
        <w:rPr>
          <w:spacing w:val="-2"/>
          <w:lang w:eastAsia="zh-CN"/>
        </w:rPr>
        <w:t>本公司</w:t>
      </w:r>
      <w:r w:rsidRPr="00541DED">
        <w:rPr>
          <w:spacing w:val="-2"/>
          <w:lang w:eastAsia="zh-CN"/>
        </w:rPr>
        <w:t>”</w:t>
      </w:r>
      <w:r w:rsidRPr="00541DED">
        <w:rPr>
          <w:spacing w:val="-2"/>
          <w:lang w:eastAsia="zh-CN"/>
        </w:rPr>
        <w:t>）决定</w:t>
      </w:r>
      <w:r>
        <w:rPr>
          <w:rFonts w:hint="eastAsia"/>
          <w:spacing w:val="-2"/>
          <w:lang w:eastAsia="zh-CN"/>
        </w:rPr>
        <w:t>自</w:t>
      </w:r>
      <w:r>
        <w:rPr>
          <w:spacing w:val="-2"/>
          <w:lang w:eastAsia="zh-CN"/>
        </w:rPr>
        <w:t>2025</w:t>
      </w:r>
      <w:r>
        <w:rPr>
          <w:spacing w:val="-2"/>
          <w:lang w:eastAsia="zh-CN"/>
        </w:rPr>
        <w:t>年</w:t>
      </w:r>
      <w:r>
        <w:rPr>
          <w:spacing w:val="-2"/>
          <w:lang w:eastAsia="zh-CN"/>
        </w:rPr>
        <w:t>2</w:t>
      </w:r>
      <w:r>
        <w:rPr>
          <w:spacing w:val="-2"/>
          <w:lang w:eastAsia="zh-CN"/>
        </w:rPr>
        <w:t>月</w:t>
      </w:r>
      <w:r>
        <w:rPr>
          <w:spacing w:val="-2"/>
          <w:lang w:eastAsia="zh-CN"/>
        </w:rPr>
        <w:t>19</w:t>
      </w:r>
      <w:r>
        <w:rPr>
          <w:spacing w:val="-2"/>
          <w:lang w:eastAsia="zh-CN"/>
        </w:rPr>
        <w:t>日</w:t>
      </w:r>
      <w:r w:rsidRPr="002D1961">
        <w:rPr>
          <w:spacing w:val="-2"/>
          <w:lang w:eastAsia="zh-CN"/>
        </w:rPr>
        <w:t>起</w:t>
      </w:r>
      <w:r>
        <w:rPr>
          <w:rFonts w:hint="eastAsia"/>
          <w:spacing w:val="-2"/>
          <w:lang w:eastAsia="zh-CN"/>
        </w:rPr>
        <w:t>，</w:t>
      </w:r>
      <w:r w:rsidRPr="00321C77">
        <w:rPr>
          <w:rFonts w:hint="eastAsia"/>
          <w:spacing w:val="-2"/>
          <w:lang w:eastAsia="zh-CN"/>
        </w:rPr>
        <w:t>本公司旗下部分开放式证券投资基金在直销柜台开通基金转换业务</w:t>
      </w:r>
      <w:r w:rsidRPr="002D1961">
        <w:rPr>
          <w:spacing w:val="-2"/>
          <w:lang w:eastAsia="zh-CN"/>
        </w:rPr>
        <w:t>。</w:t>
      </w:r>
    </w:p>
    <w:p w:rsidR="00144BA1" w:rsidRDefault="00540683" w:rsidP="00541DED">
      <w:pPr>
        <w:pStyle w:val="a3"/>
        <w:spacing w:before="153" w:line="359" w:lineRule="auto"/>
        <w:ind w:left="118" w:right="68" w:firstLine="480"/>
        <w:rPr>
          <w:spacing w:val="-2"/>
          <w:lang w:eastAsia="zh-CN"/>
        </w:rPr>
      </w:pPr>
      <w:r w:rsidRPr="00541DED">
        <w:rPr>
          <w:rFonts w:hint="eastAsia"/>
          <w:spacing w:val="-2"/>
          <w:lang w:eastAsia="zh-CN"/>
        </w:rPr>
        <w:t>现将有关事项公告如下：</w:t>
      </w:r>
    </w:p>
    <w:p w:rsidR="00BC19B1" w:rsidRPr="007B144C" w:rsidRDefault="00540683" w:rsidP="007B144C">
      <w:pPr>
        <w:pStyle w:val="a3"/>
        <w:numPr>
          <w:ilvl w:val="0"/>
          <w:numId w:val="1"/>
        </w:numPr>
        <w:tabs>
          <w:tab w:val="left" w:pos="1124"/>
        </w:tabs>
        <w:spacing w:before="100" w:beforeAutospacing="1" w:after="100" w:afterAutospacing="1" w:line="360" w:lineRule="auto"/>
        <w:ind w:left="510"/>
        <w:outlineLvl w:val="0"/>
        <w:rPr>
          <w:b/>
        </w:rPr>
      </w:pPr>
      <w:r w:rsidRPr="007B144C">
        <w:rPr>
          <w:rFonts w:hint="eastAsia"/>
          <w:b/>
        </w:rPr>
        <w:t>办理时间</w:t>
      </w:r>
    </w:p>
    <w:p w:rsidR="00BC19B1" w:rsidRDefault="00540683" w:rsidP="00541DED">
      <w:pPr>
        <w:pStyle w:val="a3"/>
        <w:spacing w:before="153" w:line="359" w:lineRule="auto"/>
        <w:ind w:left="118" w:right="68" w:firstLine="480"/>
        <w:rPr>
          <w:spacing w:val="-2"/>
          <w:lang w:eastAsia="zh-CN"/>
        </w:rPr>
      </w:pPr>
      <w:r w:rsidRPr="00BC19B1">
        <w:rPr>
          <w:rFonts w:hint="eastAsia"/>
          <w:spacing w:val="-2"/>
          <w:lang w:eastAsia="zh-CN"/>
        </w:rPr>
        <w:t>本公告所述的基金转换业务自</w:t>
      </w:r>
      <w:r>
        <w:rPr>
          <w:spacing w:val="-2"/>
          <w:lang w:eastAsia="zh-CN"/>
        </w:rPr>
        <w:t>2025</w:t>
      </w:r>
      <w:r>
        <w:rPr>
          <w:spacing w:val="-2"/>
          <w:lang w:eastAsia="zh-CN"/>
        </w:rPr>
        <w:t>年</w:t>
      </w:r>
      <w:r>
        <w:rPr>
          <w:spacing w:val="-2"/>
          <w:lang w:eastAsia="zh-CN"/>
        </w:rPr>
        <w:t>2</w:t>
      </w:r>
      <w:r>
        <w:rPr>
          <w:spacing w:val="-2"/>
          <w:lang w:eastAsia="zh-CN"/>
        </w:rPr>
        <w:t>月</w:t>
      </w:r>
      <w:r>
        <w:rPr>
          <w:spacing w:val="-2"/>
          <w:lang w:eastAsia="zh-CN"/>
        </w:rPr>
        <w:t>19</w:t>
      </w:r>
      <w:r>
        <w:rPr>
          <w:spacing w:val="-2"/>
          <w:lang w:eastAsia="zh-CN"/>
        </w:rPr>
        <w:t>日</w:t>
      </w:r>
      <w:r w:rsidRPr="00BC19B1">
        <w:rPr>
          <w:spacing w:val="-2"/>
          <w:lang w:eastAsia="zh-CN"/>
        </w:rPr>
        <w:t>起正式开通，业务办理时间为上海证券交易所和深圳证券交易所交易日（本公司公告暂停申购、赎回时除外）。</w:t>
      </w:r>
    </w:p>
    <w:p w:rsidR="003365E0" w:rsidRPr="00161AE7" w:rsidRDefault="00540683" w:rsidP="00541DED">
      <w:pPr>
        <w:pStyle w:val="a3"/>
        <w:spacing w:before="153" w:line="359" w:lineRule="auto"/>
        <w:ind w:left="118" w:right="68" w:firstLine="480"/>
        <w:rPr>
          <w:spacing w:val="-2"/>
          <w:lang w:eastAsia="zh-CN"/>
        </w:rPr>
      </w:pPr>
    </w:p>
    <w:p w:rsidR="00144BA1" w:rsidRPr="007B144C" w:rsidRDefault="00540683" w:rsidP="00870719">
      <w:pPr>
        <w:pStyle w:val="a3"/>
        <w:numPr>
          <w:ilvl w:val="0"/>
          <w:numId w:val="1"/>
        </w:numPr>
        <w:tabs>
          <w:tab w:val="left" w:pos="1124"/>
        </w:tabs>
        <w:spacing w:before="100" w:beforeAutospacing="1" w:after="100" w:afterAutospacing="1" w:line="360" w:lineRule="auto"/>
        <w:ind w:left="510"/>
        <w:outlineLvl w:val="0"/>
        <w:rPr>
          <w:b/>
        </w:rPr>
      </w:pPr>
      <w:r>
        <w:rPr>
          <w:b/>
        </w:rPr>
        <w:t>适用基</w:t>
      </w:r>
      <w:r w:rsidRPr="007B144C">
        <w:rPr>
          <w:b/>
        </w:rPr>
        <w:t>金范围</w:t>
      </w:r>
    </w:p>
    <w:tbl>
      <w:tblPr>
        <w:tblW w:w="5000" w:type="pct"/>
        <w:tblLook w:val="04A0"/>
      </w:tblPr>
      <w:tblGrid>
        <w:gridCol w:w="1996"/>
        <w:gridCol w:w="4545"/>
        <w:gridCol w:w="2308"/>
      </w:tblGrid>
      <w:tr w:rsidR="00AF16F0" w:rsidTr="00713604">
        <w:trPr>
          <w:trHeight w:val="765"/>
        </w:trPr>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基金代码</w:t>
            </w:r>
          </w:p>
        </w:tc>
        <w:tc>
          <w:tcPr>
            <w:tcW w:w="2568" w:type="pct"/>
            <w:tcBorders>
              <w:top w:val="single" w:sz="8" w:space="0" w:color="000000"/>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基金简称</w:t>
            </w:r>
          </w:p>
        </w:tc>
        <w:tc>
          <w:tcPr>
            <w:tcW w:w="1304" w:type="pct"/>
            <w:tcBorders>
              <w:top w:val="single" w:sz="8" w:space="0" w:color="000000"/>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开通业务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022467</w:t>
            </w:r>
          </w:p>
        </w:tc>
        <w:tc>
          <w:tcPr>
            <w:tcW w:w="2568"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A500</w:t>
            </w:r>
            <w:r w:rsidRPr="00B96949">
              <w:rPr>
                <w:rFonts w:asciiTheme="minorEastAsia" w:eastAsiaTheme="minorEastAsia" w:hAnsiTheme="minorEastAsia" w:cs="Arial" w:hint="eastAsia"/>
                <w:sz w:val="24"/>
                <w:szCs w:val="24"/>
                <w:lang w:eastAsia="zh-CN"/>
              </w:rPr>
              <w:t>指数增强</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022468</w:t>
            </w:r>
          </w:p>
        </w:tc>
        <w:tc>
          <w:tcPr>
            <w:tcW w:w="2568"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A500</w:t>
            </w:r>
            <w:r w:rsidRPr="00B96949">
              <w:rPr>
                <w:rFonts w:asciiTheme="minorEastAsia" w:eastAsiaTheme="minorEastAsia" w:hAnsiTheme="minorEastAsia" w:cs="Arial" w:hint="eastAsia"/>
                <w:sz w:val="24"/>
                <w:szCs w:val="24"/>
                <w:lang w:eastAsia="zh-CN"/>
              </w:rPr>
              <w:t>指数增强</w:t>
            </w:r>
            <w:r w:rsidRPr="00B96949">
              <w:rPr>
                <w:rFonts w:asciiTheme="minorEastAsia" w:eastAsiaTheme="minorEastAsia" w:hAnsiTheme="minorEastAsia" w:cs="Arial" w:hint="eastAsia"/>
                <w:sz w:val="24"/>
                <w:szCs w:val="24"/>
                <w:lang w:eastAsia="zh-CN"/>
              </w:rPr>
              <w:t>C</w:t>
            </w:r>
          </w:p>
        </w:tc>
        <w:tc>
          <w:tcPr>
            <w:tcW w:w="1304"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014155</w:t>
            </w:r>
          </w:p>
        </w:tc>
        <w:tc>
          <w:tcPr>
            <w:tcW w:w="2568"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500</w:t>
            </w:r>
            <w:r w:rsidRPr="00B96949">
              <w:rPr>
                <w:rFonts w:asciiTheme="minorEastAsia" w:eastAsiaTheme="minorEastAsia" w:hAnsiTheme="minorEastAsia" w:cs="Arial" w:hint="eastAsia"/>
                <w:sz w:val="24"/>
                <w:szCs w:val="24"/>
                <w:lang w:eastAsia="zh-CN"/>
              </w:rPr>
              <w:t>指数增强</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015867</w:t>
            </w:r>
          </w:p>
        </w:tc>
        <w:tc>
          <w:tcPr>
            <w:tcW w:w="2568"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1000</w:t>
            </w:r>
            <w:r w:rsidRPr="00B96949">
              <w:rPr>
                <w:rFonts w:asciiTheme="minorEastAsia" w:eastAsiaTheme="minorEastAsia" w:hAnsiTheme="minorEastAsia" w:cs="Arial" w:hint="eastAsia"/>
                <w:sz w:val="24"/>
                <w:szCs w:val="24"/>
                <w:lang w:eastAsia="zh-CN"/>
              </w:rPr>
              <w:t>指数增强</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713604" w:rsidRPr="00B96949" w:rsidRDefault="00540683" w:rsidP="00713604">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019505</w:t>
            </w:r>
          </w:p>
        </w:tc>
        <w:tc>
          <w:tcPr>
            <w:tcW w:w="2568" w:type="pct"/>
            <w:tcBorders>
              <w:top w:val="nil"/>
              <w:left w:val="nil"/>
              <w:bottom w:val="single" w:sz="8" w:space="0" w:color="000000"/>
              <w:right w:val="single" w:sz="8" w:space="0" w:color="000000"/>
            </w:tcBorders>
            <w:shd w:val="clear" w:color="auto" w:fill="auto"/>
            <w:vAlign w:val="center"/>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1000</w:t>
            </w:r>
            <w:r w:rsidRPr="00B96949">
              <w:rPr>
                <w:rFonts w:asciiTheme="minorEastAsia" w:eastAsiaTheme="minorEastAsia" w:hAnsiTheme="minorEastAsia" w:cs="Arial" w:hint="eastAsia"/>
                <w:sz w:val="24"/>
                <w:szCs w:val="24"/>
                <w:lang w:eastAsia="zh-CN"/>
              </w:rPr>
              <w:t>优选股票发起</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019506</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国泰君安中证</w:t>
            </w:r>
            <w:r w:rsidRPr="00B96949">
              <w:rPr>
                <w:rFonts w:asciiTheme="minorEastAsia" w:eastAsiaTheme="minorEastAsia" w:hAnsiTheme="minorEastAsia" w:cs="Arial" w:hint="eastAsia"/>
                <w:sz w:val="24"/>
                <w:szCs w:val="24"/>
                <w:lang w:eastAsia="zh-CN"/>
              </w:rPr>
              <w:t>1000</w:t>
            </w:r>
            <w:r w:rsidRPr="00B96949">
              <w:rPr>
                <w:rFonts w:asciiTheme="minorEastAsia" w:eastAsiaTheme="minorEastAsia" w:hAnsiTheme="minorEastAsia" w:cs="Arial" w:hint="eastAsia"/>
                <w:sz w:val="24"/>
                <w:szCs w:val="24"/>
                <w:lang w:eastAsia="zh-CN"/>
              </w:rPr>
              <w:t>优选股票发起</w:t>
            </w:r>
            <w:r w:rsidRPr="00B96949">
              <w:rPr>
                <w:rFonts w:asciiTheme="minorEastAsia" w:eastAsiaTheme="minorEastAsia" w:hAnsiTheme="minorEastAsia" w:cs="Arial" w:hint="eastAsia"/>
                <w:sz w:val="24"/>
                <w:szCs w:val="24"/>
                <w:lang w:eastAsia="zh-CN"/>
              </w:rPr>
              <w:t>C</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lastRenderedPageBreak/>
              <w:t>016466</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国泰君安量化选股混合发起</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020698</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国泰君安科创板量化选股股票发起</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020699</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国泰君安科创板量化选股股票发起</w:t>
            </w:r>
            <w:r w:rsidRPr="00B96949">
              <w:rPr>
                <w:rFonts w:asciiTheme="minorEastAsia" w:eastAsiaTheme="minorEastAsia" w:hAnsiTheme="minorEastAsia" w:cs="Arial" w:hint="eastAsia"/>
                <w:sz w:val="24"/>
                <w:szCs w:val="24"/>
                <w:lang w:eastAsia="zh-CN"/>
              </w:rPr>
              <w:t>C</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021919</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国泰君安红利量化选股混合</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021920</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国泰君安红利量化选股混合</w:t>
            </w:r>
            <w:r w:rsidRPr="00B96949">
              <w:rPr>
                <w:rFonts w:asciiTheme="minorEastAsia" w:eastAsiaTheme="minorEastAsia" w:hAnsiTheme="minorEastAsia" w:cs="Arial" w:hint="eastAsia"/>
                <w:sz w:val="24"/>
                <w:szCs w:val="24"/>
                <w:lang w:eastAsia="zh-CN"/>
              </w:rPr>
              <w:t>C</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017209</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国泰君安科技创新精选三个月持有股票发起</w:t>
            </w:r>
            <w:r w:rsidRPr="00B96949">
              <w:rPr>
                <w:rFonts w:asciiTheme="minorEastAsia" w:eastAsiaTheme="minorEastAsia" w:hAnsiTheme="minorEastAsia" w:cs="Arial" w:hint="eastAsia"/>
                <w:sz w:val="24"/>
                <w:szCs w:val="24"/>
                <w:lang w:eastAsia="zh-CN"/>
              </w:rPr>
              <w:t>A</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r w:rsidR="00AF16F0" w:rsidTr="00713604">
        <w:trPr>
          <w:trHeight w:val="765"/>
        </w:trPr>
        <w:tc>
          <w:tcPr>
            <w:tcW w:w="1128" w:type="pct"/>
            <w:tcBorders>
              <w:top w:val="nil"/>
              <w:left w:val="single" w:sz="8" w:space="0" w:color="000000"/>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017210</w:t>
            </w:r>
          </w:p>
        </w:tc>
        <w:tc>
          <w:tcPr>
            <w:tcW w:w="2568"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国泰君安科技创新精选三个月持有股票发起</w:t>
            </w:r>
            <w:r w:rsidRPr="00B96949">
              <w:rPr>
                <w:rFonts w:asciiTheme="minorEastAsia" w:eastAsiaTheme="minorEastAsia" w:hAnsiTheme="minorEastAsia" w:cs="Arial" w:hint="eastAsia"/>
                <w:sz w:val="24"/>
                <w:szCs w:val="24"/>
                <w:lang w:eastAsia="zh-CN"/>
              </w:rPr>
              <w:t>C</w:t>
            </w:r>
          </w:p>
        </w:tc>
        <w:tc>
          <w:tcPr>
            <w:tcW w:w="1304" w:type="pct"/>
            <w:tcBorders>
              <w:top w:val="nil"/>
              <w:left w:val="nil"/>
              <w:bottom w:val="single" w:sz="8" w:space="0" w:color="000000"/>
              <w:right w:val="single" w:sz="8" w:space="0" w:color="000000"/>
            </w:tcBorders>
            <w:shd w:val="clear" w:color="auto" w:fill="auto"/>
            <w:vAlign w:val="center"/>
            <w:hideMark/>
          </w:tcPr>
          <w:p w:rsidR="00F96E63" w:rsidRPr="00B96949" w:rsidRDefault="00540683" w:rsidP="00F96E63">
            <w:pPr>
              <w:widowControl/>
              <w:autoSpaceDE/>
              <w:autoSpaceDN/>
              <w:jc w:val="center"/>
              <w:rPr>
                <w:rFonts w:asciiTheme="minorEastAsia" w:eastAsiaTheme="minorEastAsia" w:hAnsiTheme="minorEastAsia" w:cs="Arial"/>
                <w:sz w:val="24"/>
                <w:szCs w:val="24"/>
                <w:lang w:eastAsia="zh-CN"/>
              </w:rPr>
            </w:pPr>
            <w:r w:rsidRPr="00B96949">
              <w:rPr>
                <w:rFonts w:asciiTheme="minorEastAsia" w:eastAsiaTheme="minorEastAsia" w:hAnsiTheme="minorEastAsia" w:cs="Arial" w:hint="eastAsia"/>
                <w:sz w:val="24"/>
                <w:szCs w:val="24"/>
                <w:lang w:eastAsia="zh-CN"/>
              </w:rPr>
              <w:t>转入及转出业务</w:t>
            </w:r>
          </w:p>
        </w:tc>
      </w:tr>
    </w:tbl>
    <w:p w:rsidR="00144BA1" w:rsidRPr="00541DED" w:rsidRDefault="00540683" w:rsidP="00541DED">
      <w:pPr>
        <w:pStyle w:val="a3"/>
        <w:spacing w:before="153" w:line="359" w:lineRule="auto"/>
        <w:ind w:left="118" w:right="68" w:firstLine="480"/>
        <w:rPr>
          <w:spacing w:val="-2"/>
          <w:lang w:eastAsia="zh-CN"/>
        </w:rPr>
      </w:pPr>
      <w:r w:rsidRPr="00E32571">
        <w:rPr>
          <w:rFonts w:hint="eastAsia"/>
          <w:spacing w:val="-2"/>
          <w:lang w:eastAsia="zh-CN"/>
        </w:rPr>
        <w:t>基金转换业务是指基金份额持有人申请将其持有本公司管理的某一基金的全部或部分基金份额转换为本公司管理的其他基金的基金份额的行为。本公司所管理的尚未开通转换的开放式基金及今后发行的开放式基金是否开转换业务将根据具体情况确定并另行公告。</w:t>
      </w:r>
    </w:p>
    <w:p w:rsidR="003336BD" w:rsidRPr="00553F0B" w:rsidRDefault="00540683" w:rsidP="00A7389A">
      <w:pPr>
        <w:pStyle w:val="a3"/>
        <w:spacing w:before="33" w:line="357" w:lineRule="auto"/>
        <w:ind w:left="133" w:right="323" w:firstLine="480"/>
        <w:rPr>
          <w:spacing w:val="1"/>
          <w:lang w:eastAsia="zh-CN"/>
        </w:rPr>
      </w:pPr>
      <w:r>
        <w:rPr>
          <w:rFonts w:hint="eastAsia"/>
          <w:spacing w:val="1"/>
          <w:lang w:eastAsia="zh-CN"/>
        </w:rPr>
        <w:t>注：</w:t>
      </w:r>
      <w:r>
        <w:rPr>
          <w:rFonts w:hint="eastAsia"/>
          <w:spacing w:val="1"/>
          <w:lang w:eastAsia="zh-CN"/>
        </w:rPr>
        <w:t>上述</w:t>
      </w:r>
      <w:r w:rsidRPr="003D1388">
        <w:rPr>
          <w:rFonts w:hint="eastAsia"/>
          <w:spacing w:val="1"/>
          <w:lang w:eastAsia="zh-CN"/>
        </w:rPr>
        <w:t>基金不同基金份额类别之间不得互相转换</w:t>
      </w:r>
      <w:r>
        <w:rPr>
          <w:rFonts w:hint="eastAsia"/>
          <w:spacing w:val="1"/>
          <w:lang w:eastAsia="zh-CN"/>
        </w:rPr>
        <w:t>，但可与</w:t>
      </w:r>
      <w:r>
        <w:rPr>
          <w:rFonts w:hint="eastAsia"/>
          <w:spacing w:val="1"/>
          <w:lang w:eastAsia="zh-CN"/>
        </w:rPr>
        <w:t>本公司</w:t>
      </w:r>
      <w:r>
        <w:rPr>
          <w:rFonts w:hint="eastAsia"/>
          <w:spacing w:val="1"/>
          <w:lang w:eastAsia="zh-CN"/>
        </w:rPr>
        <w:t>在直销柜台已开通转换业务的其他基金进行份额转换。具体产品清单详见基金管理人于</w:t>
      </w:r>
      <w:r w:rsidRPr="00AC28CC">
        <w:rPr>
          <w:rFonts w:hint="eastAsia"/>
          <w:spacing w:val="1"/>
          <w:lang w:eastAsia="zh-CN"/>
        </w:rPr>
        <w:t>2024</w:t>
      </w:r>
      <w:r>
        <w:rPr>
          <w:rFonts w:hint="eastAsia"/>
          <w:spacing w:val="1"/>
          <w:lang w:eastAsia="zh-CN"/>
        </w:rPr>
        <w:t>年</w:t>
      </w:r>
      <w:r w:rsidRPr="00AC28CC">
        <w:rPr>
          <w:rFonts w:hint="eastAsia"/>
          <w:spacing w:val="1"/>
          <w:lang w:eastAsia="zh-CN"/>
        </w:rPr>
        <w:t>12</w:t>
      </w:r>
      <w:r>
        <w:rPr>
          <w:rFonts w:hint="eastAsia"/>
          <w:spacing w:val="1"/>
          <w:lang w:eastAsia="zh-CN"/>
        </w:rPr>
        <w:t>月</w:t>
      </w:r>
      <w:r w:rsidRPr="00AC28CC">
        <w:rPr>
          <w:rFonts w:hint="eastAsia"/>
          <w:spacing w:val="1"/>
          <w:lang w:eastAsia="zh-CN"/>
        </w:rPr>
        <w:t>26</w:t>
      </w:r>
      <w:r>
        <w:rPr>
          <w:rFonts w:hint="eastAsia"/>
          <w:spacing w:val="1"/>
          <w:lang w:eastAsia="zh-CN"/>
        </w:rPr>
        <w:t>日及</w:t>
      </w:r>
      <w:r>
        <w:rPr>
          <w:rFonts w:hint="eastAsia"/>
          <w:spacing w:val="1"/>
          <w:lang w:eastAsia="zh-CN"/>
        </w:rPr>
        <w:t>2023</w:t>
      </w:r>
      <w:r>
        <w:rPr>
          <w:rFonts w:hint="eastAsia"/>
          <w:spacing w:val="1"/>
          <w:lang w:eastAsia="zh-CN"/>
        </w:rPr>
        <w:t>年</w:t>
      </w:r>
      <w:r>
        <w:rPr>
          <w:rFonts w:hint="eastAsia"/>
          <w:spacing w:val="1"/>
          <w:lang w:eastAsia="zh-CN"/>
        </w:rPr>
        <w:t>9</w:t>
      </w:r>
      <w:r>
        <w:rPr>
          <w:rFonts w:hint="eastAsia"/>
          <w:spacing w:val="1"/>
          <w:lang w:eastAsia="zh-CN"/>
        </w:rPr>
        <w:t>月</w:t>
      </w:r>
      <w:r>
        <w:rPr>
          <w:rFonts w:hint="eastAsia"/>
          <w:spacing w:val="1"/>
          <w:lang w:eastAsia="zh-CN"/>
        </w:rPr>
        <w:t>27</w:t>
      </w:r>
      <w:r>
        <w:rPr>
          <w:rFonts w:hint="eastAsia"/>
          <w:spacing w:val="1"/>
          <w:lang w:eastAsia="zh-CN"/>
        </w:rPr>
        <w:t>日发布的</w:t>
      </w:r>
      <w:r w:rsidRPr="00553F0B">
        <w:rPr>
          <w:rFonts w:hint="eastAsia"/>
          <w:spacing w:val="1"/>
          <w:lang w:eastAsia="zh-CN"/>
        </w:rPr>
        <w:t>《</w:t>
      </w:r>
      <w:r w:rsidRPr="009464AB">
        <w:rPr>
          <w:rFonts w:hint="eastAsia"/>
          <w:spacing w:val="1"/>
          <w:lang w:eastAsia="zh-CN"/>
        </w:rPr>
        <w:t>上海国泰君安证券资产管理有限公司关于旗下部分开放式证券投资基金在直销柜台开通基金转换业务的公告</w:t>
      </w:r>
      <w:r w:rsidRPr="00553F0B">
        <w:rPr>
          <w:rFonts w:hint="eastAsia"/>
          <w:spacing w:val="1"/>
          <w:lang w:eastAsia="zh-CN"/>
        </w:rPr>
        <w:t>》</w:t>
      </w:r>
      <w:r w:rsidRPr="00553F0B">
        <w:rPr>
          <w:rFonts w:hint="eastAsia"/>
          <w:spacing w:val="1"/>
          <w:lang w:eastAsia="zh-CN"/>
        </w:rPr>
        <w:t>。</w:t>
      </w:r>
    </w:p>
    <w:p w:rsidR="00D74AD5" w:rsidRPr="00DA219B" w:rsidRDefault="00540683" w:rsidP="00870719">
      <w:pPr>
        <w:pStyle w:val="a3"/>
        <w:numPr>
          <w:ilvl w:val="0"/>
          <w:numId w:val="1"/>
        </w:numPr>
        <w:tabs>
          <w:tab w:val="left" w:pos="1124"/>
        </w:tabs>
        <w:spacing w:before="100" w:beforeAutospacing="1" w:after="100" w:afterAutospacing="1" w:line="360" w:lineRule="auto"/>
        <w:ind w:left="510"/>
        <w:outlineLvl w:val="0"/>
        <w:rPr>
          <w:b/>
        </w:rPr>
      </w:pPr>
      <w:r w:rsidRPr="00DA219B">
        <w:rPr>
          <w:rFonts w:hint="eastAsia"/>
          <w:b/>
        </w:rPr>
        <w:t>基金转换业务规则</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1</w:t>
      </w:r>
      <w:r w:rsidRPr="00541DED">
        <w:rPr>
          <w:rFonts w:hint="eastAsia"/>
          <w:spacing w:val="-2"/>
          <w:lang w:eastAsia="zh-CN"/>
        </w:rPr>
        <w:t>、转换的两只基金必须都是由同一销售机构销售的同一基金管理人管理的、在同一基金注册登记机构处注册登记的基金。投资者办理基金转换业务时，转出方的基金必须处于可赎回状态，转入方的基金必须处于可申购状态。同一基金不同类别基金份额间不开放相互转换业务。</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2</w:t>
      </w:r>
      <w:r w:rsidRPr="00541DED">
        <w:rPr>
          <w:rFonts w:hint="eastAsia"/>
          <w:spacing w:val="-2"/>
          <w:lang w:eastAsia="zh-CN"/>
        </w:rPr>
        <w:t>、基金转换采取“未知价法”，即基金的转换价格以转换申请受理当日各基金转出、转入的基金份额资产净值为基准进行计算。</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lastRenderedPageBreak/>
        <w:t>3</w:t>
      </w:r>
      <w:r w:rsidRPr="00541DED">
        <w:rPr>
          <w:rFonts w:hint="eastAsia"/>
          <w:spacing w:val="-2"/>
          <w:lang w:eastAsia="zh-CN"/>
        </w:rPr>
        <w:t>、基金转换以份额为单位进行申请，遵循“先进先出”的业务规则，即份额注册日期在前的先转换出，份额注册日期在后的后转换出。基金转换申请转出的基金份额必须是可用的份额。</w:t>
      </w:r>
    </w:p>
    <w:p w:rsidR="00ED0870"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4</w:t>
      </w:r>
      <w:r w:rsidRPr="00541DED">
        <w:rPr>
          <w:rFonts w:hint="eastAsia"/>
          <w:spacing w:val="-2"/>
          <w:lang w:eastAsia="zh-CN"/>
        </w:rPr>
        <w:t>、注册登记机构以收到有效转换申请的当天作为转换申请日（</w:t>
      </w:r>
      <w:r w:rsidRPr="00541DED">
        <w:rPr>
          <w:rFonts w:hint="eastAsia"/>
          <w:spacing w:val="-2"/>
          <w:lang w:eastAsia="zh-CN"/>
        </w:rPr>
        <w:t>T</w:t>
      </w:r>
      <w:r w:rsidRPr="00541DED">
        <w:rPr>
          <w:rFonts w:hint="eastAsia"/>
          <w:spacing w:val="-2"/>
          <w:lang w:eastAsia="zh-CN"/>
        </w:rPr>
        <w:t>日）。正常情况下，投资者转换基金成功的，注册登记机构将在</w:t>
      </w:r>
      <w:r w:rsidRPr="00541DED">
        <w:rPr>
          <w:rFonts w:hint="eastAsia"/>
          <w:spacing w:val="-2"/>
          <w:lang w:eastAsia="zh-CN"/>
        </w:rPr>
        <w:t>T</w:t>
      </w:r>
      <w:r w:rsidRPr="00541DED">
        <w:rPr>
          <w:rFonts w:hint="eastAsia"/>
          <w:spacing w:val="-2"/>
          <w:lang w:eastAsia="zh-CN"/>
        </w:rPr>
        <w:t>＋</w:t>
      </w:r>
      <w:r w:rsidRPr="00541DED">
        <w:rPr>
          <w:rFonts w:hint="eastAsia"/>
          <w:spacing w:val="-2"/>
          <w:lang w:eastAsia="zh-CN"/>
        </w:rPr>
        <w:t>1</w:t>
      </w:r>
      <w:r w:rsidRPr="00541DED">
        <w:rPr>
          <w:rFonts w:hint="eastAsia"/>
          <w:spacing w:val="-2"/>
          <w:lang w:eastAsia="zh-CN"/>
        </w:rPr>
        <w:t>日对投资者</w:t>
      </w:r>
      <w:r w:rsidRPr="00541DED">
        <w:rPr>
          <w:rFonts w:hint="eastAsia"/>
          <w:spacing w:val="-2"/>
          <w:lang w:eastAsia="zh-CN"/>
        </w:rPr>
        <w:t>T</w:t>
      </w:r>
      <w:r w:rsidRPr="00541DED">
        <w:rPr>
          <w:rFonts w:hint="eastAsia"/>
          <w:spacing w:val="-2"/>
          <w:lang w:eastAsia="zh-CN"/>
        </w:rPr>
        <w:t>日的基金转换业务申请进行有效性确认，办理转出基金的权益扣除以及转入基金的权益登记。</w:t>
      </w:r>
      <w:r w:rsidRPr="00845B77">
        <w:rPr>
          <w:rFonts w:hint="eastAsia"/>
          <w:spacing w:val="-2"/>
          <w:lang w:eastAsia="zh-CN"/>
        </w:rPr>
        <w:t>自</w:t>
      </w:r>
      <w:r w:rsidRPr="00845B77">
        <w:rPr>
          <w:spacing w:val="-2"/>
          <w:lang w:eastAsia="zh-CN"/>
        </w:rPr>
        <w:t>T</w:t>
      </w:r>
      <w:r w:rsidRPr="00845B77">
        <w:rPr>
          <w:spacing w:val="-2"/>
          <w:lang w:eastAsia="zh-CN"/>
        </w:rPr>
        <w:t>＋</w:t>
      </w:r>
      <w:r w:rsidRPr="00845B77">
        <w:rPr>
          <w:spacing w:val="-2"/>
          <w:lang w:eastAsia="zh-CN"/>
        </w:rPr>
        <w:t>2</w:t>
      </w:r>
      <w:r w:rsidRPr="00845B77">
        <w:rPr>
          <w:spacing w:val="-2"/>
          <w:lang w:eastAsia="zh-CN"/>
        </w:rPr>
        <w:t>日起，投资者可向销售机构查询基金转换的成交情况，并有权转换或赎回该部分基金份额。</w:t>
      </w:r>
    </w:p>
    <w:p w:rsidR="00D74AD5" w:rsidRPr="00541DED" w:rsidRDefault="00540683" w:rsidP="00541DED">
      <w:pPr>
        <w:pStyle w:val="a3"/>
        <w:spacing w:before="153" w:line="359" w:lineRule="auto"/>
        <w:ind w:left="118" w:right="68" w:firstLine="480"/>
        <w:rPr>
          <w:spacing w:val="-2"/>
          <w:lang w:eastAsia="zh-CN"/>
        </w:rPr>
      </w:pPr>
      <w:r>
        <w:rPr>
          <w:spacing w:val="-2"/>
          <w:lang w:eastAsia="zh-CN"/>
        </w:rPr>
        <w:t>5</w:t>
      </w:r>
      <w:r w:rsidRPr="00541DED">
        <w:rPr>
          <w:rFonts w:hint="eastAsia"/>
          <w:spacing w:val="-2"/>
          <w:lang w:eastAsia="zh-CN"/>
        </w:rPr>
        <w:t>、发生巨额赎回时，基金转出与基金赎回具有相同的优先级，由基金管理人按照基金合同规定的处理程序进行受理。</w:t>
      </w:r>
    </w:p>
    <w:p w:rsidR="005F4640" w:rsidRPr="00541DED" w:rsidRDefault="00540683" w:rsidP="00541DED">
      <w:pPr>
        <w:pStyle w:val="a3"/>
        <w:spacing w:before="153" w:line="359" w:lineRule="auto"/>
        <w:ind w:left="118" w:right="68" w:firstLine="480"/>
        <w:rPr>
          <w:spacing w:val="-2"/>
          <w:lang w:eastAsia="zh-CN"/>
        </w:rPr>
      </w:pPr>
      <w:r>
        <w:rPr>
          <w:spacing w:val="-2"/>
          <w:lang w:eastAsia="zh-CN"/>
        </w:rPr>
        <w:t>6</w:t>
      </w:r>
      <w:r>
        <w:rPr>
          <w:rFonts w:hint="eastAsia"/>
          <w:spacing w:val="-2"/>
          <w:lang w:eastAsia="zh-CN"/>
        </w:rPr>
        <w:t>、</w:t>
      </w:r>
      <w:r w:rsidRPr="005F4640">
        <w:rPr>
          <w:spacing w:val="-2"/>
          <w:lang w:eastAsia="zh-CN"/>
        </w:rPr>
        <w:t>基金转换采取单笔计算法，投资者当日多次转换的，单笔计算转换费用。</w:t>
      </w:r>
    </w:p>
    <w:p w:rsidR="00D74AD5" w:rsidRPr="00663EA1" w:rsidRDefault="00540683" w:rsidP="003E54E2">
      <w:pPr>
        <w:pStyle w:val="a3"/>
        <w:spacing w:before="33" w:line="357" w:lineRule="auto"/>
        <w:ind w:left="133" w:right="323" w:firstLine="480"/>
        <w:rPr>
          <w:spacing w:val="1"/>
          <w:lang w:eastAsia="zh-CN"/>
        </w:rPr>
      </w:pPr>
    </w:p>
    <w:p w:rsidR="00D74AD5" w:rsidRPr="00DA219B" w:rsidRDefault="00540683" w:rsidP="00870719">
      <w:pPr>
        <w:pStyle w:val="a3"/>
        <w:numPr>
          <w:ilvl w:val="0"/>
          <w:numId w:val="1"/>
        </w:numPr>
        <w:tabs>
          <w:tab w:val="left" w:pos="1124"/>
        </w:tabs>
        <w:spacing w:before="100" w:beforeAutospacing="1" w:after="100" w:afterAutospacing="1" w:line="360" w:lineRule="auto"/>
        <w:ind w:left="510"/>
        <w:outlineLvl w:val="0"/>
        <w:rPr>
          <w:b/>
        </w:rPr>
      </w:pPr>
      <w:r w:rsidRPr="00DA219B">
        <w:rPr>
          <w:rFonts w:hint="eastAsia"/>
          <w:b/>
        </w:rPr>
        <w:t>基金转换费用</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基金转换费用由转出基金的赎回费和基金转换的申购补差费两部分构成，具体收取情况视每次转换时不同基金的申购费率和赎回费率的差异情况而定。</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基金转换费用由基金持有人承担。</w:t>
      </w:r>
    </w:p>
    <w:p w:rsidR="00D74AD5" w:rsidRPr="00541DED" w:rsidRDefault="00540683" w:rsidP="00541DED">
      <w:pPr>
        <w:pStyle w:val="a3"/>
        <w:spacing w:before="153" w:line="359" w:lineRule="auto"/>
        <w:ind w:left="118" w:right="68" w:firstLine="480"/>
        <w:rPr>
          <w:spacing w:val="-2"/>
          <w:lang w:eastAsia="zh-CN"/>
        </w:rPr>
      </w:pPr>
      <w:r w:rsidRPr="00541DED">
        <w:rPr>
          <w:rFonts w:hint="eastAsia"/>
          <w:spacing w:val="-2"/>
          <w:lang w:eastAsia="zh-CN"/>
        </w:rPr>
        <w:t>1</w:t>
      </w:r>
      <w:r w:rsidRPr="00541DED">
        <w:rPr>
          <w:rFonts w:hint="eastAsia"/>
          <w:spacing w:val="-2"/>
          <w:lang w:eastAsia="zh-CN"/>
        </w:rPr>
        <w:t>、转出基金赎回费用按转出基金的赎回费率收取，并按照</w:t>
      </w:r>
      <w:r w:rsidRPr="004222DC">
        <w:rPr>
          <w:rFonts w:hint="eastAsia"/>
          <w:spacing w:val="-2"/>
          <w:lang w:eastAsia="zh-CN"/>
        </w:rPr>
        <w:t>《公开募集证券投资基金销售机构监督管理办法》</w:t>
      </w:r>
      <w:r>
        <w:rPr>
          <w:rFonts w:hint="eastAsia"/>
          <w:spacing w:val="-2"/>
          <w:lang w:eastAsia="zh-CN"/>
        </w:rPr>
        <w:t>、</w:t>
      </w:r>
      <w:r w:rsidRPr="00541DED">
        <w:rPr>
          <w:rFonts w:hint="eastAsia"/>
          <w:spacing w:val="-2"/>
          <w:lang w:eastAsia="zh-CN"/>
        </w:rPr>
        <w:t>《招募说明书》</w:t>
      </w:r>
      <w:r>
        <w:rPr>
          <w:rFonts w:hint="eastAsia"/>
          <w:spacing w:val="-2"/>
          <w:lang w:eastAsia="zh-CN"/>
        </w:rPr>
        <w:t>和基金产品资料概要</w:t>
      </w:r>
      <w:r w:rsidRPr="00541DED">
        <w:rPr>
          <w:rFonts w:hint="eastAsia"/>
          <w:spacing w:val="-2"/>
          <w:lang w:eastAsia="zh-CN"/>
        </w:rPr>
        <w:t>的规定将部分赎回费计入转出</w:t>
      </w:r>
      <w:r w:rsidRPr="00541DED">
        <w:rPr>
          <w:rFonts w:hint="eastAsia"/>
          <w:spacing w:val="-2"/>
          <w:lang w:eastAsia="zh-CN"/>
        </w:rPr>
        <w:t>基金的基金财产。</w:t>
      </w:r>
    </w:p>
    <w:p w:rsidR="00D74AD5" w:rsidRPr="00541DED" w:rsidRDefault="00540683" w:rsidP="00C03E2D">
      <w:pPr>
        <w:pStyle w:val="a3"/>
        <w:spacing w:before="153" w:line="359" w:lineRule="auto"/>
        <w:ind w:left="118" w:right="68" w:firstLine="480"/>
        <w:rPr>
          <w:spacing w:val="-2"/>
          <w:lang w:eastAsia="zh-CN"/>
        </w:rPr>
      </w:pPr>
      <w:r w:rsidRPr="003B0FED">
        <w:rPr>
          <w:rFonts w:hint="eastAsia"/>
          <w:spacing w:val="-2"/>
          <w:lang w:eastAsia="zh-CN"/>
        </w:rPr>
        <w:t>2</w:t>
      </w:r>
      <w:r w:rsidRPr="003B0FED">
        <w:rPr>
          <w:rFonts w:hint="eastAsia"/>
          <w:spacing w:val="-2"/>
          <w:lang w:eastAsia="zh-CN"/>
        </w:rPr>
        <w:t>、申购补差费指转入基金与转出基金的申购费之差。当转入基金的申购费率高于转出基金的申购费率时，应缴纳转入基金和转出基金的申购费差额，反之则不收取申购补差费。</w:t>
      </w:r>
    </w:p>
    <w:p w:rsidR="00144BA1" w:rsidRDefault="00540683" w:rsidP="00E32571">
      <w:pPr>
        <w:pStyle w:val="a3"/>
        <w:spacing w:before="33" w:line="357" w:lineRule="auto"/>
        <w:ind w:left="133" w:right="323" w:firstLine="480"/>
        <w:rPr>
          <w:lang w:eastAsia="zh-CN"/>
        </w:rPr>
      </w:pPr>
    </w:p>
    <w:p w:rsidR="003B5C3A" w:rsidRPr="007B144C" w:rsidRDefault="00540683" w:rsidP="007B144C">
      <w:pPr>
        <w:pStyle w:val="a3"/>
        <w:numPr>
          <w:ilvl w:val="0"/>
          <w:numId w:val="1"/>
        </w:numPr>
        <w:tabs>
          <w:tab w:val="left" w:pos="1124"/>
        </w:tabs>
        <w:spacing w:before="100" w:beforeAutospacing="1" w:after="100" w:afterAutospacing="1" w:line="360" w:lineRule="auto"/>
        <w:ind w:left="510"/>
        <w:outlineLvl w:val="0"/>
        <w:rPr>
          <w:b/>
        </w:rPr>
      </w:pPr>
      <w:r w:rsidRPr="007B144C">
        <w:rPr>
          <w:rFonts w:hint="eastAsia"/>
          <w:b/>
        </w:rPr>
        <w:t>基金转换的数额限制</w:t>
      </w:r>
    </w:p>
    <w:p w:rsidR="003B5C3A" w:rsidRDefault="00540683" w:rsidP="00E32571">
      <w:pPr>
        <w:pStyle w:val="a3"/>
        <w:spacing w:before="33" w:line="357" w:lineRule="auto"/>
        <w:ind w:left="133" w:right="323" w:firstLine="480"/>
        <w:rPr>
          <w:lang w:eastAsia="zh-CN"/>
        </w:rPr>
      </w:pPr>
      <w:r w:rsidRPr="003B5C3A">
        <w:rPr>
          <w:rFonts w:hint="eastAsia"/>
          <w:lang w:eastAsia="zh-CN"/>
        </w:rPr>
        <w:t>基金转换按照份额进行申请，申请转换份额精确到小数点后两位。</w:t>
      </w:r>
    </w:p>
    <w:p w:rsidR="003B5C3A" w:rsidRDefault="00540683" w:rsidP="00E32571">
      <w:pPr>
        <w:pStyle w:val="a3"/>
        <w:spacing w:before="33" w:line="357" w:lineRule="auto"/>
        <w:ind w:left="133" w:right="323" w:firstLine="480"/>
        <w:rPr>
          <w:lang w:eastAsia="zh-CN"/>
        </w:rPr>
      </w:pPr>
      <w:r w:rsidRPr="003B5C3A">
        <w:rPr>
          <w:rFonts w:hint="eastAsia"/>
          <w:lang w:eastAsia="zh-CN"/>
        </w:rPr>
        <w:t>投资者通过本公司的直销柜台进行基金转换，单笔转换份额不得低于</w:t>
      </w:r>
      <w:r w:rsidRPr="003B5C3A">
        <w:rPr>
          <w:lang w:eastAsia="zh-CN"/>
        </w:rPr>
        <w:t>1000</w:t>
      </w:r>
      <w:r w:rsidRPr="003B5C3A">
        <w:rPr>
          <w:lang w:eastAsia="zh-CN"/>
        </w:rPr>
        <w:t>份。</w:t>
      </w:r>
      <w:r w:rsidRPr="00FD5880">
        <w:rPr>
          <w:rFonts w:hint="eastAsia"/>
          <w:lang w:eastAsia="zh-CN"/>
        </w:rPr>
        <w:t>基金份额持有人申请转换时，如剩余份额低于</w:t>
      </w:r>
      <w:r w:rsidRPr="00FD5880">
        <w:rPr>
          <w:lang w:eastAsia="zh-CN"/>
        </w:rPr>
        <w:t>1000</w:t>
      </w:r>
      <w:r w:rsidRPr="00FD5880">
        <w:rPr>
          <w:lang w:eastAsia="zh-CN"/>
        </w:rPr>
        <w:t>份，应选择一次性全部转出</w:t>
      </w:r>
      <w:r>
        <w:rPr>
          <w:rFonts w:hint="eastAsia"/>
          <w:lang w:eastAsia="zh-CN"/>
        </w:rPr>
        <w:t>。</w:t>
      </w:r>
    </w:p>
    <w:p w:rsidR="00F97F26" w:rsidRDefault="00540683" w:rsidP="00E32571">
      <w:pPr>
        <w:pStyle w:val="a3"/>
        <w:spacing w:before="33" w:line="357" w:lineRule="auto"/>
        <w:ind w:left="133" w:right="323" w:firstLine="480"/>
        <w:rPr>
          <w:lang w:eastAsia="zh-CN"/>
        </w:rPr>
      </w:pPr>
    </w:p>
    <w:p w:rsidR="00D74AD5" w:rsidRPr="00D74AD5" w:rsidRDefault="00540683" w:rsidP="00870719">
      <w:pPr>
        <w:pStyle w:val="a3"/>
        <w:numPr>
          <w:ilvl w:val="0"/>
          <w:numId w:val="1"/>
        </w:numPr>
        <w:tabs>
          <w:tab w:val="left" w:pos="1124"/>
        </w:tabs>
        <w:spacing w:before="100" w:beforeAutospacing="1" w:after="100" w:afterAutospacing="1" w:line="360" w:lineRule="auto"/>
        <w:ind w:left="510"/>
        <w:outlineLvl w:val="0"/>
        <w:rPr>
          <w:b/>
        </w:rPr>
      </w:pPr>
      <w:r w:rsidRPr="00D74AD5">
        <w:rPr>
          <w:rFonts w:hint="eastAsia"/>
          <w:b/>
        </w:rPr>
        <w:t>其他重要提示</w:t>
      </w:r>
    </w:p>
    <w:p w:rsidR="00325E5B" w:rsidRPr="007B144C" w:rsidRDefault="00540683" w:rsidP="007B144C">
      <w:pPr>
        <w:pStyle w:val="a3"/>
        <w:spacing w:before="153" w:line="360" w:lineRule="auto"/>
        <w:ind w:firstLineChars="200" w:firstLine="480"/>
        <w:rPr>
          <w:spacing w:val="-2"/>
          <w:lang w:eastAsia="zh-CN"/>
        </w:rPr>
      </w:pPr>
      <w:r>
        <w:rPr>
          <w:rFonts w:hint="eastAsia"/>
          <w:lang w:eastAsia="zh-CN"/>
        </w:rPr>
        <w:t>1</w:t>
      </w:r>
      <w:r>
        <w:rPr>
          <w:rFonts w:hint="eastAsia"/>
          <w:lang w:eastAsia="zh-CN"/>
        </w:rPr>
        <w:t>、</w:t>
      </w:r>
      <w:r w:rsidRPr="007B144C">
        <w:rPr>
          <w:rFonts w:hint="eastAsia"/>
          <w:lang w:eastAsia="zh-CN"/>
        </w:rPr>
        <w:t>本公告仅对</w:t>
      </w:r>
      <w:r w:rsidRPr="007B144C">
        <w:rPr>
          <w:rFonts w:hint="eastAsia"/>
          <w:lang w:eastAsia="zh-CN"/>
        </w:rPr>
        <w:t>旗下部分</w:t>
      </w:r>
      <w:r w:rsidRPr="007B144C">
        <w:rPr>
          <w:rFonts w:hint="eastAsia"/>
          <w:lang w:eastAsia="zh-CN"/>
        </w:rPr>
        <w:t>基金开放转换业务的有关事项予以说明。</w:t>
      </w:r>
      <w:r w:rsidRPr="007B144C">
        <w:rPr>
          <w:rFonts w:hint="eastAsia"/>
          <w:lang w:eastAsia="zh-CN"/>
        </w:rPr>
        <w:t>投资者欲了解基金的详细情况，请登录公司网站（</w:t>
      </w:r>
      <w:r w:rsidRPr="007B144C">
        <w:rPr>
          <w:lang w:eastAsia="zh-CN"/>
        </w:rPr>
        <w:t>www.gtjazg.com</w:t>
      </w:r>
      <w:r w:rsidRPr="007B144C">
        <w:rPr>
          <w:lang w:eastAsia="zh-CN"/>
        </w:rPr>
        <w:t>）仔细阅读</w:t>
      </w:r>
      <w:r w:rsidRPr="007B144C">
        <w:rPr>
          <w:rFonts w:hint="eastAsia"/>
          <w:lang w:eastAsia="zh-CN"/>
        </w:rPr>
        <w:t>上述基金《基金合同》、《招募说明书》和基金产品资料概要等法律文件</w:t>
      </w:r>
      <w:r w:rsidRPr="007B144C">
        <w:rPr>
          <w:lang w:eastAsia="zh-CN"/>
        </w:rPr>
        <w:t>，或拨打本公司的客户服务热线（</w:t>
      </w:r>
      <w:r w:rsidRPr="007B144C">
        <w:rPr>
          <w:lang w:eastAsia="zh-CN"/>
        </w:rPr>
        <w:t>95521</w:t>
      </w:r>
      <w:r w:rsidRPr="007B144C">
        <w:rPr>
          <w:lang w:eastAsia="zh-CN"/>
        </w:rPr>
        <w:t>）进行查询</w:t>
      </w:r>
      <w:r w:rsidRPr="007B144C">
        <w:rPr>
          <w:lang w:eastAsia="zh-CN"/>
        </w:rPr>
        <w:t>。</w:t>
      </w:r>
    </w:p>
    <w:p w:rsidR="00325E5B" w:rsidRPr="00325E5B" w:rsidRDefault="00540683" w:rsidP="00540683">
      <w:pPr>
        <w:pStyle w:val="a3"/>
        <w:spacing w:before="153" w:line="359" w:lineRule="auto"/>
        <w:ind w:right="68" w:firstLineChars="200" w:firstLine="476"/>
        <w:rPr>
          <w:spacing w:val="-2"/>
          <w:lang w:eastAsia="zh-CN"/>
        </w:rPr>
        <w:pPrChange w:id="0" w:author="ZHONGM" w:date="2025-02-19T00:00:00Z">
          <w:pPr>
            <w:pStyle w:val="a3"/>
            <w:spacing w:before="153" w:line="359" w:lineRule="auto"/>
            <w:ind w:right="68" w:firstLineChars="200" w:firstLine="476"/>
          </w:pPr>
        </w:pPrChange>
      </w:pPr>
      <w:r>
        <w:rPr>
          <w:spacing w:val="-2"/>
          <w:lang w:eastAsia="zh-CN"/>
        </w:rPr>
        <w:t>2</w:t>
      </w:r>
      <w:r w:rsidRPr="00325E5B">
        <w:rPr>
          <w:spacing w:val="-2"/>
          <w:lang w:eastAsia="zh-CN"/>
        </w:rPr>
        <w:t>、本公司有权根据市场情况或法律法规变化调整上述业务规则，并在正式调整前根据相关法律法规及基金合同的规定进行披露。</w:t>
      </w:r>
    </w:p>
    <w:p w:rsidR="00D45972" w:rsidRPr="00F83AC9" w:rsidRDefault="00540683" w:rsidP="00540683">
      <w:pPr>
        <w:pStyle w:val="a3"/>
        <w:spacing w:before="153" w:line="359" w:lineRule="auto"/>
        <w:ind w:right="68" w:firstLineChars="200" w:firstLine="476"/>
        <w:rPr>
          <w:spacing w:val="-2"/>
          <w:lang w:eastAsia="zh-CN"/>
        </w:rPr>
        <w:pPrChange w:id="1" w:author="ZHONGM" w:date="2025-02-19T00:00:00Z">
          <w:pPr>
            <w:pStyle w:val="a3"/>
            <w:spacing w:before="153" w:line="359" w:lineRule="auto"/>
            <w:ind w:right="68" w:firstLineChars="200" w:firstLine="476"/>
          </w:pPr>
        </w:pPrChange>
      </w:pPr>
      <w:r>
        <w:rPr>
          <w:spacing w:val="-2"/>
          <w:lang w:eastAsia="zh-CN"/>
        </w:rPr>
        <w:t>3</w:t>
      </w:r>
      <w:r w:rsidRPr="00325E5B">
        <w:rPr>
          <w:spacing w:val="-2"/>
          <w:lang w:eastAsia="zh-CN"/>
        </w:rPr>
        <w:t>、本公告的解释权归本公司所有。</w:t>
      </w:r>
    </w:p>
    <w:p w:rsidR="00144BA1" w:rsidRDefault="00540683">
      <w:pPr>
        <w:spacing w:line="200" w:lineRule="exact"/>
        <w:rPr>
          <w:lang w:eastAsia="zh-CN"/>
        </w:rPr>
      </w:pPr>
    </w:p>
    <w:p w:rsidR="00144BA1" w:rsidRDefault="00540683">
      <w:pPr>
        <w:spacing w:line="270" w:lineRule="exact"/>
        <w:rPr>
          <w:lang w:eastAsia="zh-CN"/>
        </w:rPr>
      </w:pPr>
    </w:p>
    <w:p w:rsidR="00144BA1" w:rsidRPr="00870719" w:rsidRDefault="00540683" w:rsidP="00870719">
      <w:pPr>
        <w:pStyle w:val="a3"/>
        <w:numPr>
          <w:ilvl w:val="0"/>
          <w:numId w:val="1"/>
        </w:numPr>
        <w:tabs>
          <w:tab w:val="left" w:pos="1108"/>
        </w:tabs>
        <w:spacing w:before="100" w:beforeAutospacing="1" w:after="100" w:afterAutospacing="1" w:line="360" w:lineRule="auto"/>
        <w:ind w:left="510"/>
        <w:outlineLvl w:val="0"/>
        <w:rPr>
          <w:b/>
        </w:rPr>
      </w:pPr>
      <w:r w:rsidRPr="00870719">
        <w:rPr>
          <w:b/>
        </w:rPr>
        <w:t>风险提示</w:t>
      </w:r>
    </w:p>
    <w:p w:rsidR="00144BA1" w:rsidRDefault="00540683">
      <w:pPr>
        <w:pStyle w:val="a3"/>
        <w:spacing w:before="153" w:line="359" w:lineRule="auto"/>
        <w:ind w:left="118" w:right="68" w:firstLine="480"/>
        <w:rPr>
          <w:lang w:eastAsia="zh-CN"/>
        </w:rPr>
      </w:pPr>
      <w:r w:rsidRPr="0009784E">
        <w:rPr>
          <w:rFonts w:hint="eastAsia"/>
          <w:spacing w:val="-2"/>
          <w:lang w:eastAsia="zh-CN"/>
        </w:rPr>
        <w:t>本公司承诺以诚实信用、勤勉尽责的原则管理和运用基金资产，但不保证基金一定盈利，也不保证最低收益。基金的过往业绩并不预示其未来表现。基金有风险，投资需谨慎。投资者投资本公司管理的基金时，应认真阅读基金合同、招募说明书、</w:t>
      </w:r>
      <w:r>
        <w:rPr>
          <w:rFonts w:hint="eastAsia"/>
          <w:spacing w:val="-2"/>
          <w:lang w:eastAsia="zh-CN"/>
        </w:rPr>
        <w:t>基金</w:t>
      </w:r>
      <w:r w:rsidRPr="0009784E">
        <w:rPr>
          <w:rFonts w:hint="eastAsia"/>
          <w:spacing w:val="-2"/>
          <w:lang w:eastAsia="zh-CN"/>
        </w:rPr>
        <w:t>产品资料概</w:t>
      </w:r>
      <w:r w:rsidRPr="0009784E">
        <w:rPr>
          <w:rFonts w:hint="eastAsia"/>
          <w:spacing w:val="-2"/>
          <w:lang w:eastAsia="zh-CN"/>
        </w:rPr>
        <w:t>要</w:t>
      </w:r>
      <w:r>
        <w:rPr>
          <w:rFonts w:hint="eastAsia"/>
          <w:spacing w:val="-2"/>
          <w:lang w:eastAsia="zh-CN"/>
        </w:rPr>
        <w:t>及其更新</w:t>
      </w:r>
      <w:r w:rsidRPr="0009784E">
        <w:rPr>
          <w:rFonts w:hint="eastAsia"/>
          <w:spacing w:val="-2"/>
          <w:lang w:eastAsia="zh-CN"/>
        </w:rPr>
        <w:t>等法律文件，并选择适合自身风险承受能力的投资品种进行投资。敬请投资人注意投资风险</w:t>
      </w:r>
      <w:r>
        <w:rPr>
          <w:lang w:eastAsia="zh-CN"/>
        </w:rPr>
        <w:t>。</w:t>
      </w:r>
    </w:p>
    <w:p w:rsidR="0009784E" w:rsidRDefault="00540683" w:rsidP="0009784E">
      <w:pPr>
        <w:pStyle w:val="a3"/>
        <w:ind w:left="689"/>
        <w:rPr>
          <w:lang w:eastAsia="zh-CN"/>
        </w:rPr>
      </w:pPr>
      <w:r>
        <w:rPr>
          <w:spacing w:val="-6"/>
          <w:lang w:eastAsia="zh-CN"/>
        </w:rPr>
        <w:t>特此</w:t>
      </w:r>
      <w:r>
        <w:rPr>
          <w:spacing w:val="-5"/>
          <w:lang w:eastAsia="zh-CN"/>
        </w:rPr>
        <w:t>公告。</w:t>
      </w:r>
    </w:p>
    <w:p w:rsidR="00144BA1" w:rsidRDefault="00540683" w:rsidP="00E32571">
      <w:pPr>
        <w:pStyle w:val="a3"/>
        <w:spacing w:before="33" w:line="357" w:lineRule="auto"/>
        <w:ind w:left="133" w:right="323" w:firstLine="480"/>
        <w:rPr>
          <w:lang w:eastAsia="zh-CN"/>
        </w:rPr>
      </w:pPr>
    </w:p>
    <w:p w:rsidR="00144BA1" w:rsidRDefault="00540683" w:rsidP="00E32571">
      <w:pPr>
        <w:pStyle w:val="a3"/>
        <w:spacing w:before="33" w:line="357" w:lineRule="auto"/>
        <w:ind w:left="133" w:right="323" w:firstLine="480"/>
        <w:rPr>
          <w:lang w:eastAsia="zh-CN"/>
        </w:rPr>
      </w:pPr>
    </w:p>
    <w:p w:rsidR="00144BA1" w:rsidRDefault="00540683" w:rsidP="0009784E">
      <w:pPr>
        <w:pStyle w:val="a3"/>
        <w:jc w:val="right"/>
        <w:rPr>
          <w:lang w:eastAsia="zh-CN"/>
        </w:rPr>
      </w:pPr>
      <w:r>
        <w:rPr>
          <w:spacing w:val="1"/>
          <w:lang w:eastAsia="zh-CN"/>
        </w:rPr>
        <w:t>上海国泰君安证券资产管理有限公司</w:t>
      </w:r>
    </w:p>
    <w:p w:rsidR="00144BA1" w:rsidRDefault="00540683" w:rsidP="0009784E">
      <w:pPr>
        <w:spacing w:line="168" w:lineRule="exact"/>
        <w:jc w:val="right"/>
        <w:rPr>
          <w:lang w:eastAsia="zh-CN"/>
        </w:rPr>
      </w:pPr>
    </w:p>
    <w:p w:rsidR="00144BA1" w:rsidRDefault="00540683" w:rsidP="0009784E">
      <w:pPr>
        <w:pStyle w:val="a3"/>
        <w:ind w:left="6575"/>
        <w:jc w:val="right"/>
      </w:pPr>
      <w:r>
        <w:rPr>
          <w:spacing w:val="-17"/>
        </w:rPr>
        <w:t>2025</w:t>
      </w:r>
      <w:r>
        <w:rPr>
          <w:spacing w:val="-17"/>
        </w:rPr>
        <w:t>年</w:t>
      </w:r>
      <w:r>
        <w:rPr>
          <w:spacing w:val="-17"/>
        </w:rPr>
        <w:t>2</w:t>
      </w:r>
      <w:r>
        <w:rPr>
          <w:spacing w:val="-17"/>
        </w:rPr>
        <w:t>月</w:t>
      </w:r>
      <w:r>
        <w:rPr>
          <w:spacing w:val="-17"/>
        </w:rPr>
        <w:t>19</w:t>
      </w:r>
      <w:r>
        <w:rPr>
          <w:spacing w:val="-17"/>
        </w:rPr>
        <w:t>日</w:t>
      </w:r>
    </w:p>
    <w:sectPr w:rsidR="00144BA1" w:rsidSect="00AF16F0">
      <w:headerReference w:type="even" r:id="rId7"/>
      <w:headerReference w:type="default" r:id="rId8"/>
      <w:headerReference w:type="first" r:id="rId9"/>
      <w:pgSz w:w="11910" w:h="16845"/>
      <w:pgMar w:top="1348" w:right="1593" w:bottom="1424" w:left="168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6F0" w:rsidRDefault="00AF16F0" w:rsidP="00AF16F0">
      <w:r>
        <w:separator/>
      </w:r>
    </w:p>
  </w:endnote>
  <w:endnote w:type="continuationSeparator" w:id="0">
    <w:p w:rsidR="00AF16F0" w:rsidRDefault="00AF16F0" w:rsidP="00AF16F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6F0" w:rsidRDefault="00AF16F0" w:rsidP="00AF16F0">
      <w:r>
        <w:separator/>
      </w:r>
    </w:p>
  </w:footnote>
  <w:footnote w:type="continuationSeparator" w:id="0">
    <w:p w:rsidR="00AF16F0" w:rsidRDefault="00AF16F0" w:rsidP="00AF1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F0" w:rsidRDefault="00AF16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223.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F0" w:rsidRDefault="00AF16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23.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F0" w:rsidRDefault="00AF16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223.5pt;height:315.75pt;z-index:251659264;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918"/>
    <w:multiLevelType w:val="multilevel"/>
    <w:tmpl w:val="66B4A516"/>
    <w:lvl w:ilvl="0">
      <w:start w:val="1"/>
      <w:numFmt w:val="chineseCountingThousand"/>
      <w:lvlText w:val="%1、"/>
      <w:lvlJc w:val="left"/>
      <w:pPr>
        <w:ind w:left="1164" w:hanging="470"/>
      </w:pPr>
    </w:lvl>
    <w:lvl w:ilvl="1">
      <w:start w:val="1"/>
      <w:numFmt w:val="decimal"/>
      <w:lvlText w:val="%2、"/>
      <w:lvlJc w:val="left"/>
      <w:pPr>
        <w:ind w:left="223" w:firstLine="0"/>
      </w:pPr>
    </w:lvl>
    <w:lvl w:ilvl="2">
      <w:numFmt w:val="bullet"/>
      <w:lvlText w:val="•"/>
      <w:lvlJc w:val="left"/>
      <w:pPr>
        <w:ind w:left="223" w:firstLine="470"/>
      </w:pPr>
    </w:lvl>
    <w:lvl w:ilvl="3">
      <w:numFmt w:val="bullet"/>
      <w:lvlText w:val="•"/>
      <w:lvlJc w:val="left"/>
      <w:pPr>
        <w:ind w:left="223" w:firstLine="940"/>
      </w:pPr>
    </w:lvl>
    <w:lvl w:ilvl="4">
      <w:numFmt w:val="bullet"/>
      <w:lvlText w:val="•"/>
      <w:lvlJc w:val="left"/>
      <w:pPr>
        <w:ind w:left="223" w:firstLine="1410"/>
      </w:pPr>
    </w:lvl>
    <w:lvl w:ilvl="5">
      <w:numFmt w:val="bullet"/>
      <w:lvlText w:val="•"/>
      <w:lvlJc w:val="left"/>
      <w:pPr>
        <w:ind w:left="223" w:firstLine="1880"/>
      </w:pPr>
    </w:lvl>
    <w:lvl w:ilvl="6">
      <w:numFmt w:val="bullet"/>
      <w:lvlText w:val="•"/>
      <w:lvlJc w:val="left"/>
      <w:pPr>
        <w:ind w:left="223" w:firstLine="2350"/>
      </w:pPr>
    </w:lvl>
    <w:lvl w:ilvl="7">
      <w:numFmt w:val="bullet"/>
      <w:lvlText w:val="•"/>
      <w:lvlJc w:val="left"/>
      <w:pPr>
        <w:ind w:left="223" w:firstLine="2820"/>
      </w:pPr>
    </w:lvl>
    <w:lvl w:ilvl="8">
      <w:numFmt w:val="bullet"/>
      <w:lvlText w:val="•"/>
      <w:lvlJc w:val="left"/>
      <w:pPr>
        <w:ind w:left="223" w:firstLine="3290"/>
      </w:pPr>
    </w:lvl>
  </w:abstractNum>
  <w:abstractNum w:abstractNumId="1">
    <w:nsid w:val="5B77262C"/>
    <w:multiLevelType w:val="multilevel"/>
    <w:tmpl w:val="3F1EC66C"/>
    <w:lvl w:ilvl="0">
      <w:start w:val="1"/>
      <w:numFmt w:val="decimal"/>
      <w:lvlText w:val="（%1）"/>
      <w:lvlJc w:val="left"/>
      <w:pPr>
        <w:ind w:left="223" w:firstLine="0"/>
      </w:pPr>
    </w:lvl>
    <w:lvl w:ilvl="1">
      <w:numFmt w:val="bullet"/>
      <w:lvlText w:val="•"/>
      <w:lvlJc w:val="left"/>
      <w:pPr>
        <w:ind w:left="223" w:firstLine="0"/>
      </w:pPr>
    </w:lvl>
    <w:lvl w:ilvl="2">
      <w:numFmt w:val="bullet"/>
      <w:lvlText w:val="•"/>
      <w:lvlJc w:val="left"/>
      <w:pPr>
        <w:ind w:left="223" w:firstLine="0"/>
      </w:pPr>
    </w:lvl>
    <w:lvl w:ilvl="3">
      <w:numFmt w:val="bullet"/>
      <w:lvlText w:val="•"/>
      <w:lvlJc w:val="left"/>
      <w:pPr>
        <w:ind w:left="223" w:firstLine="0"/>
      </w:pPr>
    </w:lvl>
    <w:lvl w:ilvl="4">
      <w:numFmt w:val="bullet"/>
      <w:lvlText w:val="•"/>
      <w:lvlJc w:val="left"/>
      <w:pPr>
        <w:ind w:left="223" w:firstLine="0"/>
      </w:pPr>
    </w:lvl>
    <w:lvl w:ilvl="5">
      <w:numFmt w:val="bullet"/>
      <w:lvlText w:val="•"/>
      <w:lvlJc w:val="left"/>
      <w:pPr>
        <w:ind w:left="223" w:firstLine="0"/>
      </w:pPr>
    </w:lvl>
    <w:lvl w:ilvl="6">
      <w:numFmt w:val="bullet"/>
      <w:lvlText w:val="•"/>
      <w:lvlJc w:val="left"/>
      <w:pPr>
        <w:ind w:left="223" w:firstLine="0"/>
      </w:pPr>
    </w:lvl>
    <w:lvl w:ilvl="7">
      <w:numFmt w:val="bullet"/>
      <w:lvlText w:val="•"/>
      <w:lvlJc w:val="left"/>
      <w:pPr>
        <w:ind w:left="223" w:firstLine="0"/>
      </w:pPr>
    </w:lvl>
    <w:lvl w:ilvl="8">
      <w:numFmt w:val="bullet"/>
      <w:lvlText w:val="•"/>
      <w:lvlJc w:val="left"/>
      <w:pPr>
        <w:ind w:left="223" w:firstLine="0"/>
      </w:pPr>
    </w:lvl>
  </w:abstractNum>
  <w:abstractNum w:abstractNumId="2">
    <w:nsid w:val="5C976176"/>
    <w:multiLevelType w:val="multilevel"/>
    <w:tmpl w:val="893C341E"/>
    <w:lvl w:ilvl="0">
      <w:start w:val="1"/>
      <w:numFmt w:val="chineseCountingThousand"/>
      <w:lvlText w:val="%1、"/>
      <w:lvlJc w:val="left"/>
      <w:pPr>
        <w:ind w:left="794" w:hanging="510"/>
      </w:pPr>
    </w:lvl>
    <w:lvl w:ilvl="1">
      <w:start w:val="1"/>
      <w:numFmt w:val="chineseCountingThousand"/>
      <w:lvlText w:val="（%2）"/>
      <w:lvlJc w:val="left"/>
      <w:pPr>
        <w:ind w:left="1319" w:hanging="721"/>
      </w:pPr>
    </w:lvl>
    <w:lvl w:ilvl="2">
      <w:start w:val="1"/>
      <w:numFmt w:val="decimal"/>
      <w:lvlText w:val="（%3）"/>
      <w:lvlJc w:val="left"/>
      <w:pPr>
        <w:ind w:left="583" w:hanging="15"/>
      </w:pPr>
    </w:lvl>
    <w:lvl w:ilvl="3">
      <w:numFmt w:val="bullet"/>
      <w:lvlText w:val="•"/>
      <w:lvlJc w:val="left"/>
      <w:pPr>
        <w:ind w:left="583" w:firstLine="691"/>
      </w:pPr>
    </w:lvl>
    <w:lvl w:ilvl="4">
      <w:numFmt w:val="bullet"/>
      <w:lvlText w:val="•"/>
      <w:lvlJc w:val="left"/>
      <w:pPr>
        <w:ind w:left="583" w:firstLine="1397"/>
      </w:pPr>
    </w:lvl>
    <w:lvl w:ilvl="5">
      <w:numFmt w:val="bullet"/>
      <w:lvlText w:val="•"/>
      <w:lvlJc w:val="left"/>
      <w:pPr>
        <w:ind w:left="583" w:firstLine="2103"/>
      </w:pPr>
    </w:lvl>
    <w:lvl w:ilvl="6">
      <w:numFmt w:val="bullet"/>
      <w:lvlText w:val="•"/>
      <w:lvlJc w:val="left"/>
      <w:pPr>
        <w:ind w:left="583" w:firstLine="2809"/>
      </w:pPr>
    </w:lvl>
    <w:lvl w:ilvl="7">
      <w:numFmt w:val="bullet"/>
      <w:lvlText w:val="•"/>
      <w:lvlJc w:val="left"/>
      <w:pPr>
        <w:ind w:left="583" w:firstLine="3515"/>
      </w:pPr>
    </w:lvl>
    <w:lvl w:ilvl="8">
      <w:numFmt w:val="bullet"/>
      <w:lvlText w:val="•"/>
      <w:lvlJc w:val="left"/>
      <w:pPr>
        <w:ind w:left="583" w:firstLine="4221"/>
      </w:p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lTrailSpace/>
    <w:useFELayout/>
  </w:compat>
  <w:rsids>
    <w:rsidRoot w:val="00AF16F0"/>
    <w:rsid w:val="00540683"/>
    <w:rsid w:val="00AF1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F0"/>
    <w:rPr>
      <w:rFonts w:ascii="宋体" w:eastAsia="宋体" w:hAnsi="宋体" w:cs="宋体"/>
    </w:rPr>
  </w:style>
  <w:style w:type="paragraph" w:styleId="4">
    <w:name w:val="heading 4"/>
    <w:basedOn w:val="a"/>
    <w:link w:val="4Char"/>
    <w:uiPriority w:val="9"/>
    <w:qFormat/>
    <w:rsid w:val="00D74AD5"/>
    <w:pPr>
      <w:widowControl/>
      <w:autoSpaceDE/>
      <w:autoSpaceDN/>
      <w:spacing w:before="100" w:beforeAutospacing="1" w:after="100" w:afterAutospacing="1"/>
      <w:outlineLvl w:val="3"/>
    </w:pPr>
    <w:rPr>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AF16F0"/>
    <w:tblPr>
      <w:tblInd w:w="0" w:type="dxa"/>
      <w:tblCellMar>
        <w:top w:w="0" w:type="dxa"/>
        <w:left w:w="0" w:type="dxa"/>
        <w:bottom w:w="0" w:type="dxa"/>
        <w:right w:w="0" w:type="dxa"/>
      </w:tblCellMar>
    </w:tblPr>
  </w:style>
  <w:style w:type="paragraph" w:styleId="a3">
    <w:name w:val="Body Text"/>
    <w:basedOn w:val="a"/>
    <w:link w:val="Char"/>
    <w:uiPriority w:val="1"/>
    <w:qFormat/>
    <w:rsid w:val="00AF16F0"/>
    <w:rPr>
      <w:sz w:val="24"/>
      <w:szCs w:val="24"/>
    </w:rPr>
  </w:style>
  <w:style w:type="paragraph" w:styleId="a4">
    <w:name w:val="List Paragraph"/>
    <w:basedOn w:val="a"/>
    <w:uiPriority w:val="1"/>
    <w:qFormat/>
    <w:rsid w:val="00AF16F0"/>
    <w:pPr>
      <w:ind w:left="838" w:firstLine="838"/>
    </w:pPr>
  </w:style>
  <w:style w:type="paragraph" w:customStyle="1" w:styleId="TableParagraph">
    <w:name w:val="Table Paragraph"/>
    <w:basedOn w:val="a"/>
    <w:uiPriority w:val="1"/>
    <w:qFormat/>
    <w:rsid w:val="00AF16F0"/>
  </w:style>
  <w:style w:type="paragraph" w:styleId="a5">
    <w:name w:val="header"/>
    <w:basedOn w:val="a"/>
    <w:link w:val="Char0"/>
    <w:uiPriority w:val="99"/>
    <w:unhideWhenUsed/>
    <w:rsid w:val="000678FD"/>
    <w:pPr>
      <w:tabs>
        <w:tab w:val="center" w:pos="4153"/>
        <w:tab w:val="right" w:pos="8306"/>
      </w:tabs>
      <w:snapToGrid w:val="0"/>
      <w:jc w:val="center"/>
    </w:pPr>
    <w:rPr>
      <w:sz w:val="18"/>
      <w:szCs w:val="18"/>
    </w:rPr>
  </w:style>
  <w:style w:type="character" w:customStyle="1" w:styleId="Char0">
    <w:name w:val="页眉 Char"/>
    <w:basedOn w:val="a0"/>
    <w:link w:val="a5"/>
    <w:uiPriority w:val="99"/>
    <w:rsid w:val="000678FD"/>
    <w:rPr>
      <w:rFonts w:ascii="宋体" w:eastAsia="宋体" w:hAnsi="宋体" w:cs="宋体"/>
      <w:sz w:val="18"/>
      <w:szCs w:val="18"/>
    </w:rPr>
  </w:style>
  <w:style w:type="paragraph" w:styleId="a6">
    <w:name w:val="footer"/>
    <w:basedOn w:val="a"/>
    <w:link w:val="Char1"/>
    <w:uiPriority w:val="99"/>
    <w:unhideWhenUsed/>
    <w:rsid w:val="000678FD"/>
    <w:pPr>
      <w:tabs>
        <w:tab w:val="center" w:pos="4153"/>
        <w:tab w:val="right" w:pos="8306"/>
      </w:tabs>
      <w:snapToGrid w:val="0"/>
    </w:pPr>
    <w:rPr>
      <w:sz w:val="18"/>
      <w:szCs w:val="18"/>
    </w:rPr>
  </w:style>
  <w:style w:type="character" w:customStyle="1" w:styleId="Char1">
    <w:name w:val="页脚 Char"/>
    <w:basedOn w:val="a0"/>
    <w:link w:val="a6"/>
    <w:uiPriority w:val="99"/>
    <w:rsid w:val="000678FD"/>
    <w:rPr>
      <w:rFonts w:ascii="宋体" w:eastAsia="宋体" w:hAnsi="宋体" w:cs="宋体"/>
      <w:sz w:val="18"/>
      <w:szCs w:val="18"/>
    </w:rPr>
  </w:style>
  <w:style w:type="paragraph" w:styleId="a7">
    <w:name w:val="Revision"/>
    <w:hidden/>
    <w:uiPriority w:val="99"/>
    <w:semiHidden/>
    <w:rsid w:val="00AB66D9"/>
    <w:pPr>
      <w:widowControl/>
      <w:autoSpaceDE/>
      <w:autoSpaceDN/>
    </w:pPr>
    <w:rPr>
      <w:rFonts w:ascii="宋体" w:eastAsia="宋体" w:hAnsi="宋体" w:cs="宋体"/>
    </w:rPr>
  </w:style>
  <w:style w:type="character" w:styleId="a8">
    <w:name w:val="Hyperlink"/>
    <w:basedOn w:val="a0"/>
    <w:uiPriority w:val="99"/>
    <w:unhideWhenUsed/>
    <w:rsid w:val="00EC5948"/>
    <w:rPr>
      <w:color w:val="0000FF" w:themeColor="hyperlink"/>
      <w:u w:val="single"/>
    </w:rPr>
  </w:style>
  <w:style w:type="character" w:customStyle="1" w:styleId="Char">
    <w:name w:val="正文文本 Char"/>
    <w:basedOn w:val="a0"/>
    <w:link w:val="a3"/>
    <w:uiPriority w:val="1"/>
    <w:rsid w:val="00EC5948"/>
    <w:rPr>
      <w:rFonts w:ascii="宋体" w:eastAsia="宋体" w:hAnsi="宋体" w:cs="宋体"/>
      <w:sz w:val="24"/>
      <w:szCs w:val="24"/>
    </w:rPr>
  </w:style>
  <w:style w:type="character" w:customStyle="1" w:styleId="UnresolvedMention">
    <w:name w:val="Unresolved Mention"/>
    <w:basedOn w:val="a0"/>
    <w:uiPriority w:val="99"/>
    <w:semiHidden/>
    <w:unhideWhenUsed/>
    <w:rsid w:val="00567810"/>
    <w:rPr>
      <w:color w:val="605E5C"/>
      <w:shd w:val="clear" w:color="auto" w:fill="E1DFDD"/>
    </w:rPr>
  </w:style>
  <w:style w:type="character" w:customStyle="1" w:styleId="4Char">
    <w:name w:val="标题 4 Char"/>
    <w:basedOn w:val="a0"/>
    <w:link w:val="4"/>
    <w:uiPriority w:val="9"/>
    <w:rsid w:val="00D74AD5"/>
    <w:rPr>
      <w:rFonts w:ascii="宋体" w:eastAsia="宋体" w:hAnsi="宋体" w:cs="宋体"/>
      <w:b/>
      <w:bCs/>
      <w:sz w:val="24"/>
      <w:szCs w:val="24"/>
      <w:lang w:eastAsia="zh-CN"/>
    </w:rPr>
  </w:style>
  <w:style w:type="paragraph" w:styleId="a9">
    <w:name w:val="Normal (Web)"/>
    <w:basedOn w:val="a"/>
    <w:uiPriority w:val="99"/>
    <w:semiHidden/>
    <w:unhideWhenUsed/>
    <w:rsid w:val="00D74AD5"/>
    <w:pPr>
      <w:widowControl/>
      <w:autoSpaceDE/>
      <w:autoSpaceDN/>
      <w:spacing w:before="100" w:beforeAutospacing="1" w:after="100" w:afterAutospacing="1"/>
    </w:pPr>
    <w:rPr>
      <w:sz w:val="24"/>
      <w:szCs w:val="24"/>
      <w:lang w:eastAsia="zh-CN"/>
    </w:rPr>
  </w:style>
  <w:style w:type="character" w:styleId="aa">
    <w:name w:val="annotation reference"/>
    <w:basedOn w:val="a0"/>
    <w:uiPriority w:val="99"/>
    <w:semiHidden/>
    <w:unhideWhenUsed/>
    <w:rsid w:val="00640050"/>
    <w:rPr>
      <w:sz w:val="21"/>
      <w:szCs w:val="21"/>
    </w:rPr>
  </w:style>
  <w:style w:type="paragraph" w:styleId="ab">
    <w:name w:val="annotation text"/>
    <w:basedOn w:val="a"/>
    <w:link w:val="Char2"/>
    <w:uiPriority w:val="99"/>
    <w:semiHidden/>
    <w:unhideWhenUsed/>
    <w:rsid w:val="00640050"/>
  </w:style>
  <w:style w:type="character" w:customStyle="1" w:styleId="Char2">
    <w:name w:val="批注文字 Char"/>
    <w:basedOn w:val="a0"/>
    <w:link w:val="ab"/>
    <w:uiPriority w:val="99"/>
    <w:semiHidden/>
    <w:rsid w:val="00640050"/>
    <w:rPr>
      <w:rFonts w:ascii="宋体" w:eastAsia="宋体" w:hAnsi="宋体" w:cs="宋体"/>
    </w:rPr>
  </w:style>
  <w:style w:type="paragraph" w:styleId="ac">
    <w:name w:val="annotation subject"/>
    <w:basedOn w:val="ab"/>
    <w:next w:val="ab"/>
    <w:link w:val="Char3"/>
    <w:uiPriority w:val="99"/>
    <w:semiHidden/>
    <w:unhideWhenUsed/>
    <w:rsid w:val="00640050"/>
    <w:rPr>
      <w:b/>
      <w:bCs/>
    </w:rPr>
  </w:style>
  <w:style w:type="character" w:customStyle="1" w:styleId="Char3">
    <w:name w:val="批注主题 Char"/>
    <w:basedOn w:val="Char2"/>
    <w:link w:val="ac"/>
    <w:uiPriority w:val="99"/>
    <w:semiHidden/>
    <w:rsid w:val="00640050"/>
    <w:rPr>
      <w:rFonts w:ascii="宋体" w:eastAsia="宋体" w:hAnsi="宋体" w:cs="宋体"/>
      <w:b/>
      <w:bCs/>
    </w:rPr>
  </w:style>
  <w:style w:type="paragraph" w:styleId="ad">
    <w:name w:val="Balloon Text"/>
    <w:basedOn w:val="a"/>
    <w:link w:val="Char4"/>
    <w:uiPriority w:val="99"/>
    <w:semiHidden/>
    <w:unhideWhenUsed/>
    <w:rsid w:val="000B73DD"/>
    <w:rPr>
      <w:sz w:val="18"/>
      <w:szCs w:val="18"/>
    </w:rPr>
  </w:style>
  <w:style w:type="character" w:customStyle="1" w:styleId="Char4">
    <w:name w:val="批注框文本 Char"/>
    <w:basedOn w:val="a0"/>
    <w:link w:val="ad"/>
    <w:uiPriority w:val="99"/>
    <w:semiHidden/>
    <w:rsid w:val="000B73D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1909</Characters>
  <Application>Microsoft Office Word</Application>
  <DocSecurity>4</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cp:lastPrinted>2023-09-26T06:02:00Z</cp:lastPrinted>
  <dcterms:created xsi:type="dcterms:W3CDTF">2025-02-18T16:00:00Z</dcterms:created>
  <dcterms:modified xsi:type="dcterms:W3CDTF">2025-02-18T16:00:00Z</dcterms:modified>
  <cp:contentStatus>国泰君安证券股份有限公司*国泰君安证券资产管理公司：《上海国泰君安证券资产管理有限公司关于旗下部分开放式证券投资基金在直销柜台开通基金转换业务的公告》及《上海国泰君安证券资产管理有限公司关于国泰君安济南能源供热封闭式基础设施证券投资基金停复牌及交易风险提示的公告》信披公告，烦请于明天（2025年2月19日）发布，谢谢*zhanghaowen024861@gtjas.com*lkl@ssnews.com.cn * *chengang023613@gtjas.com,jnnyreit@gtjas.com,liyan026022@gtjas.com *2025-02-18 16:47:59;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LastSaved">
    <vt:filetime>2023-06-26T00:00:00Z</vt:filetime>
  </property>
</Properties>
</file>