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D5FD1">
      <w:pPr>
        <w:pStyle w:val="XBRL2"/>
        <w:spacing w:beforeLines="0"/>
      </w:pPr>
      <w:bookmarkStart w:id="0" w:name="_Toc510201001"/>
      <w:bookmarkEnd w:id="0"/>
      <w:r>
        <w:t xml:space="preserve">　</w:t>
      </w:r>
      <w:r>
        <w:t xml:space="preserve"> </w:t>
      </w:r>
    </w:p>
    <w:p w:rsidR="00000000" w:rsidRDefault="008D5FD1">
      <w:pPr>
        <w:jc w:val="center"/>
      </w:pPr>
      <w:r>
        <w:rPr>
          <w:rFonts w:cs="Times New Roman" w:hint="eastAsia"/>
          <w:b/>
          <w:sz w:val="48"/>
          <w:szCs w:val="48"/>
        </w:rPr>
        <w:t>大成基金管理有限公司关于大成景优中短债债券型证券投资基金</w:t>
      </w:r>
      <w:r>
        <w:rPr>
          <w:rFonts w:cs="Times New Roman" w:hint="eastAsia"/>
          <w:b/>
          <w:sz w:val="48"/>
          <w:szCs w:val="48"/>
        </w:rPr>
        <w:t>2025</w:t>
      </w:r>
      <w:r>
        <w:rPr>
          <w:rFonts w:cs="Times New Roman" w:hint="eastAsia"/>
          <w:b/>
          <w:sz w:val="48"/>
          <w:szCs w:val="48"/>
        </w:rPr>
        <w:t>年度第</w:t>
      </w:r>
      <w:r>
        <w:rPr>
          <w:rFonts w:cs="Times New Roman" w:hint="eastAsia"/>
          <w:b/>
          <w:sz w:val="48"/>
          <w:szCs w:val="48"/>
        </w:rPr>
        <w:t>1</w:t>
      </w:r>
      <w:r>
        <w:rPr>
          <w:rFonts w:cs="Times New Roman" w:hint="eastAsia"/>
          <w:b/>
          <w:sz w:val="48"/>
          <w:szCs w:val="48"/>
        </w:rPr>
        <w:t>次分红的公告</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560" w:lineRule="exact"/>
        <w:jc w:val="center"/>
        <w:rPr>
          <w:rFonts w:hint="eastAsia"/>
          <w:color w:val="000000"/>
          <w:kern w:val="0"/>
          <w:sz w:val="18"/>
        </w:rPr>
      </w:pPr>
      <w:r>
        <w:rPr>
          <w:rFonts w:hint="eastAsia"/>
          <w:color w:val="000000"/>
          <w:kern w:val="0"/>
          <w:sz w:val="18"/>
        </w:rPr>
        <w:t xml:space="preserve">　</w:t>
      </w:r>
      <w:r>
        <w:rPr>
          <w:rFonts w:hint="eastAsia"/>
          <w:color w:val="000000"/>
          <w:kern w:val="0"/>
          <w:sz w:val="18"/>
        </w:rPr>
        <w:t xml:space="preserve"> </w:t>
      </w:r>
    </w:p>
    <w:p w:rsidR="00000000" w:rsidRDefault="008D5FD1">
      <w:pPr>
        <w:spacing w:line="360" w:lineRule="auto"/>
        <w:jc w:val="center"/>
        <w:rPr>
          <w:rFonts w:hint="eastAsia"/>
        </w:rPr>
      </w:pPr>
      <w:r>
        <w:rPr>
          <w:rFonts w:hint="eastAsia"/>
          <w:b/>
          <w:bCs/>
          <w:sz w:val="24"/>
          <w:szCs w:val="30"/>
        </w:rPr>
        <w:t>公告送出日期：</w:t>
      </w:r>
      <w:r>
        <w:rPr>
          <w:rFonts w:hint="eastAsia"/>
          <w:b/>
          <w:bCs/>
          <w:sz w:val="24"/>
          <w:szCs w:val="30"/>
        </w:rPr>
        <w:t>2025</w:t>
      </w:r>
      <w:r>
        <w:rPr>
          <w:rFonts w:hint="eastAsia"/>
          <w:b/>
          <w:bCs/>
          <w:sz w:val="24"/>
          <w:szCs w:val="30"/>
        </w:rPr>
        <w:t>年</w:t>
      </w:r>
      <w:r>
        <w:rPr>
          <w:rFonts w:hint="eastAsia"/>
          <w:b/>
          <w:bCs/>
          <w:sz w:val="24"/>
          <w:szCs w:val="30"/>
        </w:rPr>
        <w:t>2</w:t>
      </w:r>
      <w:r>
        <w:rPr>
          <w:rFonts w:hint="eastAsia"/>
          <w:b/>
          <w:bCs/>
          <w:sz w:val="24"/>
          <w:szCs w:val="30"/>
        </w:rPr>
        <w:t>月</w:t>
      </w:r>
      <w:r>
        <w:rPr>
          <w:rFonts w:hint="eastAsia"/>
          <w:b/>
          <w:bCs/>
          <w:sz w:val="24"/>
          <w:szCs w:val="30"/>
        </w:rPr>
        <w:t>14</w:t>
      </w:r>
      <w:r>
        <w:rPr>
          <w:rFonts w:hint="eastAsia"/>
          <w:b/>
          <w:bCs/>
          <w:sz w:val="24"/>
          <w:szCs w:val="30"/>
        </w:rPr>
        <w:t>日</w:t>
      </w:r>
    </w:p>
    <w:p w:rsidR="00000000" w:rsidRDefault="008D5FD1">
      <w:pPr>
        <w:pStyle w:val="XBRLTitle1"/>
        <w:spacing w:beforeLines="0"/>
        <w:jc w:val="left"/>
        <w:rPr>
          <w:rFonts w:hint="eastAsia"/>
        </w:rPr>
      </w:pPr>
      <w:r>
        <w:rPr>
          <w:rFonts w:hint="eastAsia"/>
          <w:color w:val="404040"/>
          <w:kern w:val="0"/>
        </w:rPr>
        <w:br w:type="page"/>
      </w:r>
      <w:bookmarkStart w:id="1" w:name="_Toc17897936"/>
      <w:bookmarkStart w:id="2" w:name="_Toc438646451"/>
      <w:bookmarkStart w:id="3" w:name="_Toc481075046"/>
      <w:bookmarkStart w:id="4" w:name="_Toc17898178"/>
      <w:bookmarkStart w:id="5" w:name="_Toc512519480"/>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4"/>
        <w:gridCol w:w="1845"/>
        <w:gridCol w:w="1995"/>
        <w:gridCol w:w="1860"/>
        <w:gridCol w:w="1905"/>
      </w:tblGrid>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基金名称</w:t>
            </w:r>
            <w:r>
              <w:rPr>
                <w:rFonts w:hint="eastAsia"/>
                <w:szCs w:val="21"/>
              </w:rPr>
              <w:t xml:space="preserve"> </w:t>
            </w:r>
          </w:p>
        </w:tc>
        <w:tc>
          <w:tcPr>
            <w:tcW w:w="5760" w:type="dxa"/>
            <w:gridSpan w:val="3"/>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大成景优中短债债券型证券投资基金</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基金简称</w:t>
            </w:r>
            <w:r>
              <w:rPr>
                <w:rFonts w:hint="eastAsia"/>
                <w:szCs w:val="21"/>
              </w:rPr>
              <w:t xml:space="preserve"> </w:t>
            </w:r>
          </w:p>
        </w:tc>
        <w:tc>
          <w:tcPr>
            <w:tcW w:w="5760" w:type="dxa"/>
            <w:gridSpan w:val="3"/>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大成景优中短债债券</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基金主代码</w:t>
            </w:r>
            <w:r>
              <w:rPr>
                <w:rFonts w:hint="eastAsia"/>
                <w:szCs w:val="21"/>
              </w:rPr>
              <w:t xml:space="preserve"> </w:t>
            </w:r>
          </w:p>
        </w:tc>
        <w:tc>
          <w:tcPr>
            <w:tcW w:w="5760" w:type="dxa"/>
            <w:gridSpan w:val="3"/>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008686</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基金合同生效日</w:t>
            </w:r>
            <w:r>
              <w:rPr>
                <w:rFonts w:hint="eastAsia"/>
                <w:szCs w:val="21"/>
              </w:rPr>
              <w:t xml:space="preserve"> </w:t>
            </w:r>
          </w:p>
        </w:tc>
        <w:tc>
          <w:tcPr>
            <w:tcW w:w="5760" w:type="dxa"/>
            <w:gridSpan w:val="3"/>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2020</w:t>
            </w:r>
            <w:r>
              <w:rPr>
                <w:rFonts w:hint="eastAsia"/>
                <w:szCs w:val="21"/>
              </w:rPr>
              <w:t>年</w:t>
            </w:r>
            <w:r>
              <w:rPr>
                <w:rFonts w:hint="eastAsia"/>
                <w:szCs w:val="21"/>
              </w:rPr>
              <w:t>8</w:t>
            </w:r>
            <w:r>
              <w:rPr>
                <w:rFonts w:hint="eastAsia"/>
                <w:szCs w:val="21"/>
              </w:rPr>
              <w:t>月</w:t>
            </w:r>
            <w:r>
              <w:rPr>
                <w:rFonts w:hint="eastAsia"/>
                <w:szCs w:val="21"/>
              </w:rPr>
              <w:t>31</w:t>
            </w:r>
            <w:r>
              <w:rPr>
                <w:rFonts w:hint="eastAsia"/>
                <w:szCs w:val="21"/>
              </w:rPr>
              <w:t>日</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基金管理人名称</w:t>
            </w:r>
            <w:r>
              <w:rPr>
                <w:rFonts w:hint="eastAsia"/>
                <w:szCs w:val="21"/>
              </w:rPr>
              <w:t xml:space="preserve"> </w:t>
            </w:r>
          </w:p>
        </w:tc>
        <w:tc>
          <w:tcPr>
            <w:tcW w:w="5760" w:type="dxa"/>
            <w:gridSpan w:val="3"/>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大成基金管理有限公司</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基金托管人名称</w:t>
            </w:r>
            <w:r>
              <w:rPr>
                <w:rFonts w:hint="eastAsia"/>
                <w:szCs w:val="21"/>
              </w:rPr>
              <w:t xml:space="preserve"> </w:t>
            </w:r>
          </w:p>
        </w:tc>
        <w:tc>
          <w:tcPr>
            <w:tcW w:w="5760" w:type="dxa"/>
            <w:gridSpan w:val="3"/>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兴业银行股份有限公司</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公告依据</w:t>
            </w:r>
            <w:r>
              <w:rPr>
                <w:rFonts w:hint="eastAsia"/>
                <w:szCs w:val="21"/>
              </w:rPr>
              <w:t xml:space="preserve"> </w:t>
            </w:r>
          </w:p>
        </w:tc>
        <w:tc>
          <w:tcPr>
            <w:tcW w:w="5760" w:type="dxa"/>
            <w:gridSpan w:val="3"/>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《中华人民共和国证券投资基金法》、《公</w:t>
            </w:r>
            <w:r>
              <w:rPr>
                <w:rFonts w:hint="eastAsia"/>
                <w:szCs w:val="21"/>
              </w:rPr>
              <w:t>开募集证券投资基金运作管理办法》的有关规定及《大成景优中短债债券型证券投资基金基金合同》、《大成景优中短债债券型证券投资基金招募说明书》的约定</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收益分配基准日</w:t>
            </w:r>
            <w:r>
              <w:rPr>
                <w:rFonts w:hint="eastAsia"/>
                <w:szCs w:val="21"/>
              </w:rPr>
              <w:t xml:space="preserve"> </w:t>
            </w:r>
          </w:p>
        </w:tc>
        <w:tc>
          <w:tcPr>
            <w:tcW w:w="5760" w:type="dxa"/>
            <w:gridSpan w:val="3"/>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6</w:t>
            </w:r>
            <w:r>
              <w:rPr>
                <w:rFonts w:hint="eastAsia"/>
                <w:szCs w:val="21"/>
              </w:rPr>
              <w:t>日</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8D5FD1">
            <w:pPr>
              <w:rPr>
                <w:rFonts w:hint="eastAsia"/>
              </w:rPr>
            </w:pPr>
            <w:r>
              <w:rPr>
                <w:rFonts w:hint="eastAsia"/>
                <w:szCs w:val="21"/>
              </w:rPr>
              <w:t>有关年度分红次数的说明</w:t>
            </w:r>
            <w:r>
              <w:rPr>
                <w:rFonts w:hint="eastAsia"/>
                <w:szCs w:val="21"/>
              </w:rPr>
              <w:t xml:space="preserve"> </w:t>
            </w:r>
          </w:p>
        </w:tc>
        <w:tc>
          <w:tcPr>
            <w:tcW w:w="5760" w:type="dxa"/>
            <w:gridSpan w:val="3"/>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本次分红为</w:t>
            </w:r>
            <w:r>
              <w:rPr>
                <w:rFonts w:hint="eastAsia"/>
                <w:szCs w:val="21"/>
              </w:rPr>
              <w:t>2025</w:t>
            </w:r>
            <w:r>
              <w:rPr>
                <w:rFonts w:hint="eastAsia"/>
                <w:szCs w:val="21"/>
              </w:rPr>
              <w:t>年度的第</w:t>
            </w:r>
            <w:r>
              <w:rPr>
                <w:rFonts w:hint="eastAsia"/>
                <w:szCs w:val="21"/>
              </w:rPr>
              <w:t>1</w:t>
            </w:r>
            <w:r>
              <w:rPr>
                <w:rFonts w:hint="eastAsia"/>
                <w:szCs w:val="21"/>
              </w:rPr>
              <w:t>次分红</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下属基金的基金简称</w:t>
            </w:r>
            <w:r>
              <w:rPr>
                <w:rFonts w:hint="eastAsia"/>
                <w:szCs w:val="21"/>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大成景优中短债</w:t>
            </w:r>
            <w:r>
              <w:rPr>
                <w:rFonts w:hint="eastAsia"/>
                <w:szCs w:val="21"/>
              </w:rPr>
              <w:t>A</w:t>
            </w:r>
          </w:p>
        </w:tc>
        <w:tc>
          <w:tcPr>
            <w:tcW w:w="1860"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大成景优中短债</w:t>
            </w:r>
            <w:r>
              <w:rPr>
                <w:rFonts w:hint="eastAsia"/>
                <w:szCs w:val="21"/>
              </w:rPr>
              <w:t>C</w:t>
            </w:r>
          </w:p>
        </w:tc>
        <w:tc>
          <w:tcPr>
            <w:tcW w:w="190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大成景优中短债</w:t>
            </w:r>
            <w:r>
              <w:rPr>
                <w:rFonts w:hint="eastAsia"/>
                <w:szCs w:val="21"/>
              </w:rPr>
              <w:t>D</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8D5FD1">
            <w:pPr>
              <w:rPr>
                <w:rFonts w:hint="eastAsia"/>
              </w:rPr>
            </w:pPr>
            <w:r>
              <w:rPr>
                <w:rFonts w:hint="eastAsia"/>
                <w:szCs w:val="21"/>
              </w:rPr>
              <w:t>下属基金的交易代码</w:t>
            </w:r>
            <w:r>
              <w:rPr>
                <w:rFonts w:hint="eastAsia"/>
                <w:szCs w:val="21"/>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008686</w:t>
            </w:r>
          </w:p>
        </w:tc>
        <w:tc>
          <w:tcPr>
            <w:tcW w:w="1860"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008687</w:t>
            </w:r>
          </w:p>
        </w:tc>
        <w:tc>
          <w:tcPr>
            <w:tcW w:w="190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020378</w:t>
            </w:r>
          </w:p>
        </w:tc>
      </w:tr>
      <w:tr w:rsidR="00000000">
        <w:tc>
          <w:tcPr>
            <w:tcW w:w="914" w:type="dxa"/>
            <w:vMerge w:val="restart"/>
            <w:tcBorders>
              <w:top w:val="single" w:sz="4" w:space="0" w:color="000000"/>
              <w:left w:val="single" w:sz="4" w:space="0" w:color="000000"/>
              <w:bottom w:val="single" w:sz="4" w:space="0" w:color="000000"/>
              <w:right w:val="single" w:sz="4" w:space="0" w:color="000000"/>
            </w:tcBorders>
          </w:tcPr>
          <w:p w:rsidR="00000000" w:rsidRDefault="008D5FD1">
            <w:pPr>
              <w:rPr>
                <w:rFonts w:hint="eastAsia"/>
                <w:szCs w:val="21"/>
              </w:rPr>
            </w:pPr>
            <w:r>
              <w:rPr>
                <w:rFonts w:hint="eastAsia"/>
                <w:szCs w:val="21"/>
              </w:rPr>
              <w:t>截止基准日下属基金的相关指标</w:t>
            </w:r>
            <w:r>
              <w:rPr>
                <w:rFonts w:hint="eastAsia"/>
                <w:szCs w:val="21"/>
              </w:rPr>
              <w:t xml:space="preserve"> </w:t>
            </w:r>
          </w:p>
        </w:tc>
        <w:tc>
          <w:tcPr>
            <w:tcW w:w="184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基准日下属基金份额净值（单位：</w:t>
            </w:r>
            <w:r>
              <w:rPr>
                <w:rFonts w:hint="eastAsia"/>
                <w:szCs w:val="21"/>
              </w:rPr>
              <w:t xml:space="preserve"> </w:t>
            </w:r>
            <w:r>
              <w:rPr>
                <w:rFonts w:hint="eastAsia"/>
                <w:szCs w:val="21"/>
              </w:rPr>
              <w:t>人民币元）</w:t>
            </w:r>
            <w:r>
              <w:rPr>
                <w:rFonts w:hint="eastAsia"/>
                <w:szCs w:val="21"/>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1.1250</w:t>
            </w:r>
          </w:p>
        </w:tc>
        <w:tc>
          <w:tcPr>
            <w:tcW w:w="1860"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1.0890</w:t>
            </w:r>
          </w:p>
        </w:tc>
        <w:tc>
          <w:tcPr>
            <w:tcW w:w="190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1.1250</w:t>
            </w:r>
          </w:p>
        </w:tc>
      </w:tr>
      <w:tr w:rsidR="00000000">
        <w:tc>
          <w:tcPr>
            <w:tcW w:w="914" w:type="dxa"/>
            <w:vMerge/>
            <w:tcBorders>
              <w:top w:val="single" w:sz="4" w:space="0" w:color="000000"/>
              <w:left w:val="single" w:sz="4" w:space="0" w:color="000000"/>
              <w:bottom w:val="single" w:sz="4" w:space="0" w:color="000000"/>
              <w:right w:val="single" w:sz="4" w:space="0" w:color="000000"/>
            </w:tcBorders>
            <w:vAlign w:val="center"/>
          </w:tcPr>
          <w:p w:rsidR="00000000" w:rsidRDefault="008D5FD1"/>
        </w:tc>
        <w:tc>
          <w:tcPr>
            <w:tcW w:w="184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基准日下属基金可供分配利润（单位</w:t>
            </w:r>
            <w:r>
              <w:rPr>
                <w:rFonts w:hint="eastAsia"/>
                <w:szCs w:val="21"/>
              </w:rPr>
              <w:t>:</w:t>
            </w:r>
            <w:r>
              <w:rPr>
                <w:rFonts w:hint="eastAsia"/>
                <w:szCs w:val="21"/>
              </w:rPr>
              <w:t>人民币元）</w:t>
            </w:r>
            <w:r>
              <w:rPr>
                <w:rFonts w:hint="eastAsia"/>
                <w:szCs w:val="21"/>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748,433,482.31</w:t>
            </w:r>
          </w:p>
        </w:tc>
        <w:tc>
          <w:tcPr>
            <w:tcW w:w="1860"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20,091,123.71</w:t>
            </w:r>
          </w:p>
        </w:tc>
        <w:tc>
          <w:tcPr>
            <w:tcW w:w="190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18,319,956.22</w:t>
            </w:r>
          </w:p>
        </w:tc>
      </w:tr>
      <w:tr w:rsidR="00000000">
        <w:tc>
          <w:tcPr>
            <w:tcW w:w="914" w:type="dxa"/>
            <w:vMerge/>
            <w:tcBorders>
              <w:top w:val="single" w:sz="4" w:space="0" w:color="000000"/>
              <w:left w:val="single" w:sz="4" w:space="0" w:color="000000"/>
              <w:bottom w:val="single" w:sz="4" w:space="0" w:color="000000"/>
              <w:right w:val="single" w:sz="4" w:space="0" w:color="000000"/>
            </w:tcBorders>
          </w:tcPr>
          <w:p w:rsidR="00000000" w:rsidRDefault="008D5FD1">
            <w:pPr>
              <w:rPr>
                <w:rFonts w:hint="eastAsia"/>
                <w:szCs w:val="21"/>
              </w:rPr>
            </w:pPr>
          </w:p>
        </w:tc>
        <w:tc>
          <w:tcPr>
            <w:tcW w:w="184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截止基准日按照基金合同约定的分红比例计算的下属基金应分配金额（单位：人民币元）</w:t>
            </w:r>
          </w:p>
        </w:tc>
        <w:tc>
          <w:tcPr>
            <w:tcW w:w="199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74,843,348.24</w:t>
            </w:r>
          </w:p>
        </w:tc>
        <w:tc>
          <w:tcPr>
            <w:tcW w:w="1860"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2,009,112.38</w:t>
            </w:r>
          </w:p>
        </w:tc>
        <w:tc>
          <w:tcPr>
            <w:tcW w:w="190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1,831,995.63</w:t>
            </w:r>
          </w:p>
        </w:tc>
      </w:tr>
      <w:tr w:rsidR="00000000">
        <w:tc>
          <w:tcPr>
            <w:tcW w:w="2759" w:type="dxa"/>
            <w:gridSpan w:val="2"/>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本次下属基金分红方案（单位：元</w:t>
            </w:r>
            <w:r>
              <w:rPr>
                <w:rFonts w:hint="eastAsia"/>
                <w:szCs w:val="21"/>
              </w:rPr>
              <w:t>/10</w:t>
            </w:r>
            <w:r>
              <w:rPr>
                <w:rFonts w:hint="eastAsia"/>
                <w:szCs w:val="21"/>
              </w:rPr>
              <w:t>份基金份额）</w:t>
            </w:r>
            <w:r>
              <w:rPr>
                <w:rFonts w:hint="eastAsia"/>
                <w:szCs w:val="21"/>
              </w:rPr>
              <w:t xml:space="preserve"> </w:t>
            </w:r>
          </w:p>
        </w:tc>
        <w:tc>
          <w:tcPr>
            <w:tcW w:w="199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0.1260</w:t>
            </w:r>
          </w:p>
        </w:tc>
        <w:tc>
          <w:tcPr>
            <w:tcW w:w="1860"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0.1260</w:t>
            </w:r>
          </w:p>
        </w:tc>
        <w:tc>
          <w:tcPr>
            <w:tcW w:w="1905" w:type="dxa"/>
            <w:tcBorders>
              <w:top w:val="single" w:sz="4" w:space="0" w:color="000000"/>
              <w:left w:val="single" w:sz="4" w:space="0" w:color="000000"/>
              <w:bottom w:val="single" w:sz="4" w:space="0" w:color="000000"/>
              <w:right w:val="single" w:sz="4" w:space="0" w:color="000000"/>
            </w:tcBorders>
          </w:tcPr>
          <w:p w:rsidR="00000000" w:rsidRDefault="008D5FD1">
            <w:pPr>
              <w:rPr>
                <w:rFonts w:hint="eastAsia"/>
              </w:rPr>
            </w:pPr>
            <w:r>
              <w:rPr>
                <w:rFonts w:hint="eastAsia"/>
                <w:szCs w:val="21"/>
              </w:rPr>
              <w:t>0.1260</w:t>
            </w:r>
          </w:p>
        </w:tc>
      </w:tr>
    </w:tbl>
    <w:p w:rsidR="00000000" w:rsidRDefault="008D5FD1">
      <w:pPr>
        <w:adjustRightInd w:val="0"/>
        <w:snapToGrid w:val="0"/>
        <w:spacing w:beforeLines="50" w:line="360" w:lineRule="auto"/>
        <w:jc w:val="left"/>
        <w:rPr>
          <w:rFonts w:hint="eastAsia"/>
        </w:rPr>
      </w:pPr>
      <w:r>
        <w:rPr>
          <w:rFonts w:hint="eastAsia"/>
        </w:rPr>
        <w:t>注：</w:t>
      </w:r>
      <w:r>
        <w:rPr>
          <w:rFonts w:hint="eastAsia"/>
          <w:szCs w:val="24"/>
        </w:rPr>
        <w:t>根据《大成景优中短债债券型证券投资基金基金合同》的规定，在符合有关基金分红条件的前提下，本基金每年收益分配</w:t>
      </w:r>
      <w:r>
        <w:rPr>
          <w:rFonts w:hint="eastAsia"/>
          <w:szCs w:val="24"/>
        </w:rPr>
        <w:t>次数最多为</w:t>
      </w:r>
      <w:r>
        <w:rPr>
          <w:rFonts w:hint="eastAsia"/>
          <w:szCs w:val="24"/>
        </w:rPr>
        <w:t>12</w:t>
      </w:r>
      <w:r>
        <w:rPr>
          <w:rFonts w:hint="eastAsia"/>
          <w:szCs w:val="24"/>
        </w:rPr>
        <w:t>次，每次收益分配比例不得低于该次可供分配利润的</w:t>
      </w:r>
      <w:r>
        <w:rPr>
          <w:rFonts w:hint="eastAsia"/>
          <w:szCs w:val="24"/>
        </w:rPr>
        <w:t>10%</w:t>
      </w:r>
      <w:r>
        <w:rPr>
          <w:rFonts w:hint="eastAsia"/>
          <w:szCs w:val="24"/>
        </w:rPr>
        <w:t>；基金收益分配后基金份额净值不能低于面值，即基金收益分配基准日的基金份额净值减去每单位基金份额收益分配金额后不能低于面值。</w:t>
      </w:r>
      <w:r>
        <w:rPr>
          <w:rFonts w:hint="eastAsia"/>
          <w:szCs w:val="24"/>
        </w:rPr>
        <w:t xml:space="preserve"> </w:t>
      </w:r>
    </w:p>
    <w:p w:rsidR="00000000" w:rsidRDefault="008D5FD1">
      <w:pPr>
        <w:pStyle w:val="XBRLTitle1"/>
        <w:spacing w:beforeLines="0" w:line="360" w:lineRule="auto"/>
        <w:jc w:val="left"/>
        <w:rPr>
          <w:rFonts w:hint="eastAsia"/>
        </w:rPr>
      </w:pPr>
      <w:bookmarkStart w:id="13" w:name="_Toc34322060"/>
      <w:bookmarkStart w:id="14" w:name="_Toc481075047"/>
      <w:bookmarkStart w:id="15" w:name="_Toc17897937"/>
      <w:bookmarkStart w:id="16" w:name="_Toc512519481"/>
      <w:bookmarkStart w:id="17" w:name="_Toc17898179"/>
      <w:bookmarkStart w:id="18" w:name="_Toc490050001"/>
      <w:bookmarkStart w:id="19" w:name="_Toc438646452"/>
      <w:bookmarkStart w:id="20" w:name="_Toc513295847"/>
      <w:bookmarkStart w:id="21" w:name="_Toc513295893"/>
      <w:r>
        <w:rPr>
          <w:rFonts w:hint="eastAsia"/>
          <w:szCs w:val="24"/>
        </w:rPr>
        <w:t>与分红相关的其他信息</w:t>
      </w:r>
      <w:bookmarkEnd w:id="21"/>
      <w:bookmarkEnd w:id="20"/>
      <w:bookmarkEnd w:id="19"/>
      <w:bookmarkEnd w:id="13"/>
      <w:bookmarkEnd w:id="14"/>
      <w:bookmarkEnd w:id="15"/>
      <w:bookmarkEnd w:id="16"/>
      <w:bookmarkEnd w:id="17"/>
      <w:bookmarkEnd w:id="18"/>
      <w:r>
        <w:rPr>
          <w:rFonts w:hint="eastAsia"/>
          <w:szCs w:val="24"/>
        </w:rPr>
        <w:t xml:space="preserve"> </w:t>
      </w:r>
      <w:bookmarkEnd w:id="12"/>
      <w:bookmarkEnd w:id="11"/>
      <w:bookmarkEnd w:id="10"/>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7"/>
        <w:gridCol w:w="4815"/>
      </w:tblGrid>
      <w:tr w:rsidR="00000000">
        <w:tc>
          <w:tcPr>
            <w:tcW w:w="3927"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权益登记日</w:t>
            </w:r>
            <w:r>
              <w:rPr>
                <w:rFonts w:hint="eastAsia"/>
                <w:szCs w:val="21"/>
              </w:rPr>
              <w:t xml:space="preserve"> </w:t>
            </w:r>
          </w:p>
        </w:tc>
        <w:tc>
          <w:tcPr>
            <w:tcW w:w="4815"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17</w:t>
            </w:r>
            <w:r>
              <w:rPr>
                <w:rFonts w:hint="eastAsia"/>
                <w:szCs w:val="21"/>
              </w:rPr>
              <w:t>日</w:t>
            </w:r>
          </w:p>
        </w:tc>
      </w:tr>
      <w:tr w:rsidR="00000000">
        <w:tc>
          <w:tcPr>
            <w:tcW w:w="3927"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除息日</w:t>
            </w:r>
            <w:r>
              <w:rPr>
                <w:rFonts w:hint="eastAsia"/>
                <w:szCs w:val="21"/>
              </w:rPr>
              <w:t xml:space="preserve"> </w:t>
            </w:r>
          </w:p>
        </w:tc>
        <w:tc>
          <w:tcPr>
            <w:tcW w:w="4815"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17</w:t>
            </w:r>
            <w:r>
              <w:rPr>
                <w:rFonts w:hint="eastAsia"/>
                <w:szCs w:val="21"/>
              </w:rPr>
              <w:t>日</w:t>
            </w:r>
          </w:p>
        </w:tc>
      </w:tr>
      <w:tr w:rsidR="00000000">
        <w:tc>
          <w:tcPr>
            <w:tcW w:w="3927"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现金红利发放日</w:t>
            </w:r>
            <w:r>
              <w:rPr>
                <w:rFonts w:hint="eastAsia"/>
                <w:szCs w:val="21"/>
              </w:rPr>
              <w:t xml:space="preserve"> </w:t>
            </w:r>
          </w:p>
        </w:tc>
        <w:tc>
          <w:tcPr>
            <w:tcW w:w="4815"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18</w:t>
            </w:r>
            <w:r>
              <w:rPr>
                <w:rFonts w:hint="eastAsia"/>
                <w:szCs w:val="21"/>
              </w:rPr>
              <w:t>日</w:t>
            </w:r>
          </w:p>
        </w:tc>
      </w:tr>
      <w:tr w:rsidR="00000000">
        <w:tc>
          <w:tcPr>
            <w:tcW w:w="3927"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分红对象</w:t>
            </w:r>
            <w:r>
              <w:rPr>
                <w:rFonts w:hint="eastAsia"/>
                <w:szCs w:val="21"/>
              </w:rPr>
              <w:t xml:space="preserve"> </w:t>
            </w:r>
          </w:p>
        </w:tc>
        <w:tc>
          <w:tcPr>
            <w:tcW w:w="4815"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权益登记日在本基金注册登记机构登记在册的本基金份额持有人</w:t>
            </w:r>
          </w:p>
        </w:tc>
      </w:tr>
      <w:tr w:rsidR="00000000">
        <w:tc>
          <w:tcPr>
            <w:tcW w:w="3927" w:type="dxa"/>
            <w:tcBorders>
              <w:top w:val="single" w:sz="4" w:space="0" w:color="auto"/>
              <w:left w:val="single" w:sz="4" w:space="0" w:color="auto"/>
              <w:bottom w:val="single" w:sz="4" w:space="0" w:color="auto"/>
              <w:right w:val="single" w:sz="4" w:space="0" w:color="auto"/>
            </w:tcBorders>
            <w:vAlign w:val="center"/>
          </w:tcPr>
          <w:p w:rsidR="00000000" w:rsidRDefault="008D5FD1">
            <w:pPr>
              <w:rPr>
                <w:rFonts w:hint="eastAsia"/>
              </w:rPr>
            </w:pPr>
            <w:r>
              <w:rPr>
                <w:rFonts w:hint="eastAsia"/>
                <w:szCs w:val="21"/>
              </w:rPr>
              <w:t>红利再投资相关事项的说明</w:t>
            </w:r>
            <w:r>
              <w:rPr>
                <w:rFonts w:hint="eastAsia"/>
                <w:szCs w:val="21"/>
              </w:rPr>
              <w:t xml:space="preserve"> </w:t>
            </w:r>
          </w:p>
        </w:tc>
        <w:tc>
          <w:tcPr>
            <w:tcW w:w="4815"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1</w:t>
            </w:r>
            <w:r>
              <w:rPr>
                <w:rFonts w:hint="eastAsia"/>
                <w:szCs w:val="21"/>
              </w:rPr>
              <w:t>、选择红利再投资方式的投资者，其红利将以</w:t>
            </w: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17</w:t>
            </w:r>
            <w:r>
              <w:rPr>
                <w:rFonts w:hint="eastAsia"/>
                <w:szCs w:val="21"/>
              </w:rPr>
              <w:t>日除息后的基金份额净值</w:t>
            </w:r>
            <w:r>
              <w:rPr>
                <w:rFonts w:hint="eastAsia"/>
                <w:szCs w:val="21"/>
              </w:rPr>
              <w:t>转换为基金份</w:t>
            </w:r>
            <w:r>
              <w:rPr>
                <w:rFonts w:hint="eastAsia"/>
                <w:szCs w:val="21"/>
              </w:rPr>
              <w:lastRenderedPageBreak/>
              <w:t>额。</w:t>
            </w:r>
            <w:r>
              <w:rPr>
                <w:rFonts w:hint="eastAsia"/>
                <w:szCs w:val="21"/>
              </w:rPr>
              <w:br/>
            </w:r>
            <w:r>
              <w:rPr>
                <w:rFonts w:hint="eastAsia"/>
                <w:szCs w:val="21"/>
              </w:rPr>
              <w:t>2</w:t>
            </w:r>
            <w:r>
              <w:rPr>
                <w:rFonts w:hint="eastAsia"/>
                <w:szCs w:val="21"/>
              </w:rPr>
              <w:t>、选择红利再投资方式的投资者所转换的基金份额将于</w:t>
            </w: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18</w:t>
            </w:r>
            <w:r>
              <w:rPr>
                <w:rFonts w:hint="eastAsia"/>
                <w:szCs w:val="21"/>
              </w:rPr>
              <w:t>日直接计入其基金账户，</w:t>
            </w: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19</w:t>
            </w:r>
            <w:r>
              <w:rPr>
                <w:rFonts w:hint="eastAsia"/>
                <w:szCs w:val="21"/>
              </w:rPr>
              <w:t>日起可以查询、赎回。</w:t>
            </w:r>
          </w:p>
        </w:tc>
      </w:tr>
      <w:tr w:rsidR="00000000">
        <w:tc>
          <w:tcPr>
            <w:tcW w:w="3927"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lastRenderedPageBreak/>
              <w:t>税收相关事项的说明</w:t>
            </w:r>
            <w:r>
              <w:rPr>
                <w:rFonts w:hint="eastAsia"/>
                <w:szCs w:val="21"/>
              </w:rPr>
              <w:t xml:space="preserve"> </w:t>
            </w:r>
          </w:p>
        </w:tc>
        <w:tc>
          <w:tcPr>
            <w:tcW w:w="4815"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根据财政部、国家税务总局颁布的相关规定，基金向投资者分配的基金收益，暂免征收所得税。</w:t>
            </w:r>
          </w:p>
        </w:tc>
      </w:tr>
      <w:tr w:rsidR="00000000">
        <w:tc>
          <w:tcPr>
            <w:tcW w:w="3927"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费用相关事项的说明</w:t>
            </w:r>
            <w:r>
              <w:rPr>
                <w:rFonts w:hint="eastAsia"/>
                <w:szCs w:val="21"/>
              </w:rPr>
              <w:t xml:space="preserve"> </w:t>
            </w:r>
          </w:p>
        </w:tc>
        <w:tc>
          <w:tcPr>
            <w:tcW w:w="4815" w:type="dxa"/>
            <w:tcBorders>
              <w:top w:val="single" w:sz="4" w:space="0" w:color="auto"/>
              <w:left w:val="single" w:sz="4" w:space="0" w:color="auto"/>
              <w:bottom w:val="single" w:sz="4" w:space="0" w:color="auto"/>
              <w:right w:val="single" w:sz="4" w:space="0" w:color="auto"/>
            </w:tcBorders>
          </w:tcPr>
          <w:p w:rsidR="00000000" w:rsidRDefault="008D5FD1">
            <w:pPr>
              <w:rPr>
                <w:rFonts w:hint="eastAsia"/>
              </w:rPr>
            </w:pPr>
            <w:r>
              <w:rPr>
                <w:rFonts w:hint="eastAsia"/>
                <w:szCs w:val="21"/>
              </w:rPr>
              <w:t>基金收益分配时所产生的银行转账或其他手续费用由投资者自行承担。选择红利再投资方式的投资者，其红利所转换的基金份额免收申购费用。</w:t>
            </w:r>
          </w:p>
        </w:tc>
      </w:tr>
    </w:tbl>
    <w:p w:rsidR="00000000" w:rsidRDefault="008D5FD1">
      <w:pPr>
        <w:adjustRightInd w:val="0"/>
        <w:snapToGrid w:val="0"/>
        <w:spacing w:beforeLines="50" w:line="360" w:lineRule="auto"/>
        <w:jc w:val="left"/>
        <w:rPr>
          <w:rFonts w:hint="eastAsia"/>
        </w:rPr>
      </w:pPr>
      <w:r>
        <w:rPr>
          <w:rFonts w:hint="eastAsia"/>
        </w:rPr>
        <w:t>注：</w:t>
      </w:r>
      <w:r>
        <w:rPr>
          <w:rFonts w:hint="eastAsia"/>
          <w:szCs w:val="24"/>
        </w:rPr>
        <w:t>权益登记日以后（含权益登记日）申购（包括转换转入）的本基金份额不享有本次分红权益，而权益登记日申</w:t>
      </w:r>
      <w:r>
        <w:rPr>
          <w:rFonts w:hint="eastAsia"/>
          <w:szCs w:val="24"/>
        </w:rPr>
        <w:t>请赎回（包括转换转出）的本基金份额享有本次分红权益。</w:t>
      </w:r>
      <w:r>
        <w:rPr>
          <w:rFonts w:hint="eastAsia"/>
          <w:szCs w:val="24"/>
        </w:rPr>
        <w:t xml:space="preserve"> </w:t>
      </w:r>
    </w:p>
    <w:p w:rsidR="00000000" w:rsidRDefault="008D5FD1">
      <w:pPr>
        <w:pStyle w:val="XBRLTitle1"/>
        <w:spacing w:beforeLines="0" w:line="360" w:lineRule="auto"/>
        <w:jc w:val="left"/>
        <w:rPr>
          <w:rFonts w:hint="eastAsia"/>
        </w:rPr>
      </w:pPr>
      <w:bookmarkStart w:id="22" w:name="_Toc17898228"/>
      <w:bookmarkStart w:id="23" w:name="_Toc513295941"/>
      <w:bookmarkStart w:id="24" w:name="_Toc17897969"/>
      <w:bookmarkStart w:id="25" w:name="_Toc438646481"/>
      <w:bookmarkStart w:id="26" w:name="_Toc513295878"/>
      <w:bookmarkStart w:id="27" w:name="_Toc512519529"/>
      <w:bookmarkStart w:id="28" w:name="_Toc34322063"/>
      <w:bookmarkStart w:id="29" w:name="_Toc490050049"/>
      <w:bookmarkStart w:id="30" w:name="_Toc481075097"/>
      <w:r>
        <w:rPr>
          <w:rFonts w:hint="eastAsia"/>
          <w:szCs w:val="24"/>
        </w:rPr>
        <w:t>其他需要提示的事项</w:t>
      </w:r>
      <w:bookmarkEnd w:id="22"/>
      <w:bookmarkEnd w:id="23"/>
      <w:bookmarkEnd w:id="24"/>
      <w:bookmarkEnd w:id="25"/>
      <w:bookmarkEnd w:id="26"/>
      <w:bookmarkEnd w:id="27"/>
      <w:bookmarkEnd w:id="28"/>
      <w:bookmarkEnd w:id="29"/>
      <w:bookmarkEnd w:id="30"/>
      <w:r>
        <w:rPr>
          <w:rFonts w:hint="eastAsia"/>
          <w:szCs w:val="24"/>
        </w:rPr>
        <w:t xml:space="preserve"> </w:t>
      </w:r>
    </w:p>
    <w:p w:rsidR="00000000" w:rsidRDefault="008D5FD1">
      <w:pPr>
        <w:spacing w:line="360" w:lineRule="auto"/>
        <w:ind w:firstLineChars="200" w:firstLine="420"/>
        <w:jc w:val="left"/>
        <w:rPr>
          <w:rFonts w:hint="eastAsia"/>
        </w:rPr>
      </w:pPr>
      <w:r>
        <w:rPr>
          <w:rFonts w:hint="eastAsia"/>
          <w:szCs w:val="21"/>
        </w:rPr>
        <w:t>1</w:t>
      </w:r>
      <w:r>
        <w:rPr>
          <w:rFonts w:hint="eastAsia"/>
          <w:szCs w:val="21"/>
        </w:rPr>
        <w:t>、如果投资者未选择或未有效选择基金分红方式，本基金默认分红方式为现金分红，投资者可通过查询了解其基金分红方式。如投资者在多家销售机构购买了本基金，其在任一家销售机构所做的基金份额的分红方式变更，只适用于该销售机构指定交易账户下托管的基金份额。</w:t>
      </w:r>
      <w:r>
        <w:rPr>
          <w:rFonts w:hint="eastAsia"/>
          <w:szCs w:val="21"/>
        </w:rPr>
        <w:br/>
      </w:r>
      <w:r>
        <w:rPr>
          <w:rFonts w:hint="eastAsia"/>
          <w:szCs w:val="21"/>
        </w:rPr>
        <w:t xml:space="preserve">　　</w:t>
      </w:r>
      <w:r>
        <w:rPr>
          <w:rFonts w:hint="eastAsia"/>
          <w:szCs w:val="21"/>
        </w:rPr>
        <w:t>2</w:t>
      </w:r>
      <w:r>
        <w:rPr>
          <w:rFonts w:hint="eastAsia"/>
          <w:szCs w:val="21"/>
        </w:rPr>
        <w:t>、请投资本基金的基金份额持有人于本次分红的权益登记日前务必致电基金管理人的客户服务热线人工坐席或登陆公司网站核实基金分红方式，本次分红最终确定的分红方式以基金管理人记录为准。若投资者</w:t>
      </w:r>
      <w:r>
        <w:rPr>
          <w:rFonts w:hint="eastAsia"/>
          <w:szCs w:val="21"/>
        </w:rPr>
        <w:t>向基金管理人核实的基金分红方式与投资者要求不符或与相关销售机构记录的投资者分红方式不符的，可在任意工作日到销售机构申请更改分红方式，最终分红方式以权益登记日之前（不含权益登记日）最后一次选择的分红方式为准。</w:t>
      </w:r>
      <w:r>
        <w:rPr>
          <w:rFonts w:hint="eastAsia"/>
          <w:szCs w:val="21"/>
        </w:rPr>
        <w:br/>
      </w:r>
      <w:r>
        <w:rPr>
          <w:rFonts w:hint="eastAsia"/>
          <w:szCs w:val="21"/>
        </w:rPr>
        <w:t xml:space="preserve">　　</w:t>
      </w:r>
      <w:r>
        <w:rPr>
          <w:rFonts w:hint="eastAsia"/>
          <w:szCs w:val="21"/>
        </w:rPr>
        <w:t>3</w:t>
      </w:r>
      <w:r>
        <w:rPr>
          <w:rFonts w:hint="eastAsia"/>
          <w:szCs w:val="21"/>
        </w:rPr>
        <w:t>、由于向直销客户支付现金分红款时将发生一定的银行转账手续费，为保护投资者的利益，根据本基金合同的有关规定，当直销客户的现金分红款小于</w:t>
      </w:r>
      <w:r>
        <w:rPr>
          <w:rFonts w:hint="eastAsia"/>
          <w:szCs w:val="21"/>
        </w:rPr>
        <w:t>2</w:t>
      </w:r>
      <w:r>
        <w:rPr>
          <w:rFonts w:hint="eastAsia"/>
          <w:szCs w:val="21"/>
        </w:rPr>
        <w:t>元时，本基金注册登记机构可将该客户的现金分红款自动转为基金份额计入其基金账户。</w:t>
      </w:r>
      <w:r>
        <w:rPr>
          <w:rFonts w:hint="eastAsia"/>
          <w:szCs w:val="21"/>
        </w:rPr>
        <w:br/>
      </w:r>
      <w:r>
        <w:rPr>
          <w:rFonts w:hint="eastAsia"/>
          <w:szCs w:val="21"/>
        </w:rPr>
        <w:t xml:space="preserve">　　</w:t>
      </w:r>
      <w:r>
        <w:rPr>
          <w:rFonts w:hint="eastAsia"/>
          <w:szCs w:val="21"/>
        </w:rPr>
        <w:t>4</w:t>
      </w:r>
      <w:r>
        <w:rPr>
          <w:rFonts w:hint="eastAsia"/>
          <w:szCs w:val="21"/>
        </w:rPr>
        <w:t>、基金份额持有人欲了解本基金其它有关信息，可采取如下方法咨询：</w:t>
      </w:r>
      <w:r>
        <w:rPr>
          <w:rFonts w:hint="eastAsia"/>
          <w:szCs w:val="21"/>
        </w:rPr>
        <w:br/>
      </w:r>
      <w:r>
        <w:rPr>
          <w:rFonts w:hint="eastAsia"/>
          <w:szCs w:val="21"/>
        </w:rPr>
        <w:t xml:space="preserve">　　（</w:t>
      </w:r>
      <w:r>
        <w:rPr>
          <w:rFonts w:hint="eastAsia"/>
          <w:szCs w:val="21"/>
        </w:rPr>
        <w:t>1</w:t>
      </w:r>
      <w:r>
        <w:rPr>
          <w:rFonts w:hint="eastAsia"/>
          <w:szCs w:val="21"/>
        </w:rPr>
        <w:t>）大成</w:t>
      </w:r>
      <w:r>
        <w:rPr>
          <w:rFonts w:hint="eastAsia"/>
          <w:szCs w:val="21"/>
        </w:rPr>
        <w:t>基金管理有限公司网站：</w:t>
      </w:r>
      <w:r>
        <w:rPr>
          <w:rFonts w:hint="eastAsia"/>
          <w:szCs w:val="21"/>
        </w:rPr>
        <w:t>http://www.dcfund.com.cn</w:t>
      </w:r>
      <w:r>
        <w:rPr>
          <w:rFonts w:hint="eastAsia"/>
          <w:szCs w:val="21"/>
        </w:rPr>
        <w:t>。</w:t>
      </w:r>
      <w:r>
        <w:rPr>
          <w:rFonts w:hint="eastAsia"/>
          <w:szCs w:val="21"/>
        </w:rPr>
        <w:br/>
      </w:r>
      <w:r>
        <w:rPr>
          <w:rFonts w:hint="eastAsia"/>
          <w:szCs w:val="21"/>
        </w:rPr>
        <w:t xml:space="preserve">　　（</w:t>
      </w:r>
      <w:r>
        <w:rPr>
          <w:rFonts w:hint="eastAsia"/>
          <w:szCs w:val="21"/>
        </w:rPr>
        <w:t>2</w:t>
      </w:r>
      <w:r>
        <w:rPr>
          <w:rFonts w:hint="eastAsia"/>
          <w:szCs w:val="21"/>
        </w:rPr>
        <w:t>）大成基金管理有限公司客户服务热线：</w:t>
      </w:r>
      <w:r>
        <w:rPr>
          <w:rFonts w:hint="eastAsia"/>
          <w:szCs w:val="21"/>
        </w:rPr>
        <w:t>400-888-5558</w:t>
      </w:r>
      <w:r>
        <w:rPr>
          <w:rFonts w:hint="eastAsia"/>
          <w:szCs w:val="21"/>
        </w:rPr>
        <w:t>（免长途通话费用）</w:t>
      </w:r>
      <w:r>
        <w:rPr>
          <w:rFonts w:hint="eastAsia"/>
          <w:szCs w:val="21"/>
        </w:rPr>
        <w:br/>
      </w:r>
      <w:r>
        <w:rPr>
          <w:rFonts w:hint="eastAsia"/>
          <w:szCs w:val="21"/>
        </w:rPr>
        <w:t xml:space="preserve">　　（</w:t>
      </w:r>
      <w:r>
        <w:rPr>
          <w:rFonts w:hint="eastAsia"/>
          <w:szCs w:val="21"/>
        </w:rPr>
        <w:t>3</w:t>
      </w:r>
      <w:r>
        <w:rPr>
          <w:rFonts w:hint="eastAsia"/>
          <w:szCs w:val="21"/>
        </w:rPr>
        <w:t>）大成基金管理有限公司直销网点及本基金各销售机构的相关网点（详见本基金最新的招募说明书及相关公告）。</w:t>
      </w:r>
      <w:r>
        <w:rPr>
          <w:rFonts w:hint="eastAsia"/>
          <w:szCs w:val="21"/>
        </w:rPr>
        <w:br/>
      </w:r>
      <w:r>
        <w:rPr>
          <w:rFonts w:hint="eastAsia"/>
          <w:szCs w:val="21"/>
        </w:rPr>
        <w:t xml:space="preserve">　　风险提示：</w:t>
      </w:r>
      <w:r>
        <w:rPr>
          <w:rFonts w:hint="eastAsia"/>
          <w:szCs w:val="21"/>
        </w:rPr>
        <w:br/>
      </w:r>
      <w:r>
        <w:rPr>
          <w:rFonts w:hint="eastAsia"/>
          <w:szCs w:val="21"/>
        </w:rPr>
        <w:t xml:space="preserve">　　基金分红导致基金净值变化，不会改变本基金的风险收益特征，不会降低基金投资风险或提高基金投资收益。本公司承诺以诚实信用、勤勉尽责的原则管理和运用基金资产，但不保证基金一定盈利，也不保证最低收益。敬请投资人根据自身的风险承受</w:t>
      </w:r>
      <w:r>
        <w:rPr>
          <w:rFonts w:hint="eastAsia"/>
          <w:szCs w:val="21"/>
        </w:rPr>
        <w:t>能力选择相适应的基金产品进行投资，并注意投资风险。</w:t>
      </w:r>
    </w:p>
    <w:p w:rsidR="00000000" w:rsidRDefault="008D5FD1">
      <w:pPr>
        <w:spacing w:line="360" w:lineRule="auto"/>
        <w:ind w:firstLineChars="600" w:firstLine="1446"/>
        <w:jc w:val="right"/>
        <w:rPr>
          <w:rFonts w:hint="eastAsia"/>
          <w:b/>
          <w:bCs/>
          <w:sz w:val="24"/>
          <w:szCs w:val="30"/>
        </w:rPr>
      </w:pPr>
      <w:r>
        <w:rPr>
          <w:rFonts w:hint="eastAsia"/>
          <w:b/>
          <w:bCs/>
          <w:sz w:val="24"/>
          <w:szCs w:val="30"/>
        </w:rPr>
        <w:t xml:space="preserve">　</w:t>
      </w:r>
      <w:r>
        <w:rPr>
          <w:rFonts w:hint="eastAsia"/>
          <w:b/>
          <w:bCs/>
          <w:sz w:val="24"/>
          <w:szCs w:val="30"/>
        </w:rPr>
        <w:t xml:space="preserve"> </w:t>
      </w:r>
    </w:p>
    <w:p w:rsidR="00000000" w:rsidRDefault="008D5FD1">
      <w:pPr>
        <w:spacing w:line="360" w:lineRule="auto"/>
        <w:ind w:firstLineChars="600" w:firstLine="1446"/>
        <w:jc w:val="right"/>
        <w:rPr>
          <w:rFonts w:hint="eastAsia"/>
          <w:b/>
          <w:bCs/>
          <w:sz w:val="24"/>
          <w:szCs w:val="30"/>
        </w:rPr>
      </w:pPr>
      <w:r>
        <w:rPr>
          <w:rFonts w:hint="eastAsia"/>
          <w:b/>
          <w:bCs/>
          <w:sz w:val="24"/>
          <w:szCs w:val="30"/>
        </w:rPr>
        <w:t xml:space="preserve">　</w:t>
      </w:r>
      <w:r>
        <w:rPr>
          <w:rFonts w:hint="eastAsia"/>
          <w:b/>
          <w:bCs/>
          <w:sz w:val="24"/>
          <w:szCs w:val="30"/>
        </w:rPr>
        <w:t xml:space="preserve"> </w:t>
      </w:r>
    </w:p>
    <w:p w:rsidR="00000000" w:rsidRDefault="008D5FD1">
      <w:pPr>
        <w:spacing w:line="360" w:lineRule="auto"/>
        <w:ind w:firstLineChars="600" w:firstLine="1446"/>
        <w:jc w:val="right"/>
        <w:rPr>
          <w:rFonts w:hint="eastAsia"/>
        </w:rPr>
      </w:pPr>
      <w:r>
        <w:rPr>
          <w:rFonts w:hint="eastAsia"/>
          <w:b/>
          <w:bCs/>
          <w:sz w:val="24"/>
          <w:szCs w:val="24"/>
        </w:rPr>
        <w:t>大成基金管理有限公司</w:t>
      </w:r>
    </w:p>
    <w:p w:rsidR="00000000" w:rsidRDefault="008D5FD1">
      <w:pPr>
        <w:spacing w:line="360" w:lineRule="auto"/>
        <w:ind w:firstLineChars="600" w:firstLine="1446"/>
        <w:jc w:val="right"/>
        <w:rPr>
          <w:rFonts w:hint="eastAsia"/>
        </w:rPr>
      </w:pPr>
      <w:r>
        <w:rPr>
          <w:rFonts w:hint="eastAsia"/>
          <w:b/>
          <w:bCs/>
          <w:sz w:val="24"/>
          <w:szCs w:val="24"/>
        </w:rPr>
        <w:t>2025</w:t>
      </w:r>
      <w:r>
        <w:rPr>
          <w:rFonts w:hint="eastAsia"/>
          <w:b/>
          <w:bCs/>
          <w:sz w:val="24"/>
          <w:szCs w:val="24"/>
        </w:rPr>
        <w:t>年</w:t>
      </w:r>
      <w:r>
        <w:rPr>
          <w:rFonts w:hint="eastAsia"/>
          <w:b/>
          <w:bCs/>
          <w:sz w:val="24"/>
          <w:szCs w:val="24"/>
        </w:rPr>
        <w:t>2</w:t>
      </w:r>
      <w:r>
        <w:rPr>
          <w:rFonts w:hint="eastAsia"/>
          <w:b/>
          <w:bCs/>
          <w:sz w:val="24"/>
          <w:szCs w:val="24"/>
        </w:rPr>
        <w:t>月</w:t>
      </w:r>
      <w:r>
        <w:rPr>
          <w:rFonts w:hint="eastAsia"/>
          <w:b/>
          <w:bCs/>
          <w:sz w:val="24"/>
          <w:szCs w:val="24"/>
        </w:rPr>
        <w:t>14</w:t>
      </w:r>
      <w:r>
        <w:rPr>
          <w:rFonts w:hint="eastAsia"/>
          <w:b/>
          <w:bCs/>
          <w:sz w:val="24"/>
          <w:szCs w:val="24"/>
        </w:rPr>
        <w:t>日</w:t>
      </w:r>
    </w:p>
    <w:sectPr w:rsidR="00000000">
      <w:headerReference w:type="default" r:id="rId7"/>
      <w:footerReference w:type="default" r:id="rId8"/>
      <w:pgSz w:w="11907" w:h="16839"/>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D5FD1">
      <w:r>
        <w:separator/>
      </w:r>
    </w:p>
  </w:endnote>
  <w:endnote w:type="continuationSeparator" w:id="0">
    <w:p w:rsidR="00000000" w:rsidRDefault="008D5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
    <w:charset w:val="86"/>
    <w:family w:val="modern"/>
    <w:pitch w:val="default"/>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5FD1">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noProof/>
        <w:sz w:val="18"/>
        <w:szCs w:val="18"/>
      </w:rPr>
      <w:t>2</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D5FD1">
      <w:r>
        <w:separator/>
      </w:r>
    </w:p>
  </w:footnote>
  <w:footnote w:type="continuationSeparator" w:id="0">
    <w:p w:rsidR="00000000" w:rsidRDefault="008D5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5FD1">
    <w:pPr>
      <w:pStyle w:val="a7"/>
      <w:jc w:val="right"/>
      <w:rPr>
        <w:rFonts w:hint="eastAsia"/>
      </w:rPr>
    </w:pPr>
    <w:r>
      <w:rPr>
        <w:rFonts w:hint="eastAsia"/>
      </w:rPr>
      <w:t>大成基金管理有限公司关于大成景优中短债债券型证券投资基金</w:t>
    </w:r>
    <w:r>
      <w:rPr>
        <w:rFonts w:hint="eastAsia"/>
      </w:rPr>
      <w:t>2025</w:t>
    </w:r>
    <w:r>
      <w:rPr>
        <w:rFonts w:hint="eastAsia"/>
      </w:rPr>
      <w:t>年度第</w:t>
    </w:r>
    <w:r>
      <w:rPr>
        <w:rFonts w:hint="eastAsia"/>
      </w:rPr>
      <w:t>1</w:t>
    </w:r>
    <w:r>
      <w:rPr>
        <w:rFonts w:hint="eastAsia"/>
      </w:rPr>
      <w:t>次分红的公告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lvlText w:val="%1."/>
      <w:legacy w:legacy="1" w:legacySpace="0" w:legacyIndent="425"/>
      <w:lvlJc w:val="left"/>
      <w:pPr>
        <w:ind w:left="425" w:hanging="425"/>
      </w:pPr>
      <w:rPr>
        <w:sz w:val="24"/>
        <w:szCs w:val="24"/>
      </w:rPr>
    </w:lvl>
    <w:lvl w:ilvl="1">
      <w:start w:val="1"/>
      <w:numFmt w:val="decimal"/>
      <w:suff w:val="space"/>
      <w:lvlText w:val="%1.%2"/>
      <w:legacy w:legacy="1" w:legacySpace="0" w:legacyIndent="454"/>
      <w:lvlJc w:val="left"/>
      <w:pPr>
        <w:ind w:left="3148" w:hanging="454"/>
      </w:pPr>
    </w:lvl>
    <w:lvl w:ilvl="2">
      <w:start w:val="1"/>
      <w:numFmt w:val="decimal"/>
      <w:suff w:val="space"/>
      <w:lvlText w:val="%1.%2.%3"/>
      <w:legacy w:legacy="1" w:legacySpace="0" w:legacyIndent="624"/>
      <w:lvlJc w:val="left"/>
      <w:pPr>
        <w:ind w:left="1050" w:hanging="624"/>
      </w:pPr>
      <w:rPr>
        <w:sz w:val="24"/>
        <w:szCs w:val="24"/>
      </w:rPr>
    </w:lvl>
    <w:lvl w:ilvl="3">
      <w:start w:val="1"/>
      <w:numFmt w:val="decimal"/>
      <w:suff w:val="space"/>
      <w:lvlText w:val="%1.%2.%3.%4"/>
      <w:legacy w:legacy="1" w:legacySpace="0" w:legacyIndent="794"/>
      <w:lvlJc w:val="left"/>
      <w:pPr>
        <w:ind w:left="794" w:hanging="794"/>
      </w:pPr>
    </w:lvl>
    <w:lvl w:ilvl="4">
      <w:start w:val="1"/>
      <w:numFmt w:val="decimal"/>
      <w:suff w:val="space"/>
      <w:lvlText w:val="%1.%2.%3.%4.%5"/>
      <w:legacy w:legacy="1" w:legacySpace="0" w:legacyIndent="1021"/>
      <w:lvlJc w:val="left"/>
      <w:pPr>
        <w:ind w:left="1021" w:hanging="1021"/>
      </w:pPr>
    </w:lvl>
    <w:lvl w:ilvl="5">
      <w:start w:val="1"/>
      <w:numFmt w:val="decimal"/>
      <w:suff w:val="space"/>
      <w:lvlText w:val="%1.%2.%3.%4.%5.%6"/>
      <w:legacy w:legacy="1" w:legacySpace="0" w:legacyIndent="1021"/>
      <w:lvlJc w:val="left"/>
      <w:pPr>
        <w:ind w:left="1021" w:hanging="1021"/>
      </w:pPr>
    </w:lvl>
    <w:lvl w:ilvl="6">
      <w:start w:val="1"/>
      <w:numFmt w:val="decimal"/>
      <w:lvlText w:val="%1.%2.%3.%4.%5.%6.%7"/>
      <w:legacy w:legacy="1" w:legacySpace="0" w:legacyIndent="1276"/>
      <w:lvlJc w:val="left"/>
      <w:pPr>
        <w:ind w:left="3827" w:hanging="1276"/>
      </w:pPr>
    </w:lvl>
    <w:lvl w:ilvl="7">
      <w:start w:val="1"/>
      <w:numFmt w:val="decimal"/>
      <w:lvlText w:val="%1.%2.%3.%4.%5.%6.%7.%8"/>
      <w:legacy w:legacy="1" w:legacySpace="0" w:legacyIndent="1418"/>
      <w:lvlJc w:val="left"/>
      <w:pPr>
        <w:ind w:left="4394" w:hanging="1418"/>
      </w:pPr>
    </w:lvl>
    <w:lvl w:ilvl="8">
      <w:start w:val="1"/>
      <w:numFmt w:val="decimal"/>
      <w:lvlText w:val="%1.%2.%3.%4.%5.%6.%7.%8.%9"/>
      <w:legacy w:legacy="1" w:legacySpace="0" w:legacyIndent="1700"/>
      <w:lvlJc w:val="left"/>
      <w:pPr>
        <w:ind w:left="5102" w:hanging="1700"/>
      </w:pPr>
    </w:lvl>
  </w:abstractNum>
  <w:num w:numId="1">
    <w:abstractNumId w:val="0"/>
    <w:lvlOverride w:ilvl="0">
      <w:startOverride w:val="1"/>
      <w:lvl w:ilvl="0">
        <w:start w:val="1"/>
        <w:numFmt w:val="decimal"/>
        <w:lvlText w:val="%1."/>
        <w:legacy w:legacy="1" w:legacySpace="0" w:legacyIndent="425"/>
        <w:lvlJc w:val="left"/>
        <w:pPr>
          <w:ind w:left="425" w:hanging="425"/>
        </w:pPr>
        <w:rPr>
          <w:sz w:val="24"/>
          <w:szCs w:val="24"/>
        </w:rPr>
      </w:lvl>
    </w:lvlOverride>
    <w:lvlOverride w:ilvl="1">
      <w:startOverride w:val="1"/>
      <w:lvl w:ilvl="1">
        <w:start w:val="1"/>
        <w:numFmt w:val="decimal"/>
        <w:suff w:val="space"/>
        <w:lvlText w:val="%1.%2"/>
        <w:legacy w:legacy="1" w:legacySpace="0" w:legacyIndent="454"/>
        <w:lvlJc w:val="left"/>
        <w:pPr>
          <w:ind w:left="3148" w:hanging="454"/>
        </w:pPr>
      </w:lvl>
    </w:lvlOverride>
    <w:lvlOverride w:ilvl="2">
      <w:startOverride w:val="1"/>
      <w:lvl w:ilvl="2">
        <w:start w:val="1"/>
        <w:numFmt w:val="decimal"/>
        <w:suff w:val="space"/>
        <w:lvlText w:val="%1.%2.%3"/>
        <w:legacy w:legacy="1" w:legacySpace="0" w:legacyIndent="624"/>
        <w:lvlJc w:val="left"/>
        <w:pPr>
          <w:ind w:left="1050" w:hanging="624"/>
        </w:pPr>
        <w:rPr>
          <w:sz w:val="24"/>
          <w:szCs w:val="24"/>
        </w:rPr>
      </w:lvl>
    </w:lvlOverride>
    <w:lvlOverride w:ilvl="3">
      <w:startOverride w:val="1"/>
      <w:lvl w:ilvl="3">
        <w:start w:val="1"/>
        <w:numFmt w:val="decimal"/>
        <w:suff w:val="space"/>
        <w:lvlText w:val="%1.%2.%3.%4"/>
        <w:legacy w:legacy="1" w:legacySpace="0" w:legacyIndent="794"/>
        <w:lvlJc w:val="left"/>
        <w:pPr>
          <w:ind w:left="794" w:hanging="794"/>
        </w:pPr>
      </w:lvl>
    </w:lvlOverride>
    <w:lvlOverride w:ilvl="4">
      <w:startOverride w:val="1"/>
      <w:lvl w:ilvl="4">
        <w:start w:val="1"/>
        <w:numFmt w:val="decimal"/>
        <w:suff w:val="space"/>
        <w:lvlText w:val="%1.%2.%3.%4.%5"/>
        <w:legacy w:legacy="1" w:legacySpace="0" w:legacyIndent="1021"/>
        <w:lvlJc w:val="left"/>
        <w:pPr>
          <w:ind w:left="1021" w:hanging="1021"/>
        </w:pPr>
      </w:lvl>
    </w:lvlOverride>
    <w:lvlOverride w:ilvl="5">
      <w:startOverride w:val="1"/>
      <w:lvl w:ilvl="5">
        <w:start w:val="1"/>
        <w:numFmt w:val="decimal"/>
        <w:suff w:val="space"/>
        <w:lvlText w:val="%1.%2.%3.%4.%5.%6"/>
        <w:legacy w:legacy="1" w:legacySpace="0" w:legacyIndent="1021"/>
        <w:lvlJc w:val="left"/>
        <w:pPr>
          <w:ind w:left="1021" w:hanging="1021"/>
        </w:pPr>
      </w:lvl>
    </w:lvlOverride>
    <w:lvlOverride w:ilvl="6">
      <w:startOverride w:val="1"/>
      <w:lvl w:ilvl="6">
        <w:start w:val="1"/>
        <w:numFmt w:val="decimal"/>
        <w:lvlText w:val="%1.%2.%3.%4.%5.%6.%7"/>
        <w:legacy w:legacy="1" w:legacySpace="0" w:legacyIndent="1276"/>
        <w:lvlJc w:val="left"/>
        <w:pPr>
          <w:ind w:left="3827" w:hanging="1276"/>
        </w:pPr>
      </w:lvl>
    </w:lvlOverride>
    <w:lvlOverride w:ilvl="7">
      <w:startOverride w:val="1"/>
      <w:lvl w:ilvl="7">
        <w:start w:val="1"/>
        <w:numFmt w:val="decimal"/>
        <w:lvlText w:val="%1.%2.%3.%4.%5.%6.%7.%8"/>
        <w:legacy w:legacy="1" w:legacySpace="0" w:legacyIndent="1418"/>
        <w:lvlJc w:val="left"/>
        <w:pPr>
          <w:ind w:left="4394" w:hanging="1418"/>
        </w:pPr>
      </w:lvl>
    </w:lvlOverride>
    <w:lvlOverride w:ilvl="8">
      <w:startOverride w:val="1"/>
      <w:lvl w:ilvl="8">
        <w:start w:val="1"/>
        <w:numFmt w:val="decimal"/>
        <w:lvlText w:val="%1.%2.%3.%4.%5.%6.%7.%8.%9"/>
        <w:legacy w:legacy="1" w:legacySpace="0" w:legacyIndent="1700"/>
        <w:lvlJc w:val="left"/>
        <w:pPr>
          <w:ind w:left="5102" w:hanging="170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trackRevisions/>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FD1"/>
    <w:rsid w:val="008D5FD1"/>
    <w:rsid w:val="27F5CE48"/>
    <w:rsid w:val="33FDAB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rFonts w:ascii="宋体" w:eastAsia="宋体" w:cs="宋体"/>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08" w:lineRule="auto"/>
      <w:outlineLvl w:val="1"/>
    </w:pPr>
    <w:rPr>
      <w:rFonts w:ascii="Cambria" w:hAnsi="Cambria"/>
      <w:b/>
      <w:bCs/>
      <w:kern w:val="0"/>
      <w:sz w:val="32"/>
      <w:szCs w:val="32"/>
    </w:rPr>
  </w:style>
  <w:style w:type="paragraph" w:styleId="3">
    <w:name w:val="heading 3"/>
    <w:basedOn w:val="a"/>
    <w:next w:val="a"/>
    <w:qFormat/>
    <w:pPr>
      <w:keepNext/>
      <w:keepLines/>
      <w:spacing w:before="260" w:after="260" w:line="408" w:lineRule="auto"/>
      <w:outlineLvl w:val="2"/>
    </w:pPr>
    <w:rPr>
      <w:b/>
      <w:bCs/>
      <w:kern w:val="0"/>
      <w:sz w:val="32"/>
      <w:szCs w:val="32"/>
    </w:rPr>
  </w:style>
  <w:style w:type="paragraph" w:styleId="4">
    <w:name w:val="heading 4"/>
    <w:basedOn w:val="a"/>
    <w:next w:val="a"/>
    <w:qFormat/>
    <w:pPr>
      <w:keepNext/>
      <w:keepLines/>
      <w:spacing w:before="240" w:after="290" w:line="372" w:lineRule="auto"/>
      <w:outlineLvl w:val="3"/>
    </w:pPr>
    <w:rPr>
      <w:rFonts w:ascii="Cambria" w:hAnsi="Cambria"/>
      <w:b/>
      <w:bCs/>
      <w:kern w:val="0"/>
      <w:sz w:val="24"/>
      <w:szCs w:val="24"/>
    </w:rPr>
  </w:style>
  <w:style w:type="paragraph" w:styleId="5">
    <w:name w:val="heading 5"/>
    <w:basedOn w:val="a"/>
    <w:next w:val="a"/>
    <w:qFormat/>
    <w:pPr>
      <w:keepNext/>
      <w:keepLines/>
      <w:spacing w:before="240" w:after="290" w:line="372" w:lineRule="auto"/>
      <w:outlineLvl w:val="4"/>
    </w:pPr>
    <w:rPr>
      <w:b/>
      <w:bCs/>
      <w:sz w:val="24"/>
      <w:szCs w:val="24"/>
    </w:rPr>
  </w:style>
  <w:style w:type="paragraph" w:styleId="6">
    <w:name w:val="heading 6"/>
    <w:basedOn w:val="a"/>
    <w:next w:val="a"/>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50">
    <w:name w:val="toc 5"/>
    <w:basedOn w:val="a"/>
    <w:next w:val="a"/>
    <w:pPr>
      <w:ind w:left="1680"/>
    </w:pPr>
  </w:style>
  <w:style w:type="paragraph" w:styleId="30">
    <w:name w:val="toc 3"/>
    <w:basedOn w:val="a"/>
    <w:next w:val="a"/>
  </w:style>
  <w:style w:type="paragraph" w:styleId="a4">
    <w:name w:val="Date"/>
    <w:basedOn w:val="a"/>
    <w:next w:val="a"/>
    <w:rPr>
      <w:sz w:val="32"/>
    </w:rPr>
  </w:style>
  <w:style w:type="paragraph" w:styleId="a5">
    <w:name w:val="Balloon Text"/>
    <w:basedOn w:val="a"/>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tabs>
        <w:tab w:val="right" w:leader="dot" w:pos="8835"/>
      </w:tabs>
    </w:pPr>
  </w:style>
  <w:style w:type="paragraph" w:styleId="40">
    <w:name w:val="toc 4"/>
    <w:basedOn w:val="a"/>
    <w:next w:val="a"/>
    <w:pPr>
      <w:ind w:left="1260"/>
    </w:pPr>
  </w:style>
  <w:style w:type="paragraph" w:styleId="a8">
    <w:name w:val="Subtitle"/>
    <w:basedOn w:val="2"/>
    <w:next w:val="3"/>
    <w:qFormat/>
    <w:pPr>
      <w:spacing w:before="240" w:after="60" w:line="312" w:lineRule="auto"/>
      <w:jc w:val="left"/>
    </w:pPr>
    <w:rPr>
      <w:bCs w:val="0"/>
      <w:kern w:val="24"/>
      <w:sz w:val="24"/>
    </w:rPr>
  </w:style>
  <w:style w:type="paragraph" w:styleId="a9">
    <w:name w:val="footnote text"/>
    <w:basedOn w:val="a"/>
    <w:pPr>
      <w:snapToGrid w:val="0"/>
      <w:jc w:val="left"/>
    </w:pPr>
    <w:rPr>
      <w:sz w:val="18"/>
      <w:szCs w:val="18"/>
    </w:rPr>
  </w:style>
  <w:style w:type="paragraph" w:styleId="20">
    <w:name w:val="toc 2"/>
    <w:basedOn w:val="a"/>
    <w:next w:val="a"/>
    <w:pPr>
      <w:ind w:leftChars="200" w:left="200"/>
    </w:pPr>
  </w:style>
  <w:style w:type="paragraph" w:styleId="aa">
    <w:name w:val="Normal (Web)"/>
    <w:basedOn w:val="a"/>
    <w:pPr>
      <w:widowControl/>
      <w:spacing w:before="100" w:beforeAutospacing="1" w:after="100" w:afterAutospacing="1"/>
      <w:jc w:val="left"/>
    </w:pPr>
    <w:rPr>
      <w:kern w:val="0"/>
      <w:sz w:val="24"/>
    </w:rPr>
  </w:style>
  <w:style w:type="paragraph" w:styleId="ab">
    <w:name w:val="Title"/>
    <w:basedOn w:val="1"/>
    <w:next w:val="2"/>
    <w:qFormat/>
    <w:pPr>
      <w:keepNext w:val="0"/>
      <w:keepLines w:val="0"/>
      <w:spacing w:before="240" w:after="60" w:line="240" w:lineRule="auto"/>
      <w:jc w:val="center"/>
    </w:pPr>
    <w:rPr>
      <w:rFonts w:ascii="Cambria" w:hAnsi="Cambria"/>
      <w:kern w:val="0"/>
      <w:sz w:val="32"/>
      <w:szCs w:val="32"/>
    </w:rPr>
  </w:style>
  <w:style w:type="character" w:styleId="ac">
    <w:name w:val="FollowedHyperlink"/>
    <w:basedOn w:val="a0"/>
    <w:rPr>
      <w:color w:val="800080"/>
      <w:u w:val="single"/>
    </w:rPr>
  </w:style>
  <w:style w:type="character" w:styleId="ad">
    <w:name w:val="Hyperlink"/>
    <w:basedOn w:val="a0"/>
    <w:rPr>
      <w:color w:val="0000FF"/>
      <w:u w:val="single"/>
    </w:rPr>
  </w:style>
  <w:style w:type="character" w:styleId="ae">
    <w:name w:val="footnote reference"/>
    <w:rPr>
      <w:vertAlign w:val="superscript"/>
    </w:rPr>
  </w:style>
  <w:style w:type="character" w:customStyle="1" w:styleId="11">
    <w:name w:val="页眉 字符1"/>
    <w:basedOn w:val="a0"/>
    <w:rPr>
      <w:kern w:val="2"/>
      <w:sz w:val="18"/>
      <w:szCs w:val="18"/>
    </w:rPr>
  </w:style>
  <w:style w:type="paragraph" w:customStyle="1" w:styleId="XBRLTitle3">
    <w:name w:val="XBRLTitle3"/>
    <w:basedOn w:val="a8"/>
    <w:next w:val="4"/>
    <w:pPr>
      <w:keepNext w:val="0"/>
      <w:keepLines w:val="0"/>
      <w:numPr>
        <w:ilvl w:val="2"/>
        <w:numId w:val="1"/>
      </w:numPr>
      <w:spacing w:beforeLines="50" w:after="0" w:line="360" w:lineRule="auto"/>
      <w:ind w:left="0" w:firstLine="0"/>
      <w:outlineLvl w:val="9"/>
    </w:pPr>
    <w:rPr>
      <w:rFonts w:ascii="宋体"/>
      <w:bCs/>
    </w:rPr>
  </w:style>
  <w:style w:type="paragraph" w:customStyle="1" w:styleId="XBRL4">
    <w:name w:val="XBRL标题4"/>
    <w:basedOn w:val="a8"/>
    <w:next w:val="4"/>
    <w:pPr>
      <w:spacing w:beforeLines="50" w:after="0" w:line="240" w:lineRule="auto"/>
      <w:outlineLvl w:val="9"/>
    </w:pPr>
    <w:rPr>
      <w:bCs/>
    </w:rPr>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Title5">
    <w:name w:val="XBRLTitle5"/>
    <w:basedOn w:val="a8"/>
    <w:next w:val="4"/>
    <w:pPr>
      <w:numPr>
        <w:ilvl w:val="4"/>
        <w:numId w:val="1"/>
      </w:numPr>
      <w:spacing w:beforeLines="50" w:after="0" w:line="240" w:lineRule="auto"/>
      <w:outlineLvl w:val="9"/>
    </w:pPr>
    <w:rPr>
      <w:bCs/>
    </w:rPr>
  </w:style>
  <w:style w:type="paragraph" w:customStyle="1" w:styleId="XBRL5">
    <w:name w:val="XBRL标题5"/>
    <w:basedOn w:val="a8"/>
    <w:next w:val="4"/>
    <w:pPr>
      <w:spacing w:beforeLines="50" w:after="0" w:line="240" w:lineRule="auto"/>
      <w:outlineLvl w:val="9"/>
    </w:pPr>
    <w:rPr>
      <w:bCs/>
    </w:rPr>
  </w:style>
  <w:style w:type="paragraph" w:customStyle="1" w:styleId="XBRLTitle1">
    <w:name w:val="XBRLTitle1"/>
    <w:basedOn w:val="1"/>
    <w:next w:val="2"/>
    <w:pPr>
      <w:keepNext w:val="0"/>
      <w:keepLines w:val="0"/>
      <w:numPr>
        <w:numId w:val="1"/>
      </w:numPr>
      <w:spacing w:beforeLines="50" w:after="0" w:line="240" w:lineRule="auto"/>
      <w:jc w:val="center"/>
    </w:pPr>
    <w:rPr>
      <w:sz w:val="24"/>
    </w:rPr>
  </w:style>
  <w:style w:type="paragraph" w:customStyle="1" w:styleId="Default">
    <w:name w:val="Default"/>
    <w:basedOn w:val="a"/>
    <w:pPr>
      <w:autoSpaceDE w:val="0"/>
      <w:autoSpaceDN w:val="0"/>
      <w:adjustRightInd w:val="0"/>
      <w:jc w:val="left"/>
    </w:pPr>
    <w:rPr>
      <w:rFonts w:ascii="仿宋" w:eastAsia="仿宋"/>
      <w:color w:val="000000"/>
      <w:kern w:val="0"/>
      <w:sz w:val="24"/>
      <w:szCs w:val="24"/>
    </w:rPr>
  </w:style>
  <w:style w:type="paragraph" w:customStyle="1" w:styleId="XBRL3">
    <w:name w:val="XBRL标题3"/>
    <w:basedOn w:val="a8"/>
    <w:next w:val="4"/>
    <w:pPr>
      <w:spacing w:beforeLines="50" w:after="0" w:line="240" w:lineRule="auto"/>
      <w:outlineLvl w:val="9"/>
    </w:pPr>
    <w:rPr>
      <w:bCs/>
    </w:rPr>
  </w:style>
  <w:style w:type="paragraph" w:customStyle="1" w:styleId="XBRL2">
    <w:name w:val="XBRL标题2"/>
    <w:basedOn w:val="a8"/>
    <w:next w:val="4"/>
    <w:pPr>
      <w:spacing w:beforeLines="50" w:after="0" w:line="240" w:lineRule="auto"/>
    </w:pPr>
    <w:rPr>
      <w:bCs/>
    </w:rPr>
  </w:style>
  <w:style w:type="paragraph" w:customStyle="1" w:styleId="XBRL6">
    <w:name w:val="XBRL标题6"/>
    <w:basedOn w:val="a8"/>
    <w:next w:val="4"/>
    <w:pPr>
      <w:spacing w:beforeLines="50" w:after="0" w:line="240" w:lineRule="auto"/>
      <w:outlineLvl w:val="9"/>
    </w:pPr>
    <w:rPr>
      <w:bCs/>
    </w:rPr>
  </w:style>
  <w:style w:type="paragraph" w:customStyle="1" w:styleId="af">
    <w:name w:val="次标题"/>
    <w:basedOn w:val="3"/>
    <w:next w:val="a"/>
    <w:pPr>
      <w:spacing w:before="120" w:after="120"/>
      <w:jc w:val="left"/>
    </w:pPr>
    <w:rPr>
      <w:sz w:val="21"/>
    </w:rPr>
  </w:style>
  <w:style w:type="paragraph" w:customStyle="1" w:styleId="XBRLTitle6">
    <w:name w:val="XBRLTitle6"/>
    <w:basedOn w:val="a8"/>
    <w:next w:val="4"/>
    <w:pPr>
      <w:numPr>
        <w:ilvl w:val="5"/>
        <w:numId w:val="1"/>
      </w:numPr>
      <w:spacing w:beforeLines="50" w:after="0" w:line="240" w:lineRule="auto"/>
      <w:outlineLvl w:val="9"/>
    </w:pPr>
    <w:rPr>
      <w:bCs/>
    </w:rPr>
  </w:style>
  <w:style w:type="paragraph" w:customStyle="1" w:styleId="msonormal0">
    <w:name w:val="msonormal"/>
    <w:basedOn w:val="a"/>
    <w:pPr>
      <w:widowControl/>
      <w:spacing w:before="100" w:beforeAutospacing="1" w:after="100" w:afterAutospacing="1"/>
      <w:jc w:val="left"/>
    </w:pPr>
    <w:rPr>
      <w:kern w:val="0"/>
      <w:sz w:val="24"/>
    </w:rPr>
  </w:style>
  <w:style w:type="paragraph" w:styleId="TOC">
    <w:name w:val="TOC Heading"/>
    <w:basedOn w:val="1"/>
    <w:next w:val="a"/>
    <w:qFormat/>
    <w:pPr>
      <w:widowControl/>
      <w:spacing w:before="480" w:after="0" w:line="276" w:lineRule="auto"/>
      <w:jc w:val="left"/>
      <w:outlineLvl w:val="9"/>
    </w:pPr>
    <w:rPr>
      <w:rFonts w:ascii="Cambria" w:hAnsi="Cambria"/>
      <w:color w:val="365F91"/>
      <w:kern w:val="0"/>
      <w:sz w:val="24"/>
      <w:szCs w:val="24"/>
    </w:rPr>
  </w:style>
  <w:style w:type="paragraph" w:customStyle="1" w:styleId="Char">
    <w:name w:val="Char"/>
    <w:basedOn w:val="a"/>
  </w:style>
  <w:style w:type="paragraph" w:customStyle="1" w:styleId="XBRL1">
    <w:name w:val="XBRL标题1"/>
    <w:basedOn w:val="1"/>
    <w:next w:val="2"/>
    <w:pPr>
      <w:spacing w:beforeLines="50" w:after="0" w:line="240" w:lineRule="auto"/>
      <w:jc w:val="center"/>
    </w:pPr>
    <w:rPr>
      <w:rFonts w:ascii="Cambria" w:hAnsi="Cambria"/>
      <w:sz w:val="24"/>
    </w:rPr>
  </w:style>
  <w:style w:type="paragraph" w:customStyle="1" w:styleId="XBRLTitle2">
    <w:name w:val="XBRLTitle2"/>
    <w:basedOn w:val="a8"/>
    <w:next w:val="4"/>
    <w:pPr>
      <w:keepNext w:val="0"/>
      <w:keepLines w:val="0"/>
      <w:numPr>
        <w:ilvl w:val="1"/>
        <w:numId w:val="1"/>
      </w:numPr>
      <w:spacing w:beforeLines="50" w:after="0" w:line="240" w:lineRule="auto"/>
      <w:ind w:left="453"/>
    </w:pPr>
    <w:rPr>
      <w:rFonts w:ascii="宋体"/>
      <w:bCs/>
    </w:rPr>
  </w:style>
  <w:style w:type="paragraph" w:customStyle="1" w:styleId="XBRLTitle4">
    <w:name w:val="XBRLTitle4"/>
    <w:basedOn w:val="a8"/>
    <w:next w:val="4"/>
    <w:pPr>
      <w:numPr>
        <w:ilvl w:val="3"/>
        <w:numId w:val="1"/>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1789</Characters>
  <Application>Microsoft Office Word</Application>
  <DocSecurity>4</DocSecurity>
  <Lines>14</Lines>
  <Paragraphs>4</Paragraphs>
  <ScaleCrop>false</ScaleCrop>
  <Company>CNSTOCK</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cp:lastModifiedBy>ZHONGM</cp:lastModifiedBy>
  <cp:revision>2</cp:revision>
  <dcterms:created xsi:type="dcterms:W3CDTF">2025-02-13T16:00:00Z</dcterms:created>
  <dcterms:modified xsi:type="dcterms:W3CDTF">2025-02-13T16:00:00Z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ies>
</file>