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12B" w:rsidRDefault="0085081D">
      <w:pPr>
        <w:spacing w:line="360" w:lineRule="auto"/>
        <w:jc w:val="center"/>
        <w:rPr>
          <w:b/>
          <w:sz w:val="28"/>
          <w:szCs w:val="28"/>
        </w:rPr>
      </w:pPr>
      <w:r>
        <w:rPr>
          <w:rFonts w:hint="eastAsia"/>
          <w:b/>
          <w:sz w:val="28"/>
          <w:szCs w:val="28"/>
        </w:rPr>
        <w:t>华安基金管理有限公司关于</w:t>
      </w:r>
      <w:r w:rsidR="00A858FD">
        <w:rPr>
          <w:rFonts w:hint="eastAsia"/>
          <w:b/>
          <w:sz w:val="28"/>
          <w:szCs w:val="28"/>
        </w:rPr>
        <w:t>华安</w:t>
      </w:r>
      <w:r w:rsidR="00A858FD">
        <w:rPr>
          <w:rFonts w:hint="eastAsia"/>
          <w:b/>
          <w:sz w:val="28"/>
          <w:szCs w:val="28"/>
        </w:rPr>
        <w:t>CES</w:t>
      </w:r>
      <w:r w:rsidR="00A858FD">
        <w:rPr>
          <w:rFonts w:hint="eastAsia"/>
          <w:b/>
          <w:sz w:val="28"/>
          <w:szCs w:val="28"/>
        </w:rPr>
        <w:t>港股通精选</w:t>
      </w:r>
      <w:r w:rsidR="00A858FD">
        <w:rPr>
          <w:rFonts w:hint="eastAsia"/>
          <w:b/>
          <w:sz w:val="28"/>
          <w:szCs w:val="28"/>
        </w:rPr>
        <w:t>100</w:t>
      </w:r>
      <w:r w:rsidR="00A858FD">
        <w:rPr>
          <w:rFonts w:hint="eastAsia"/>
          <w:b/>
          <w:sz w:val="28"/>
          <w:szCs w:val="28"/>
        </w:rPr>
        <w:t>交易型开放式指数证券投资基金联接基金</w:t>
      </w:r>
      <w:r>
        <w:rPr>
          <w:b/>
          <w:sz w:val="28"/>
          <w:szCs w:val="28"/>
        </w:rPr>
        <w:t>基金份额持有人大会会议情况的公告</w:t>
      </w:r>
    </w:p>
    <w:p w:rsidR="008B212B" w:rsidRDefault="008B212B">
      <w:pPr>
        <w:spacing w:line="360" w:lineRule="auto"/>
        <w:ind w:firstLine="420"/>
      </w:pPr>
    </w:p>
    <w:p w:rsidR="008B212B" w:rsidRDefault="0085081D">
      <w:pPr>
        <w:spacing w:line="360" w:lineRule="auto"/>
        <w:ind w:firstLineChars="200" w:firstLine="420"/>
      </w:pPr>
      <w:r>
        <w:rPr>
          <w:rFonts w:hint="eastAsia"/>
        </w:rPr>
        <w:t>根据</w:t>
      </w:r>
      <w:r>
        <w:t>《中华人民共和国证券投资基金法》《公开募集证券投资基金运作管理办法》《</w:t>
      </w:r>
      <w:r w:rsidR="00A858FD">
        <w:t>华安</w:t>
      </w:r>
      <w:r w:rsidR="00A858FD">
        <w:t>CES</w:t>
      </w:r>
      <w:r w:rsidR="00A858FD">
        <w:t>港股通精选</w:t>
      </w:r>
      <w:r w:rsidR="00A858FD">
        <w:t>100</w:t>
      </w:r>
      <w:r w:rsidR="00A858FD">
        <w:t>交易型开放式指数证券投资基金联接基金</w:t>
      </w:r>
      <w:r>
        <w:t>基金合同》（以下简称</w:t>
      </w:r>
      <w:r>
        <w:t>“</w:t>
      </w:r>
      <w:r>
        <w:t>《基金合同》</w:t>
      </w:r>
      <w:r>
        <w:t>”</w:t>
      </w:r>
      <w:r>
        <w:t>）的有关规定，现将</w:t>
      </w:r>
      <w:r w:rsidR="00A858FD">
        <w:t>华安</w:t>
      </w:r>
      <w:r w:rsidR="00A858FD">
        <w:t>CES</w:t>
      </w:r>
      <w:r w:rsidR="00A858FD">
        <w:t>港股通精选</w:t>
      </w:r>
      <w:r w:rsidR="00A858FD">
        <w:t>100</w:t>
      </w:r>
      <w:r w:rsidR="00A858FD">
        <w:t>交易型开放式指数证券投资基金联接基金</w:t>
      </w:r>
      <w:r>
        <w:t>（以下简称</w:t>
      </w:r>
      <w:r>
        <w:t>“</w:t>
      </w:r>
      <w:r>
        <w:t>本基金</w:t>
      </w:r>
      <w:r>
        <w:t>”</w:t>
      </w:r>
      <w:r>
        <w:t>）基金份额持有人大会的相关事项公告如下</w:t>
      </w:r>
      <w:r>
        <w:rPr>
          <w:rFonts w:hint="eastAsia"/>
        </w:rPr>
        <w:t>：</w:t>
      </w:r>
    </w:p>
    <w:p w:rsidR="008B212B" w:rsidRDefault="0085081D">
      <w:pPr>
        <w:spacing w:line="360" w:lineRule="auto"/>
        <w:ind w:firstLineChars="200" w:firstLine="422"/>
        <w:rPr>
          <w:b/>
        </w:rPr>
      </w:pPr>
      <w:r>
        <w:rPr>
          <w:b/>
        </w:rPr>
        <w:t>一、</w:t>
      </w:r>
      <w:r>
        <w:rPr>
          <w:rFonts w:hint="eastAsia"/>
          <w:b/>
        </w:rPr>
        <w:t>本次基金份额持有人大会会议情况</w:t>
      </w:r>
    </w:p>
    <w:p w:rsidR="008B212B" w:rsidRDefault="0085081D">
      <w:pPr>
        <w:widowControl/>
        <w:spacing w:line="360" w:lineRule="auto"/>
        <w:ind w:firstLineChars="200" w:firstLine="420"/>
        <w:jc w:val="left"/>
      </w:pPr>
      <w:r>
        <w:rPr>
          <w:szCs w:val="21"/>
        </w:rPr>
        <w:t>本基金</w:t>
      </w:r>
      <w:r>
        <w:t>以通讯方式召开了基金份额持有人大会</w:t>
      </w:r>
      <w:r>
        <w:rPr>
          <w:rFonts w:hint="eastAsia"/>
        </w:rPr>
        <w:t>审议《</w:t>
      </w:r>
      <w:r w:rsidR="006218EE" w:rsidRPr="006218EE">
        <w:rPr>
          <w:rFonts w:hint="eastAsia"/>
        </w:rPr>
        <w:t>关于终止华安</w:t>
      </w:r>
      <w:r w:rsidR="006218EE" w:rsidRPr="006218EE">
        <w:rPr>
          <w:rFonts w:hint="eastAsia"/>
        </w:rPr>
        <w:t>CES</w:t>
      </w:r>
      <w:r w:rsidR="006218EE" w:rsidRPr="006218EE">
        <w:rPr>
          <w:rFonts w:hint="eastAsia"/>
        </w:rPr>
        <w:t>港股通精选</w:t>
      </w:r>
      <w:r w:rsidR="006218EE" w:rsidRPr="006218EE">
        <w:rPr>
          <w:rFonts w:hint="eastAsia"/>
        </w:rPr>
        <w:t>100</w:t>
      </w:r>
      <w:r w:rsidR="006218EE" w:rsidRPr="006218EE">
        <w:rPr>
          <w:rFonts w:hint="eastAsia"/>
        </w:rPr>
        <w:t>交易型开放式指数证券投资基金联接基金基金合同有关事项的议案</w:t>
      </w:r>
      <w:r>
        <w:rPr>
          <w:rFonts w:hint="eastAsia"/>
        </w:rPr>
        <w:t>》</w:t>
      </w:r>
      <w:r>
        <w:t>，大会投票表决起止时间为</w:t>
      </w:r>
      <w:r w:rsidR="00E4002A" w:rsidRPr="00E4002A">
        <w:rPr>
          <w:rFonts w:hint="eastAsia"/>
        </w:rPr>
        <w:t>自</w:t>
      </w:r>
      <w:r w:rsidR="00E4002A" w:rsidRPr="00E4002A">
        <w:rPr>
          <w:rFonts w:hint="eastAsia"/>
        </w:rPr>
        <w:t>202</w:t>
      </w:r>
      <w:r w:rsidR="00FF4A8A">
        <w:t>5</w:t>
      </w:r>
      <w:r w:rsidR="00E4002A" w:rsidRPr="00E4002A">
        <w:rPr>
          <w:rFonts w:hint="eastAsia"/>
        </w:rPr>
        <w:t>年</w:t>
      </w:r>
      <w:r w:rsidR="00FF4A8A">
        <w:rPr>
          <w:rFonts w:hint="eastAsia"/>
        </w:rPr>
        <w:t>1</w:t>
      </w:r>
      <w:r w:rsidR="00E4002A" w:rsidRPr="00E4002A">
        <w:rPr>
          <w:rFonts w:hint="eastAsia"/>
        </w:rPr>
        <w:t>月</w:t>
      </w:r>
      <w:r w:rsidR="00627A03">
        <w:t>13</w:t>
      </w:r>
      <w:r w:rsidR="00E4002A" w:rsidRPr="00E4002A">
        <w:rPr>
          <w:rFonts w:hint="eastAsia"/>
        </w:rPr>
        <w:t>日起，至</w:t>
      </w:r>
      <w:r w:rsidR="00E4002A" w:rsidRPr="00E4002A">
        <w:rPr>
          <w:rFonts w:hint="eastAsia"/>
        </w:rPr>
        <w:t>202</w:t>
      </w:r>
      <w:r w:rsidR="00661600">
        <w:t>5</w:t>
      </w:r>
      <w:r w:rsidR="00E4002A" w:rsidRPr="00E4002A">
        <w:rPr>
          <w:rFonts w:hint="eastAsia"/>
        </w:rPr>
        <w:t>年</w:t>
      </w:r>
      <w:r w:rsidR="00E047C0">
        <w:t>2</w:t>
      </w:r>
      <w:r w:rsidR="00E4002A" w:rsidRPr="00E4002A">
        <w:rPr>
          <w:rFonts w:hint="eastAsia"/>
        </w:rPr>
        <w:t>月</w:t>
      </w:r>
      <w:r w:rsidR="00E047C0">
        <w:t>10</w:t>
      </w:r>
      <w:r w:rsidR="00E4002A" w:rsidRPr="00E4002A">
        <w:rPr>
          <w:rFonts w:hint="eastAsia"/>
        </w:rPr>
        <w:t>日</w:t>
      </w:r>
      <w:r w:rsidR="00E4002A" w:rsidRPr="00E4002A">
        <w:rPr>
          <w:rFonts w:hint="eastAsia"/>
        </w:rPr>
        <w:t>17</w:t>
      </w:r>
      <w:r w:rsidR="00E4002A" w:rsidRPr="00E4002A">
        <w:rPr>
          <w:rFonts w:hint="eastAsia"/>
        </w:rPr>
        <w:t>：</w:t>
      </w:r>
      <w:r w:rsidR="00E4002A" w:rsidRPr="00E4002A">
        <w:rPr>
          <w:rFonts w:hint="eastAsia"/>
        </w:rPr>
        <w:t>00</w:t>
      </w:r>
      <w:r w:rsidR="00E4002A" w:rsidRPr="00E4002A">
        <w:rPr>
          <w:rFonts w:hint="eastAsia"/>
        </w:rPr>
        <w:t>止</w:t>
      </w:r>
      <w:r>
        <w:rPr>
          <w:rFonts w:hint="eastAsia"/>
        </w:rPr>
        <w:t>（纸质投票以本基金管理人收到表决票时间为准）</w:t>
      </w:r>
      <w:r>
        <w:t>。</w:t>
      </w:r>
    </w:p>
    <w:p w:rsidR="008B212B" w:rsidRDefault="0085081D">
      <w:pPr>
        <w:widowControl/>
        <w:spacing w:line="360" w:lineRule="auto"/>
        <w:ind w:firstLineChars="200" w:firstLine="420"/>
        <w:jc w:val="left"/>
      </w:pPr>
      <w:r>
        <w:rPr>
          <w:rFonts w:hint="eastAsia"/>
        </w:rPr>
        <w:t>本次基金份额持有人大会的计票于</w:t>
      </w:r>
      <w:r w:rsidR="00D33A25">
        <w:rPr>
          <w:rFonts w:hint="eastAsia"/>
        </w:rPr>
        <w:t>202</w:t>
      </w:r>
      <w:r w:rsidR="00D33A25">
        <w:t>5</w:t>
      </w:r>
      <w:r w:rsidR="007B2CB4">
        <w:rPr>
          <w:rFonts w:hint="eastAsia"/>
        </w:rPr>
        <w:t>年</w:t>
      </w:r>
      <w:r w:rsidR="00D33A25">
        <w:t>2</w:t>
      </w:r>
      <w:r>
        <w:rPr>
          <w:rFonts w:hint="eastAsia"/>
        </w:rPr>
        <w:t>月</w:t>
      </w:r>
      <w:r w:rsidR="00D33A25">
        <w:t>11</w:t>
      </w:r>
      <w:r>
        <w:rPr>
          <w:rFonts w:hint="eastAsia"/>
        </w:rPr>
        <w:t>日在基金托管人中国</w:t>
      </w:r>
      <w:r w:rsidR="00990EB8">
        <w:rPr>
          <w:rFonts w:hint="eastAsia"/>
        </w:rPr>
        <w:t>农业</w:t>
      </w:r>
      <w:r>
        <w:rPr>
          <w:rFonts w:hint="eastAsia"/>
        </w:rPr>
        <w:t>银行股份有限公司授权代表的监督及上海市通力律师事务所律师的见证下进行，并由上海市东方公证处公证员对计票过</w:t>
      </w:r>
      <w:bookmarkStart w:id="0" w:name="_GoBack"/>
      <w:bookmarkEnd w:id="0"/>
      <w:r>
        <w:rPr>
          <w:rFonts w:hint="eastAsia"/>
        </w:rPr>
        <w:t>程及结果进行了公证。</w:t>
      </w:r>
    </w:p>
    <w:p w:rsidR="008B212B" w:rsidRDefault="0085081D">
      <w:pPr>
        <w:widowControl/>
        <w:spacing w:line="360" w:lineRule="auto"/>
        <w:ind w:firstLineChars="200" w:firstLine="420"/>
        <w:jc w:val="left"/>
      </w:pPr>
      <w:r>
        <w:rPr>
          <w:rFonts w:hint="eastAsia"/>
        </w:rPr>
        <w:t>根据计票结果，本人直接出具表决意见或授权他人代表出具表决意见的基金份额持有人所持有的基金份额小于在权益登记日基金总份额的二分之一（含二分之一），未达到法定的会议召开条件。</w:t>
      </w:r>
    </w:p>
    <w:p w:rsidR="008B212B" w:rsidRDefault="0085081D">
      <w:pPr>
        <w:widowControl/>
        <w:spacing w:line="360" w:lineRule="auto"/>
        <w:ind w:firstLineChars="200" w:firstLine="420"/>
        <w:jc w:val="left"/>
      </w:pPr>
      <w:r>
        <w:rPr>
          <w:rFonts w:hint="eastAsia"/>
        </w:rPr>
        <w:t>本次基金份额持有人大会费用包括公证费</w:t>
      </w:r>
      <w:r>
        <w:rPr>
          <w:rFonts w:hint="eastAsia"/>
        </w:rPr>
        <w:t>10000</w:t>
      </w:r>
      <w:r>
        <w:rPr>
          <w:rFonts w:hint="eastAsia"/>
        </w:rPr>
        <w:t>元、律师费</w:t>
      </w:r>
      <w:r>
        <w:t>2</w:t>
      </w:r>
      <w:r>
        <w:rPr>
          <w:rFonts w:hint="eastAsia"/>
        </w:rPr>
        <w:t>0000</w:t>
      </w:r>
      <w:r>
        <w:rPr>
          <w:rFonts w:hint="eastAsia"/>
        </w:rPr>
        <w:t>元，合计</w:t>
      </w:r>
      <w:r>
        <w:t>3</w:t>
      </w:r>
      <w:r>
        <w:rPr>
          <w:rFonts w:hint="eastAsia"/>
        </w:rPr>
        <w:t>0000</w:t>
      </w:r>
      <w:r>
        <w:rPr>
          <w:rFonts w:hint="eastAsia"/>
        </w:rPr>
        <w:t>元，由基金管理人承担。</w:t>
      </w:r>
    </w:p>
    <w:p w:rsidR="008B212B" w:rsidRDefault="0085081D">
      <w:pPr>
        <w:widowControl/>
        <w:spacing w:line="360" w:lineRule="auto"/>
        <w:ind w:firstLineChars="200" w:firstLine="420"/>
        <w:jc w:val="left"/>
      </w:pPr>
      <w:r>
        <w:rPr>
          <w:rFonts w:hint="eastAsia"/>
        </w:rPr>
        <w:t>本次基金份额持有人大会召集人华安基金管理有限公司将就本次会议情况报中国证券监督管理委员会备案。</w:t>
      </w:r>
    </w:p>
    <w:p w:rsidR="009E0275" w:rsidRDefault="009E0275">
      <w:pPr>
        <w:widowControl/>
        <w:spacing w:line="360" w:lineRule="auto"/>
        <w:ind w:firstLineChars="200" w:firstLine="420"/>
        <w:jc w:val="left"/>
      </w:pPr>
      <w:r w:rsidRPr="009E0275">
        <w:rPr>
          <w:rFonts w:hint="eastAsia"/>
        </w:rPr>
        <w:t>根据《中华人民共和国证券投资基金法》的规定以及</w:t>
      </w:r>
      <w:r w:rsidR="006510DE">
        <w:t>《基金合同》</w:t>
      </w:r>
      <w:r w:rsidRPr="009E0275">
        <w:rPr>
          <w:rFonts w:hint="eastAsia"/>
        </w:rPr>
        <w:t>的约定，基金管理人可以在本次基金份额持有人大会召开时间的</w:t>
      </w:r>
      <w:r w:rsidRPr="009E0275">
        <w:rPr>
          <w:rFonts w:hint="eastAsia"/>
        </w:rPr>
        <w:t>3</w:t>
      </w:r>
      <w:r w:rsidRPr="009E0275">
        <w:rPr>
          <w:rFonts w:hint="eastAsia"/>
        </w:rPr>
        <w:t>个月以后、</w:t>
      </w:r>
      <w:r w:rsidRPr="009E0275">
        <w:rPr>
          <w:rFonts w:hint="eastAsia"/>
        </w:rPr>
        <w:t>6</w:t>
      </w:r>
      <w:r w:rsidRPr="009E0275">
        <w:rPr>
          <w:rFonts w:hint="eastAsia"/>
        </w:rPr>
        <w:t>个月以内，就原定审议事项重新召集基金份额持有人大会。重新召集的基金份额持有人大会应当有代表三分之一以上（含三分之一）基金份额的持有人</w:t>
      </w:r>
      <w:r w:rsidR="00E021C6" w:rsidRPr="00E021C6">
        <w:rPr>
          <w:rFonts w:hint="eastAsia"/>
        </w:rPr>
        <w:t>直接出具表决意见或授权他人代表出具表决意见</w:t>
      </w:r>
      <w:r w:rsidRPr="009E0275">
        <w:rPr>
          <w:rFonts w:hint="eastAsia"/>
        </w:rPr>
        <w:t>。</w:t>
      </w:r>
    </w:p>
    <w:p w:rsidR="008B212B" w:rsidRDefault="0085081D" w:rsidP="007B2CB4">
      <w:pPr>
        <w:spacing w:line="360" w:lineRule="auto"/>
        <w:ind w:firstLineChars="200" w:firstLine="422"/>
        <w:rPr>
          <w:b/>
        </w:rPr>
      </w:pPr>
      <w:r>
        <w:rPr>
          <w:rFonts w:hint="eastAsia"/>
          <w:b/>
        </w:rPr>
        <w:t>二</w:t>
      </w:r>
      <w:r>
        <w:rPr>
          <w:b/>
        </w:rPr>
        <w:t>、备查文件</w:t>
      </w:r>
    </w:p>
    <w:p w:rsidR="008B212B" w:rsidRDefault="0085081D">
      <w:pPr>
        <w:spacing w:line="360" w:lineRule="auto"/>
        <w:ind w:firstLineChars="200" w:firstLine="420"/>
      </w:pPr>
      <w:r>
        <w:t>1</w:t>
      </w:r>
      <w:r>
        <w:t>、《</w:t>
      </w:r>
      <w:r>
        <w:rPr>
          <w:rFonts w:hint="eastAsia"/>
        </w:rPr>
        <w:t>华安基金管理有限公司</w:t>
      </w:r>
      <w:r>
        <w:t>关于以通讯方式召开</w:t>
      </w:r>
      <w:r w:rsidR="00A858FD">
        <w:t>华安</w:t>
      </w:r>
      <w:r w:rsidR="00A858FD">
        <w:t>CES</w:t>
      </w:r>
      <w:r w:rsidR="00A858FD">
        <w:t>港股通精选</w:t>
      </w:r>
      <w:r w:rsidR="00A858FD">
        <w:t>100</w:t>
      </w:r>
      <w:r w:rsidR="00A858FD">
        <w:t>交易型开放式指数证券投资基金联接基金</w:t>
      </w:r>
      <w:r>
        <w:t>基金份额持有人大会的公告》</w:t>
      </w:r>
    </w:p>
    <w:p w:rsidR="008B212B" w:rsidRDefault="0085081D">
      <w:pPr>
        <w:spacing w:line="360" w:lineRule="auto"/>
        <w:ind w:firstLineChars="200" w:firstLine="420"/>
      </w:pPr>
      <w:r>
        <w:lastRenderedPageBreak/>
        <w:t>2</w:t>
      </w:r>
      <w:r>
        <w:t>、《</w:t>
      </w:r>
      <w:r>
        <w:rPr>
          <w:rFonts w:hint="eastAsia"/>
        </w:rPr>
        <w:t>华安基金管理有限公司</w:t>
      </w:r>
      <w:r>
        <w:t>关于以通讯方式召开</w:t>
      </w:r>
      <w:r w:rsidR="00A858FD">
        <w:t>华安</w:t>
      </w:r>
      <w:r w:rsidR="00A858FD">
        <w:t>CES</w:t>
      </w:r>
      <w:r w:rsidR="00A858FD">
        <w:t>港股通精选</w:t>
      </w:r>
      <w:r w:rsidR="00A858FD">
        <w:t>100</w:t>
      </w:r>
      <w:r w:rsidR="00A858FD">
        <w:t>交易型开放式指数证券投资基金联接基金</w:t>
      </w:r>
      <w:r>
        <w:t>基金份额持有人大会的第一次提示性公告》</w:t>
      </w:r>
    </w:p>
    <w:p w:rsidR="008B212B" w:rsidRDefault="0085081D">
      <w:pPr>
        <w:spacing w:line="360" w:lineRule="auto"/>
        <w:ind w:firstLineChars="200" w:firstLine="420"/>
      </w:pPr>
      <w:r>
        <w:t>3</w:t>
      </w:r>
      <w:r>
        <w:t>、《</w:t>
      </w:r>
      <w:r>
        <w:rPr>
          <w:rFonts w:hint="eastAsia"/>
        </w:rPr>
        <w:t>华安基金管理有限公司</w:t>
      </w:r>
      <w:r>
        <w:t>关于以通讯方式召开</w:t>
      </w:r>
      <w:r w:rsidR="00A858FD">
        <w:t>华安</w:t>
      </w:r>
      <w:r w:rsidR="00A858FD">
        <w:t>CES</w:t>
      </w:r>
      <w:r w:rsidR="00A858FD">
        <w:t>港股通精选</w:t>
      </w:r>
      <w:r w:rsidR="00A858FD">
        <w:t>100</w:t>
      </w:r>
      <w:r w:rsidR="00A858FD">
        <w:t>交易型开放式指数证券投资基金联接基金</w:t>
      </w:r>
      <w:r>
        <w:t>基金份额持有人大会的第二次提示性公告》</w:t>
      </w:r>
    </w:p>
    <w:p w:rsidR="008B212B" w:rsidRDefault="0085081D">
      <w:pPr>
        <w:spacing w:line="360" w:lineRule="auto"/>
        <w:ind w:firstLineChars="200" w:firstLine="420"/>
      </w:pPr>
      <w:r>
        <w:t>4</w:t>
      </w:r>
      <w:r>
        <w:t>、上海市东方公证处出具的公证书</w:t>
      </w:r>
    </w:p>
    <w:p w:rsidR="008B212B" w:rsidRDefault="0085081D">
      <w:pPr>
        <w:spacing w:line="360" w:lineRule="auto"/>
        <w:ind w:firstLineChars="200" w:firstLine="420"/>
      </w:pPr>
      <w:r>
        <w:t>5</w:t>
      </w:r>
      <w:r>
        <w:t>、上海市通力律师事务所出具的法律意见书</w:t>
      </w:r>
    </w:p>
    <w:p w:rsidR="008B212B" w:rsidRDefault="008B212B">
      <w:pPr>
        <w:spacing w:line="360" w:lineRule="auto"/>
        <w:ind w:firstLineChars="200" w:firstLine="420"/>
      </w:pPr>
    </w:p>
    <w:p w:rsidR="008B212B" w:rsidRDefault="008B212B">
      <w:pPr>
        <w:spacing w:line="360" w:lineRule="auto"/>
        <w:ind w:firstLineChars="200" w:firstLine="420"/>
      </w:pPr>
    </w:p>
    <w:p w:rsidR="008B212B" w:rsidRDefault="0085081D">
      <w:pPr>
        <w:spacing w:line="360" w:lineRule="auto"/>
        <w:ind w:firstLineChars="200" w:firstLine="420"/>
      </w:pPr>
      <w:r>
        <w:t>特此公告。</w:t>
      </w:r>
    </w:p>
    <w:p w:rsidR="008B212B" w:rsidRDefault="008B212B">
      <w:pPr>
        <w:spacing w:line="360" w:lineRule="auto"/>
        <w:ind w:firstLine="420"/>
      </w:pPr>
    </w:p>
    <w:p w:rsidR="008B212B" w:rsidRDefault="008B212B">
      <w:pPr>
        <w:spacing w:line="360" w:lineRule="auto"/>
        <w:ind w:firstLine="420"/>
      </w:pPr>
    </w:p>
    <w:p w:rsidR="008B212B" w:rsidRDefault="008B212B">
      <w:pPr>
        <w:spacing w:line="360" w:lineRule="auto"/>
        <w:ind w:firstLine="420"/>
      </w:pPr>
    </w:p>
    <w:p w:rsidR="008B212B" w:rsidRDefault="0085081D">
      <w:pPr>
        <w:spacing w:line="360" w:lineRule="auto"/>
        <w:jc w:val="right"/>
      </w:pPr>
      <w:r>
        <w:rPr>
          <w:rFonts w:hint="eastAsia"/>
        </w:rPr>
        <w:t>华安基金管理有限公司</w:t>
      </w:r>
    </w:p>
    <w:p w:rsidR="008B212B" w:rsidRDefault="0085081D">
      <w:pPr>
        <w:spacing w:line="360" w:lineRule="auto"/>
        <w:jc w:val="right"/>
      </w:pPr>
      <w:r>
        <w:t>202</w:t>
      </w:r>
      <w:r w:rsidR="00B74DA5">
        <w:t>5</w:t>
      </w:r>
      <w:r>
        <w:t>年</w:t>
      </w:r>
      <w:r w:rsidR="00C76D3E">
        <w:t>2</w:t>
      </w:r>
      <w:r>
        <w:t>月</w:t>
      </w:r>
      <w:r w:rsidR="00B74DA5">
        <w:t>12</w:t>
      </w:r>
      <w:r>
        <w:t>日</w:t>
      </w:r>
    </w:p>
    <w:p w:rsidR="00022195" w:rsidRDefault="00022195">
      <w:pPr>
        <w:widowControl/>
        <w:jc w:val="left"/>
      </w:pPr>
      <w:r>
        <w:br w:type="page"/>
      </w:r>
    </w:p>
    <w:p w:rsidR="00022195" w:rsidRDefault="00022195" w:rsidP="00022195">
      <w:pPr>
        <w:spacing w:line="360" w:lineRule="auto"/>
        <w:jc w:val="left"/>
      </w:pPr>
      <w:r>
        <w:rPr>
          <w:rFonts w:hint="eastAsia"/>
        </w:rPr>
        <w:lastRenderedPageBreak/>
        <w:t>附件：</w:t>
      </w:r>
    </w:p>
    <w:p w:rsidR="00022195" w:rsidRDefault="00022195" w:rsidP="00022195">
      <w:pPr>
        <w:spacing w:line="360" w:lineRule="auto"/>
        <w:jc w:val="left"/>
      </w:pPr>
      <w:r>
        <w:rPr>
          <w:rFonts w:hint="eastAsia"/>
          <w:noProof/>
        </w:rPr>
        <w:drawing>
          <wp:inline distT="0" distB="0" distL="0" distR="0">
            <wp:extent cx="5274310" cy="74580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M_C360i25021114581_000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74310" cy="7458075"/>
                    </a:xfrm>
                    <a:prstGeom prst="rect">
                      <a:avLst/>
                    </a:prstGeom>
                  </pic:spPr>
                </pic:pic>
              </a:graphicData>
            </a:graphic>
          </wp:inline>
        </w:drawing>
      </w:r>
    </w:p>
    <w:p w:rsidR="007C3F5A" w:rsidRDefault="00022195" w:rsidP="007B2CB4">
      <w:pPr>
        <w:spacing w:line="360" w:lineRule="auto"/>
        <w:jc w:val="right"/>
      </w:pPr>
      <w:r>
        <w:rPr>
          <w:noProof/>
        </w:rPr>
        <w:drawing>
          <wp:inline distT="0" distB="0" distL="0" distR="0">
            <wp:extent cx="5274310" cy="74580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M_C360i25021114581_000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74310" cy="7458075"/>
                    </a:xfrm>
                    <a:prstGeom prst="rect">
                      <a:avLst/>
                    </a:prstGeom>
                  </pic:spPr>
                </pic:pic>
              </a:graphicData>
            </a:graphic>
          </wp:inline>
        </w:drawing>
      </w:r>
      <w:r>
        <w:rPr>
          <w:noProof/>
        </w:rPr>
        <w:drawing>
          <wp:inline distT="0" distB="0" distL="0" distR="0">
            <wp:extent cx="5274310" cy="74580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M_C360i25021114581_000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74310" cy="7458075"/>
                    </a:xfrm>
                    <a:prstGeom prst="rect">
                      <a:avLst/>
                    </a:prstGeom>
                  </pic:spPr>
                </pic:pic>
              </a:graphicData>
            </a:graphic>
          </wp:inline>
        </w:drawing>
      </w:r>
    </w:p>
    <w:sectPr w:rsidR="007C3F5A" w:rsidSect="00361F10">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E83" w:rsidRDefault="000D7E83">
      <w:r>
        <w:separator/>
      </w:r>
    </w:p>
  </w:endnote>
  <w:endnote w:type="continuationSeparator" w:id="0">
    <w:p w:rsidR="000D7E83" w:rsidRDefault="000D7E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64545"/>
      <w:docPartObj>
        <w:docPartGallery w:val="Page Numbers (Bottom of Page)"/>
        <w:docPartUnique/>
      </w:docPartObj>
    </w:sdtPr>
    <w:sdtContent>
      <w:p w:rsidR="008B212B" w:rsidRDefault="00361F10">
        <w:pPr>
          <w:pStyle w:val="a4"/>
          <w:jc w:val="center"/>
        </w:pPr>
        <w:r>
          <w:fldChar w:fldCharType="begin"/>
        </w:r>
        <w:r w:rsidR="0085081D">
          <w:instrText xml:space="preserve"> PAGE   \* MERGEFORMAT </w:instrText>
        </w:r>
        <w:r>
          <w:fldChar w:fldCharType="separate"/>
        </w:r>
        <w:r w:rsidR="00F8176C" w:rsidRPr="00F8176C">
          <w:rPr>
            <w:noProof/>
            <w:lang w:val="zh-CN"/>
          </w:rPr>
          <w:t>1</w:t>
        </w:r>
        <w:r>
          <w:fldChar w:fldCharType="end"/>
        </w:r>
      </w:p>
    </w:sdtContent>
  </w:sdt>
  <w:p w:rsidR="008B212B" w:rsidRDefault="008B212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E83" w:rsidRDefault="000D7E83">
      <w:r>
        <w:separator/>
      </w:r>
    </w:p>
  </w:footnote>
  <w:footnote w:type="continuationSeparator" w:id="0">
    <w:p w:rsidR="000D7E83" w:rsidRDefault="000D7E8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B212B"/>
    <w:rsid w:val="00022195"/>
    <w:rsid w:val="000C307D"/>
    <w:rsid w:val="000D7E83"/>
    <w:rsid w:val="00262474"/>
    <w:rsid w:val="0026712F"/>
    <w:rsid w:val="0029105A"/>
    <w:rsid w:val="002E1CD4"/>
    <w:rsid w:val="002E3DD8"/>
    <w:rsid w:val="0030131F"/>
    <w:rsid w:val="00321AB7"/>
    <w:rsid w:val="00361F10"/>
    <w:rsid w:val="00390B42"/>
    <w:rsid w:val="003C3218"/>
    <w:rsid w:val="00566E58"/>
    <w:rsid w:val="00570B02"/>
    <w:rsid w:val="006218EE"/>
    <w:rsid w:val="00627A03"/>
    <w:rsid w:val="006510DE"/>
    <w:rsid w:val="00661600"/>
    <w:rsid w:val="006A0673"/>
    <w:rsid w:val="007B2CB4"/>
    <w:rsid w:val="007C3F5A"/>
    <w:rsid w:val="007F54A6"/>
    <w:rsid w:val="00812EBB"/>
    <w:rsid w:val="0085081D"/>
    <w:rsid w:val="0087559A"/>
    <w:rsid w:val="008B212B"/>
    <w:rsid w:val="009407B2"/>
    <w:rsid w:val="00990EB8"/>
    <w:rsid w:val="009A51B2"/>
    <w:rsid w:val="009C3B3A"/>
    <w:rsid w:val="009E0275"/>
    <w:rsid w:val="00A409D1"/>
    <w:rsid w:val="00A858FD"/>
    <w:rsid w:val="00B565AF"/>
    <w:rsid w:val="00B74DA5"/>
    <w:rsid w:val="00B8095D"/>
    <w:rsid w:val="00BB60D2"/>
    <w:rsid w:val="00C76D3E"/>
    <w:rsid w:val="00D33A25"/>
    <w:rsid w:val="00D6207B"/>
    <w:rsid w:val="00D85B3D"/>
    <w:rsid w:val="00E021C6"/>
    <w:rsid w:val="00E047C0"/>
    <w:rsid w:val="00E12760"/>
    <w:rsid w:val="00E4002A"/>
    <w:rsid w:val="00E702A3"/>
    <w:rsid w:val="00E95CCB"/>
    <w:rsid w:val="00F01E05"/>
    <w:rsid w:val="00F20D21"/>
    <w:rsid w:val="00F8176C"/>
    <w:rsid w:val="00FF4A8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F1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61F1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rsid w:val="00361F10"/>
    <w:rPr>
      <w:kern w:val="2"/>
      <w:sz w:val="18"/>
      <w:szCs w:val="18"/>
    </w:rPr>
  </w:style>
  <w:style w:type="paragraph" w:styleId="a4">
    <w:name w:val="footer"/>
    <w:basedOn w:val="a"/>
    <w:link w:val="Char0"/>
    <w:uiPriority w:val="99"/>
    <w:rsid w:val="00361F10"/>
    <w:pPr>
      <w:tabs>
        <w:tab w:val="center" w:pos="4153"/>
        <w:tab w:val="right" w:pos="8306"/>
      </w:tabs>
      <w:snapToGrid w:val="0"/>
      <w:jc w:val="left"/>
    </w:pPr>
    <w:rPr>
      <w:sz w:val="18"/>
      <w:szCs w:val="18"/>
    </w:rPr>
  </w:style>
  <w:style w:type="character" w:customStyle="1" w:styleId="Char0">
    <w:name w:val="页脚 Char"/>
    <w:link w:val="a4"/>
    <w:uiPriority w:val="99"/>
    <w:rsid w:val="00361F10"/>
    <w:rPr>
      <w:kern w:val="2"/>
      <w:sz w:val="18"/>
      <w:szCs w:val="18"/>
    </w:rPr>
  </w:style>
  <w:style w:type="paragraph" w:styleId="a5">
    <w:name w:val="Balloon Text"/>
    <w:basedOn w:val="a"/>
    <w:link w:val="Char1"/>
    <w:rsid w:val="00361F10"/>
    <w:rPr>
      <w:sz w:val="18"/>
      <w:szCs w:val="18"/>
    </w:rPr>
  </w:style>
  <w:style w:type="character" w:customStyle="1" w:styleId="Char1">
    <w:name w:val="批注框文本 Char"/>
    <w:link w:val="a5"/>
    <w:rsid w:val="00361F10"/>
    <w:rPr>
      <w:kern w:val="2"/>
      <w:sz w:val="18"/>
      <w:szCs w:val="18"/>
    </w:rPr>
  </w:style>
  <w:style w:type="character" w:styleId="a6">
    <w:name w:val="annotation reference"/>
    <w:rsid w:val="00361F10"/>
    <w:rPr>
      <w:sz w:val="21"/>
      <w:szCs w:val="21"/>
    </w:rPr>
  </w:style>
  <w:style w:type="paragraph" w:styleId="a7">
    <w:name w:val="annotation text"/>
    <w:basedOn w:val="a"/>
    <w:link w:val="Char2"/>
    <w:rsid w:val="00361F10"/>
    <w:pPr>
      <w:jc w:val="left"/>
    </w:pPr>
  </w:style>
  <w:style w:type="character" w:customStyle="1" w:styleId="Char2">
    <w:name w:val="批注文字 Char"/>
    <w:link w:val="a7"/>
    <w:rsid w:val="00361F10"/>
    <w:rPr>
      <w:kern w:val="2"/>
      <w:sz w:val="21"/>
      <w:szCs w:val="24"/>
    </w:rPr>
  </w:style>
  <w:style w:type="paragraph" w:styleId="a8">
    <w:name w:val="annotation subject"/>
    <w:basedOn w:val="a7"/>
    <w:next w:val="a7"/>
    <w:link w:val="Char3"/>
    <w:rsid w:val="00361F10"/>
    <w:rPr>
      <w:b/>
      <w:bCs/>
    </w:rPr>
  </w:style>
  <w:style w:type="character" w:customStyle="1" w:styleId="Char3">
    <w:name w:val="批注主题 Char"/>
    <w:link w:val="a8"/>
    <w:rsid w:val="00361F10"/>
    <w:rPr>
      <w:b/>
      <w:bCs/>
      <w:kern w:val="2"/>
      <w:sz w:val="21"/>
      <w:szCs w:val="24"/>
    </w:rPr>
  </w:style>
  <w:style w:type="paragraph" w:customStyle="1" w:styleId="Default">
    <w:name w:val="Default"/>
    <w:rsid w:val="00361F10"/>
    <w:pPr>
      <w:widowControl w:val="0"/>
      <w:autoSpaceDE w:val="0"/>
      <w:autoSpaceDN w:val="0"/>
      <w:adjustRightInd w:val="0"/>
    </w:pPr>
    <w:rPr>
      <w:rFonts w:ascii="宋体" w:cs="宋体"/>
      <w:color w:val="000000"/>
      <w:sz w:val="24"/>
      <w:szCs w:val="24"/>
    </w:rPr>
  </w:style>
  <w:style w:type="table" w:styleId="a9">
    <w:name w:val="Table Grid"/>
    <w:basedOn w:val="a1"/>
    <w:rsid w:val="00361F1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Revision"/>
    <w:hidden/>
    <w:uiPriority w:val="99"/>
    <w:semiHidden/>
    <w:rsid w:val="00361F10"/>
    <w:rPr>
      <w:kern w:val="2"/>
      <w:sz w:val="21"/>
      <w:szCs w:val="24"/>
    </w:rPr>
  </w:style>
  <w:style w:type="paragraph" w:styleId="ab">
    <w:name w:val="Date"/>
    <w:basedOn w:val="a"/>
    <w:next w:val="a"/>
    <w:link w:val="Char4"/>
    <w:rsid w:val="007C3F5A"/>
    <w:pPr>
      <w:ind w:leftChars="2500" w:left="100"/>
    </w:pPr>
  </w:style>
  <w:style w:type="character" w:customStyle="1" w:styleId="Char4">
    <w:name w:val="日期 Char"/>
    <w:basedOn w:val="a0"/>
    <w:link w:val="ab"/>
    <w:rsid w:val="007C3F5A"/>
    <w:rPr>
      <w:kern w:val="2"/>
      <w:sz w:val="21"/>
      <w:szCs w:val="24"/>
    </w:rPr>
  </w:style>
</w:styles>
</file>

<file path=word/webSettings.xml><?xml version="1.0" encoding="utf-8"?>
<w:webSettings xmlns:r="http://schemas.openxmlformats.org/officeDocument/2006/relationships" xmlns:w="http://schemas.openxmlformats.org/wordprocessingml/2006/main">
  <w:divs>
    <w:div w:id="1026709894">
      <w:bodyDiv w:val="1"/>
      <w:marLeft w:val="0"/>
      <w:marRight w:val="0"/>
      <w:marTop w:val="0"/>
      <w:marBottom w:val="0"/>
      <w:divBdr>
        <w:top w:val="none" w:sz="0" w:space="0" w:color="auto"/>
        <w:left w:val="none" w:sz="0" w:space="0" w:color="auto"/>
        <w:bottom w:val="none" w:sz="0" w:space="0" w:color="auto"/>
        <w:right w:val="none" w:sz="0" w:space="0" w:color="auto"/>
      </w:divBdr>
    </w:div>
    <w:div w:id="118844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3CDBF-793B-4903-8EF7-4FC1ACCE2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166</Words>
  <Characters>947</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大成基金管理有限公司关于兴业证券投资基金</vt:lpstr>
    </vt:vector>
  </TitlesOfParts>
  <Company>微软中国</Company>
  <LinksUpToDate>false</LinksUpToDate>
  <CharactersWithSpaces>1111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ZHONGM</cp:lastModifiedBy>
  <cp:revision>2</cp:revision>
  <cp:lastPrinted>2020-09-29T07:46:00Z</cp:lastPrinted>
  <dcterms:created xsi:type="dcterms:W3CDTF">2025-02-11T16:01:00Z</dcterms:created>
  <dcterms:modified xsi:type="dcterms:W3CDTF">2025-02-11T16:01:00Z</dcterms:modified>
</cp:coreProperties>
</file>