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68" w:rsidRDefault="0001484A">
      <w:pPr>
        <w:widowControl/>
        <w:spacing w:line="276" w:lineRule="auto"/>
        <w:jc w:val="center"/>
        <w:rPr>
          <w:rFonts w:ascii="宋体" w:eastAsia="宋体" w:hAnsi="宋体" w:cs="宋体"/>
          <w:kern w:val="0"/>
          <w:sz w:val="32"/>
          <w:szCs w:val="32"/>
        </w:rPr>
      </w:pPr>
      <w:r>
        <w:rPr>
          <w:rFonts w:ascii="宋体" w:eastAsia="宋体" w:hAnsi="宋体" w:cs="宋体" w:hint="eastAsia"/>
          <w:b/>
          <w:bCs/>
          <w:color w:val="000000"/>
          <w:kern w:val="0"/>
          <w:sz w:val="32"/>
          <w:szCs w:val="32"/>
        </w:rPr>
        <w:t>中航基金管理有限公司关于调整中航瑞夏一年定期开放债券型发起式证券投资基金申购</w:t>
      </w:r>
      <w:r w:rsidR="00493DC6">
        <w:rPr>
          <w:rFonts w:ascii="宋体" w:eastAsia="宋体" w:hAnsi="宋体" w:cs="宋体" w:hint="eastAsia"/>
          <w:b/>
          <w:bCs/>
          <w:color w:val="000000"/>
          <w:kern w:val="0"/>
          <w:sz w:val="32"/>
          <w:szCs w:val="32"/>
        </w:rPr>
        <w:t>、赎回起点及</w:t>
      </w:r>
      <w:r w:rsidR="00493DC6" w:rsidRPr="00493DC6">
        <w:rPr>
          <w:rFonts w:ascii="宋体" w:eastAsia="宋体" w:hAnsi="宋体" w:cs="宋体" w:hint="eastAsia"/>
          <w:b/>
          <w:bCs/>
          <w:color w:val="000000"/>
          <w:kern w:val="0"/>
          <w:sz w:val="32"/>
          <w:szCs w:val="32"/>
        </w:rPr>
        <w:t>最低持有数量</w:t>
      </w:r>
      <w:r>
        <w:rPr>
          <w:rFonts w:ascii="宋体" w:eastAsia="宋体" w:hAnsi="宋体" w:cs="宋体" w:hint="eastAsia"/>
          <w:b/>
          <w:bCs/>
          <w:color w:val="000000"/>
          <w:kern w:val="0"/>
          <w:sz w:val="32"/>
          <w:szCs w:val="32"/>
        </w:rPr>
        <w:t>限制的公告</w:t>
      </w:r>
    </w:p>
    <w:p w:rsidR="00A12D68" w:rsidRPr="00493DC6" w:rsidRDefault="00A12D68">
      <w:pPr>
        <w:widowControl/>
        <w:spacing w:line="276" w:lineRule="auto"/>
        <w:ind w:firstLineChars="200" w:firstLine="560"/>
        <w:jc w:val="left"/>
        <w:rPr>
          <w:rFonts w:ascii="宋体" w:eastAsia="宋体" w:hAnsi="宋体" w:cs="宋体"/>
          <w:color w:val="000000"/>
          <w:kern w:val="0"/>
          <w:sz w:val="28"/>
          <w:szCs w:val="28"/>
        </w:rPr>
      </w:pPr>
    </w:p>
    <w:p w:rsidR="00A12D68" w:rsidRDefault="0001484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kern w:val="0"/>
          <w:sz w:val="24"/>
          <w:szCs w:val="24"/>
        </w:rPr>
        <w:t>为满足不同市场情况下投资者日益多样化的需求，提高产品市场竞争力，根据《中华人民共和国证券投资基金法》、《公开募集证券投资基金运作管理办法》等法律法规的规定和《中航瑞夏一年定期开放债券型发起式证券投资基金</w:t>
      </w:r>
      <w:r>
        <w:rPr>
          <w:rFonts w:ascii="宋体" w:eastAsia="宋体" w:hAnsi="宋体" w:cs="宋体"/>
          <w:color w:val="000000"/>
          <w:kern w:val="0"/>
          <w:sz w:val="24"/>
          <w:szCs w:val="24"/>
        </w:rPr>
        <w:t>基金合同</w:t>
      </w:r>
      <w:r>
        <w:rPr>
          <w:rFonts w:ascii="宋体" w:eastAsia="宋体" w:hAnsi="宋体" w:cs="宋体" w:hint="eastAsia"/>
          <w:color w:val="000000"/>
          <w:kern w:val="0"/>
          <w:sz w:val="24"/>
          <w:szCs w:val="24"/>
        </w:rPr>
        <w:t>》（以下简称“《基金合同》”）的有关约定，中航基金管理有限公司（以下简称“本公司”）决定自</w:t>
      </w:r>
      <w:r>
        <w:rPr>
          <w:rFonts w:ascii="宋体" w:eastAsia="宋体" w:hAnsi="宋体" w:cs="宋体" w:hint="eastAsia"/>
          <w:color w:val="000000"/>
          <w:kern w:val="0"/>
          <w:sz w:val="24"/>
          <w:szCs w:val="24"/>
        </w:rPr>
        <w:t xml:space="preserve"> 2025</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w:t>
      </w:r>
      <w:r w:rsidR="007471FC">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日起，调整中航瑞夏一年</w:t>
      </w:r>
      <w:r>
        <w:rPr>
          <w:rFonts w:ascii="宋体" w:eastAsia="宋体" w:hAnsi="宋体" w:cs="宋体" w:hint="eastAsia"/>
          <w:color w:val="000000"/>
          <w:kern w:val="0"/>
          <w:sz w:val="24"/>
          <w:szCs w:val="24"/>
        </w:rPr>
        <w:t>定期开放债券型发起式证券投资基金（以下简称“本基金”）</w:t>
      </w: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类和</w:t>
      </w: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类基金份额（</w:t>
      </w: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类代码：</w:t>
      </w:r>
      <w:r>
        <w:rPr>
          <w:rFonts w:ascii="宋体" w:eastAsia="宋体" w:hAnsi="宋体" w:cs="宋体" w:hint="eastAsia"/>
          <w:color w:val="000000"/>
          <w:kern w:val="0"/>
          <w:sz w:val="24"/>
          <w:szCs w:val="24"/>
        </w:rPr>
        <w:t>014435/C</w:t>
      </w:r>
      <w:r>
        <w:rPr>
          <w:rFonts w:ascii="宋体" w:eastAsia="宋体" w:hAnsi="宋体" w:cs="宋体" w:hint="eastAsia"/>
          <w:color w:val="000000"/>
          <w:kern w:val="0"/>
          <w:sz w:val="24"/>
          <w:szCs w:val="24"/>
        </w:rPr>
        <w:t>类代码：</w:t>
      </w:r>
      <w:r>
        <w:rPr>
          <w:rFonts w:ascii="宋体" w:eastAsia="宋体" w:hAnsi="宋体" w:cs="宋体" w:hint="eastAsia"/>
          <w:color w:val="000000"/>
          <w:kern w:val="0"/>
          <w:sz w:val="24"/>
          <w:szCs w:val="24"/>
        </w:rPr>
        <w:t>014436</w:t>
      </w:r>
      <w:r>
        <w:rPr>
          <w:rFonts w:ascii="宋体" w:eastAsia="宋体" w:hAnsi="宋体" w:cs="宋体" w:hint="eastAsia"/>
          <w:color w:val="000000"/>
          <w:kern w:val="0"/>
          <w:sz w:val="24"/>
          <w:szCs w:val="24"/>
        </w:rPr>
        <w:t>）的</w:t>
      </w:r>
      <w:r w:rsidR="00493DC6" w:rsidRPr="00493DC6">
        <w:rPr>
          <w:rFonts w:ascii="宋体" w:eastAsia="宋体" w:hAnsi="宋体" w:cs="宋体" w:hint="eastAsia"/>
          <w:color w:val="000000"/>
          <w:kern w:val="0"/>
          <w:sz w:val="24"/>
          <w:szCs w:val="24"/>
        </w:rPr>
        <w:t>申购、赎回起点及最低持有数量</w:t>
      </w:r>
      <w:r>
        <w:rPr>
          <w:rFonts w:ascii="宋体" w:eastAsia="宋体" w:hAnsi="宋体" w:cs="宋体" w:hint="eastAsia"/>
          <w:color w:val="000000"/>
          <w:kern w:val="0"/>
          <w:sz w:val="24"/>
          <w:szCs w:val="24"/>
        </w:rPr>
        <w:t>限制</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现将有关事项公告如下：</w:t>
      </w:r>
    </w:p>
    <w:p w:rsidR="00A12D68" w:rsidRDefault="00A12D68">
      <w:pPr>
        <w:widowControl/>
        <w:spacing w:line="360" w:lineRule="auto"/>
        <w:ind w:firstLineChars="200" w:firstLine="480"/>
        <w:rPr>
          <w:rFonts w:ascii="宋体" w:eastAsia="宋体" w:hAnsi="宋体" w:cs="宋体"/>
          <w:color w:val="000000"/>
          <w:kern w:val="0"/>
          <w:sz w:val="24"/>
          <w:szCs w:val="24"/>
        </w:rPr>
      </w:pPr>
    </w:p>
    <w:p w:rsidR="00A12D68" w:rsidRDefault="0001484A">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color w:val="000000"/>
          <w:kern w:val="0"/>
          <w:sz w:val="24"/>
          <w:szCs w:val="24"/>
        </w:rPr>
        <w:t>一、调整方案</w:t>
      </w:r>
    </w:p>
    <w:p w:rsidR="00DA165C" w:rsidRDefault="00DA165C">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1、自 2025年2月1</w:t>
      </w:r>
      <w:r w:rsidR="00C214BB">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日起，</w:t>
      </w:r>
      <w:r w:rsidR="00406011" w:rsidRPr="00406011">
        <w:rPr>
          <w:rFonts w:ascii="宋体" w:eastAsia="宋体" w:hAnsi="宋体" w:cs="宋体" w:hint="eastAsia"/>
          <w:color w:val="000000"/>
          <w:kern w:val="0"/>
          <w:sz w:val="24"/>
          <w:szCs w:val="24"/>
        </w:rPr>
        <w:t>投资人通过直销柜台和非直销销售机构</w:t>
      </w:r>
      <w:r>
        <w:rPr>
          <w:rFonts w:ascii="宋体" w:eastAsia="宋体" w:hAnsi="宋体" w:cs="宋体" w:hint="eastAsia"/>
          <w:color w:val="000000"/>
          <w:kern w:val="0"/>
          <w:sz w:val="24"/>
          <w:szCs w:val="24"/>
        </w:rPr>
        <w:t>申购本基金A类或C类基金份额，每个基金账户首次申购的单笔最低申购金额调整为人民币1元（含申购费），追加购买单笔最低金额为人民币1元（含申购费）。</w:t>
      </w:r>
    </w:p>
    <w:p w:rsidR="00A12D68" w:rsidRDefault="0001484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kern w:val="0"/>
          <w:sz w:val="24"/>
          <w:szCs w:val="24"/>
        </w:rPr>
        <w:t>各销售机构在不低于上述规定的前提下，可根据自己的情况调整首次最低申购金额、最低追加申购金额限制，投资人在销售机构办理相关业务时，需遵循销售机构的相关约定。</w:t>
      </w:r>
    </w:p>
    <w:p w:rsidR="00A12D68" w:rsidRDefault="00DA165C">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2、自 2025年2月11日起</w:t>
      </w:r>
      <w:r w:rsidRPr="00DA165C">
        <w:rPr>
          <w:rFonts w:ascii="宋体" w:eastAsia="宋体" w:hAnsi="宋体" w:cs="宋体" w:hint="eastAsia"/>
          <w:color w:val="000000"/>
          <w:kern w:val="0"/>
          <w:sz w:val="24"/>
          <w:szCs w:val="24"/>
        </w:rPr>
        <w:t>，基金份额持有人在</w:t>
      </w:r>
      <w:r w:rsidRPr="00406011">
        <w:rPr>
          <w:rFonts w:ascii="宋体" w:eastAsia="宋体" w:hAnsi="宋体" w:cs="宋体" w:hint="eastAsia"/>
          <w:color w:val="000000"/>
          <w:kern w:val="0"/>
          <w:sz w:val="24"/>
          <w:szCs w:val="24"/>
        </w:rPr>
        <w:t>直销柜台和非直销销售机构</w:t>
      </w:r>
      <w:r w:rsidRPr="00DA165C">
        <w:rPr>
          <w:rFonts w:ascii="宋体" w:eastAsia="宋体" w:hAnsi="宋体" w:cs="宋体" w:hint="eastAsia"/>
          <w:color w:val="000000"/>
          <w:kern w:val="0"/>
          <w:sz w:val="24"/>
          <w:szCs w:val="24"/>
        </w:rPr>
        <w:t>赎回时，每次赎回基金份额不得低于1份</w:t>
      </w:r>
      <w:r w:rsidR="005A62DD">
        <w:rPr>
          <w:rFonts w:ascii="宋体" w:eastAsia="宋体" w:hAnsi="宋体" w:cs="宋体" w:hint="eastAsia"/>
          <w:color w:val="000000"/>
          <w:kern w:val="0"/>
          <w:sz w:val="24"/>
          <w:szCs w:val="24"/>
        </w:rPr>
        <w:t>；</w:t>
      </w:r>
      <w:r w:rsidRPr="00DA165C">
        <w:rPr>
          <w:rFonts w:ascii="宋体" w:eastAsia="宋体" w:hAnsi="宋体" w:cs="宋体" w:hint="eastAsia"/>
          <w:color w:val="000000"/>
          <w:kern w:val="0"/>
          <w:sz w:val="24"/>
          <w:szCs w:val="24"/>
        </w:rPr>
        <w:t>每个交易账户最低持有基金份额余额为1份，若某笔赎回导致单个交易账户的基金份额余额少于1份时,余额部分基金份额必须一同赎回。</w:t>
      </w:r>
    </w:p>
    <w:p w:rsidR="00D1585F" w:rsidRPr="005A62DD" w:rsidRDefault="00D1585F" w:rsidP="00D1585F">
      <w:pPr>
        <w:widowControl/>
        <w:spacing w:line="360" w:lineRule="auto"/>
        <w:rPr>
          <w:rFonts w:ascii="宋体" w:eastAsia="宋体" w:hAnsi="宋体" w:cs="宋体"/>
          <w:color w:val="000000"/>
          <w:kern w:val="0"/>
          <w:sz w:val="24"/>
          <w:szCs w:val="24"/>
        </w:rPr>
      </w:pPr>
    </w:p>
    <w:p w:rsidR="00A12D68" w:rsidRDefault="0001484A">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color w:val="000000"/>
          <w:kern w:val="0"/>
          <w:sz w:val="24"/>
          <w:szCs w:val="24"/>
        </w:rPr>
        <w:t>二、其他需要注意的事项</w:t>
      </w:r>
    </w:p>
    <w:p w:rsidR="00A12D68" w:rsidRDefault="0001484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、本次调整方案所涉及的招募说明书相关内容，将在更新招募说明书时一并予以调整。</w:t>
      </w:r>
    </w:p>
    <w:p w:rsidR="00A12D68" w:rsidRDefault="0001484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kern w:val="0"/>
          <w:sz w:val="24"/>
          <w:szCs w:val="24"/>
        </w:rPr>
        <w:lastRenderedPageBreak/>
        <w:t>2</w:t>
      </w:r>
      <w:r>
        <w:rPr>
          <w:rFonts w:ascii="宋体" w:eastAsia="宋体" w:hAnsi="宋体" w:cs="宋体" w:hint="eastAsia"/>
          <w:color w:val="000000"/>
          <w:kern w:val="0"/>
          <w:sz w:val="24"/>
          <w:szCs w:val="24"/>
        </w:rPr>
        <w:t>、本公告涉及上述业务的最终解释权归本公司。基金投资人应按照法律法规及产品文件约定办理基金申购、赎回，为保护全体基金持有人利益，对存在异常情况的交易申请，本公司有权拒绝。</w:t>
      </w:r>
    </w:p>
    <w:p w:rsidR="00A12D68" w:rsidRDefault="0001484A">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、投资人可访问本公司网站（</w:t>
      </w:r>
      <w:r>
        <w:rPr>
          <w:rFonts w:ascii="宋体" w:eastAsia="宋体" w:hAnsi="宋体" w:cs="宋体"/>
          <w:color w:val="000000"/>
          <w:kern w:val="0"/>
          <w:sz w:val="24"/>
          <w:szCs w:val="24"/>
        </w:rPr>
        <w:t>www.avicfund.cn</w:t>
      </w:r>
      <w:r>
        <w:rPr>
          <w:rFonts w:ascii="宋体" w:eastAsia="宋体" w:hAnsi="宋体" w:cs="宋体" w:hint="eastAsia"/>
          <w:color w:val="000000"/>
          <w:kern w:val="0"/>
          <w:sz w:val="24"/>
          <w:szCs w:val="24"/>
        </w:rPr>
        <w:t>）拨打全国客户服务电话（</w:t>
      </w:r>
      <w:r>
        <w:rPr>
          <w:rFonts w:ascii="宋体" w:eastAsia="宋体" w:hAnsi="宋体" w:cs="宋体"/>
          <w:color w:val="000000"/>
          <w:kern w:val="0"/>
          <w:sz w:val="24"/>
          <w:szCs w:val="24"/>
        </w:rPr>
        <w:t>400-666-2186</w:t>
      </w:r>
      <w:r>
        <w:rPr>
          <w:rFonts w:ascii="宋体" w:eastAsia="宋体" w:hAnsi="宋体" w:cs="宋体" w:hint="eastAsia"/>
          <w:color w:val="000000"/>
          <w:kern w:val="0"/>
          <w:sz w:val="24"/>
          <w:szCs w:val="24"/>
        </w:rPr>
        <w:t>）咨询相关情况。</w:t>
      </w:r>
    </w:p>
    <w:p w:rsidR="00A12D68" w:rsidRDefault="00A12D68">
      <w:pPr>
        <w:widowControl/>
        <w:spacing w:line="360" w:lineRule="auto"/>
        <w:ind w:firstLineChars="200" w:firstLine="480"/>
        <w:rPr>
          <w:rFonts w:ascii="宋体" w:eastAsia="宋体" w:hAnsi="宋体" w:cs="宋体"/>
          <w:color w:val="000000"/>
          <w:kern w:val="0"/>
          <w:sz w:val="24"/>
          <w:szCs w:val="24"/>
        </w:rPr>
      </w:pPr>
    </w:p>
    <w:p w:rsidR="00A12D68" w:rsidRDefault="0001484A">
      <w:pPr>
        <w:widowControl/>
        <w:spacing w:line="360" w:lineRule="auto"/>
        <w:ind w:firstLineChars="200" w:firstLine="482"/>
        <w:rPr>
          <w:rFonts w:ascii="宋体" w:eastAsia="宋体" w:hAnsi="宋体" w:cs="宋体"/>
          <w:kern w:val="0"/>
          <w:sz w:val="24"/>
          <w:szCs w:val="24"/>
        </w:rPr>
      </w:pPr>
      <w:r>
        <w:rPr>
          <w:rFonts w:ascii="宋体" w:eastAsia="宋体" w:hAnsi="宋体" w:cs="宋体" w:hint="eastAsia"/>
          <w:b/>
          <w:bCs/>
          <w:color w:val="000000"/>
          <w:kern w:val="0"/>
          <w:sz w:val="24"/>
          <w:szCs w:val="24"/>
        </w:rPr>
        <w:t>风险提示：</w:t>
      </w:r>
      <w:r>
        <w:rPr>
          <w:rFonts w:ascii="宋体" w:eastAsia="宋体" w:hAnsi="宋体" w:cs="宋体" w:hint="eastAsia"/>
          <w:color w:val="000000"/>
          <w:kern w:val="0"/>
          <w:sz w:val="24"/>
          <w:szCs w:val="24"/>
        </w:rPr>
        <w:t>本基金管理人承诺以恪尽职守、诚实信用、谨慎勤勉的原则管理和运用基金资产，但不保证本基金一定盈利，也不保证最低收益。投资人应当认真阅读基金合同、基金招募说明书等信息披露文件，自主判断基金的投资价值，自主做出</w:t>
      </w:r>
      <w:r>
        <w:rPr>
          <w:rFonts w:ascii="宋体" w:eastAsia="宋体" w:hAnsi="宋体" w:cs="宋体" w:hint="eastAsia"/>
          <w:color w:val="000000"/>
          <w:kern w:val="0"/>
          <w:sz w:val="24"/>
          <w:szCs w:val="24"/>
        </w:rPr>
        <w:t>投资决策，自行承担投资风险。本基金的过往业绩及其净值高低并不预示其未来业绩表现。本基金管理人所管理的其他基金的业绩并不构成对本基金业绩表现的保证。本基金管理人提醒投资人基金投资的“买者自负”原则，在做出投资决策后，基金运营状况与基金净值变化引致的投资风险，由投资人自行负担。</w:t>
      </w:r>
    </w:p>
    <w:p w:rsidR="00A12D68" w:rsidRDefault="00A12D68">
      <w:pPr>
        <w:widowControl/>
        <w:spacing w:line="360" w:lineRule="auto"/>
        <w:ind w:firstLineChars="200" w:firstLine="480"/>
        <w:rPr>
          <w:rFonts w:ascii="宋体" w:eastAsia="宋体" w:hAnsi="宋体" w:cs="宋体"/>
          <w:color w:val="000000"/>
          <w:kern w:val="0"/>
          <w:sz w:val="24"/>
          <w:szCs w:val="24"/>
        </w:rPr>
      </w:pPr>
    </w:p>
    <w:p w:rsidR="00A12D68" w:rsidRDefault="0001484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kern w:val="0"/>
          <w:sz w:val="24"/>
          <w:szCs w:val="24"/>
        </w:rPr>
        <w:t>特此公告。</w:t>
      </w:r>
    </w:p>
    <w:p w:rsidR="00A12D68" w:rsidRDefault="00A12D68">
      <w:pPr>
        <w:widowControl/>
        <w:spacing w:line="276" w:lineRule="auto"/>
        <w:jc w:val="right"/>
        <w:rPr>
          <w:rFonts w:ascii="宋体" w:eastAsia="宋体" w:hAnsi="宋体" w:cs="宋体"/>
          <w:color w:val="000000"/>
          <w:kern w:val="0"/>
          <w:sz w:val="24"/>
          <w:szCs w:val="24"/>
        </w:rPr>
      </w:pPr>
    </w:p>
    <w:p w:rsidR="00A12D68" w:rsidRDefault="0001484A">
      <w:pPr>
        <w:widowControl/>
        <w:spacing w:line="360" w:lineRule="auto"/>
        <w:jc w:val="right"/>
        <w:rPr>
          <w:rFonts w:ascii="宋体" w:eastAsia="宋体" w:hAnsi="宋体" w:cs="宋体"/>
          <w:kern w:val="0"/>
          <w:sz w:val="24"/>
          <w:szCs w:val="24"/>
        </w:rPr>
      </w:pPr>
      <w:r>
        <w:rPr>
          <w:rFonts w:ascii="宋体" w:eastAsia="宋体" w:hAnsi="宋体" w:cs="宋体" w:hint="eastAsia"/>
          <w:color w:val="000000"/>
          <w:kern w:val="0"/>
          <w:sz w:val="24"/>
          <w:szCs w:val="24"/>
        </w:rPr>
        <w:t>中航基金管理有限公司</w:t>
      </w:r>
    </w:p>
    <w:p w:rsidR="00A12D68" w:rsidRDefault="0001484A">
      <w:pPr>
        <w:spacing w:line="360" w:lineRule="auto"/>
        <w:jc w:val="right"/>
        <w:rPr>
          <w:rFonts w:ascii="宋体" w:eastAsia="宋体" w:hAnsi="宋体"/>
          <w:sz w:val="24"/>
          <w:szCs w:val="24"/>
        </w:rPr>
      </w:pPr>
      <w:r>
        <w:rPr>
          <w:rFonts w:ascii="宋体" w:eastAsia="宋体" w:hAnsi="宋体" w:cs="宋体" w:hint="eastAsia"/>
          <w:color w:val="000000"/>
          <w:kern w:val="0"/>
          <w:sz w:val="24"/>
          <w:szCs w:val="24"/>
        </w:rPr>
        <w:t>2025</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月</w:t>
      </w:r>
      <w:r w:rsidR="007471FC">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日</w:t>
      </w:r>
    </w:p>
    <w:sectPr w:rsidR="00A12D68" w:rsidSect="00C36E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D96" w:rsidRDefault="00B53D96">
      <w:r>
        <w:separator/>
      </w:r>
    </w:p>
  </w:endnote>
  <w:endnote w:type="continuationSeparator" w:id="0">
    <w:p w:rsidR="00B53D96" w:rsidRDefault="00B53D9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68" w:rsidRDefault="00C36E62">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rsidR="00A12D68" w:rsidRDefault="00C36E62">
                <w:pPr>
                  <w:pStyle w:val="a4"/>
                </w:pPr>
                <w:r>
                  <w:fldChar w:fldCharType="begin"/>
                </w:r>
                <w:r w:rsidR="0001484A">
                  <w:instrText xml:space="preserve"> PAGE  \* MERGEFORMAT </w:instrText>
                </w:r>
                <w:r>
                  <w:fldChar w:fldCharType="separate"/>
                </w:r>
                <w:r w:rsidR="0001484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D96" w:rsidRDefault="00B53D96">
      <w:r>
        <w:separator/>
      </w:r>
    </w:p>
  </w:footnote>
  <w:footnote w:type="continuationSeparator" w:id="0">
    <w:p w:rsidR="00B53D96" w:rsidRDefault="00B53D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CF8"/>
    <w:rsid w:val="0001484A"/>
    <w:rsid w:val="000D37DF"/>
    <w:rsid w:val="000E274A"/>
    <w:rsid w:val="000F3A8B"/>
    <w:rsid w:val="00171341"/>
    <w:rsid w:val="00217A97"/>
    <w:rsid w:val="00335C3C"/>
    <w:rsid w:val="0036634B"/>
    <w:rsid w:val="003751A7"/>
    <w:rsid w:val="0038166E"/>
    <w:rsid w:val="0038168D"/>
    <w:rsid w:val="003960E3"/>
    <w:rsid w:val="00406011"/>
    <w:rsid w:val="004536FF"/>
    <w:rsid w:val="00493DC6"/>
    <w:rsid w:val="004F436E"/>
    <w:rsid w:val="00595157"/>
    <w:rsid w:val="005A62DD"/>
    <w:rsid w:val="006036ED"/>
    <w:rsid w:val="00671B9A"/>
    <w:rsid w:val="00696FDF"/>
    <w:rsid w:val="007471FC"/>
    <w:rsid w:val="00817BE1"/>
    <w:rsid w:val="009545A9"/>
    <w:rsid w:val="00966BB6"/>
    <w:rsid w:val="00A12D68"/>
    <w:rsid w:val="00A20244"/>
    <w:rsid w:val="00A57954"/>
    <w:rsid w:val="00A75367"/>
    <w:rsid w:val="00A8345E"/>
    <w:rsid w:val="00B53D96"/>
    <w:rsid w:val="00B77008"/>
    <w:rsid w:val="00C214BB"/>
    <w:rsid w:val="00C36E62"/>
    <w:rsid w:val="00C66C48"/>
    <w:rsid w:val="00CC7156"/>
    <w:rsid w:val="00D1585F"/>
    <w:rsid w:val="00DA165C"/>
    <w:rsid w:val="00E66CF8"/>
    <w:rsid w:val="00EE0A4D"/>
    <w:rsid w:val="00F0795E"/>
    <w:rsid w:val="089800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C36E62"/>
    <w:pPr>
      <w:jc w:val="left"/>
    </w:pPr>
  </w:style>
  <w:style w:type="paragraph" w:styleId="a4">
    <w:name w:val="footer"/>
    <w:basedOn w:val="a"/>
    <w:link w:val="Char"/>
    <w:uiPriority w:val="99"/>
    <w:unhideWhenUsed/>
    <w:qFormat/>
    <w:rsid w:val="00C36E62"/>
    <w:pPr>
      <w:tabs>
        <w:tab w:val="center" w:pos="4153"/>
        <w:tab w:val="right" w:pos="8306"/>
      </w:tabs>
      <w:snapToGrid w:val="0"/>
      <w:jc w:val="left"/>
    </w:pPr>
    <w:rPr>
      <w:sz w:val="18"/>
      <w:szCs w:val="18"/>
    </w:rPr>
  </w:style>
  <w:style w:type="paragraph" w:styleId="a5">
    <w:name w:val="header"/>
    <w:basedOn w:val="a"/>
    <w:link w:val="Char0"/>
    <w:uiPriority w:val="99"/>
    <w:unhideWhenUsed/>
    <w:rsid w:val="00C36E62"/>
    <w:pP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C36E62"/>
    <w:rPr>
      <w:sz w:val="18"/>
      <w:szCs w:val="18"/>
    </w:rPr>
  </w:style>
  <w:style w:type="character" w:customStyle="1" w:styleId="Char">
    <w:name w:val="页脚 Char"/>
    <w:basedOn w:val="a0"/>
    <w:link w:val="a4"/>
    <w:uiPriority w:val="99"/>
    <w:qFormat/>
    <w:rsid w:val="00C36E62"/>
    <w:rPr>
      <w:sz w:val="18"/>
      <w:szCs w:val="18"/>
    </w:rPr>
  </w:style>
  <w:style w:type="character" w:styleId="a6">
    <w:name w:val="annotation reference"/>
    <w:basedOn w:val="a0"/>
    <w:uiPriority w:val="99"/>
    <w:semiHidden/>
    <w:unhideWhenUsed/>
    <w:rsid w:val="00C36E62"/>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941</Characters>
  <Application>Microsoft Office Word</Application>
  <DocSecurity>4</DocSecurity>
  <Lines>7</Lines>
  <Paragraphs>2</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Сяотун Чжу</dc:creator>
  <cp:lastModifiedBy>ZHONGM</cp:lastModifiedBy>
  <cp:revision>2</cp:revision>
  <dcterms:created xsi:type="dcterms:W3CDTF">2025-02-10T16:00:00Z</dcterms:created>
  <dcterms:modified xsi:type="dcterms:W3CDTF">2025-02-10T16:00:00Z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eyJoZGlkIjoiNjQxNjRjMDcwNzNlYTE3MGQxMDNmMjBkY2RkYzdkNWIiLCJ1c2VySWQiOiI0MTQ2NDQyNDgifQ==</vt:lpwstr>
  </property>
  <property fmtid="{D5CDD505-2E9C-101B-9397-08002B2CF9AE}" pid="3" name="KSOProductBuildVer">
    <vt:lpwstr>2052-12.1.0.19770</vt:lpwstr>
  </property>
  <property fmtid="{D5CDD505-2E9C-101B-9397-08002B2CF9AE}" pid="4" name="ICV">
    <vt:lpwstr>13ACDEB7E473449CBCB1EC8740289E2D_12</vt:lpwstr>
  </property>
</Properties>
</file>