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DB" w:rsidRDefault="00510F89">
      <w:pPr>
        <w:pStyle w:val="a3"/>
        <w:shd w:val="clear" w:color="auto" w:fill="FFFFFF"/>
        <w:spacing w:before="240" w:beforeAutospacing="0" w:after="0" w:afterAutospacing="0" w:line="420" w:lineRule="atLeast"/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中银国际证券股份有限公司关于调整旗下基金停牌股票</w:t>
      </w:r>
    </w:p>
    <w:p w:rsidR="00C667DB" w:rsidRDefault="00510F89">
      <w:pPr>
        <w:pStyle w:val="a3"/>
        <w:shd w:val="clear" w:color="auto" w:fill="FFFFFF"/>
        <w:spacing w:before="240" w:beforeAutospacing="0" w:after="0" w:afterAutospacing="0" w:line="420" w:lineRule="atLeast"/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>估值方法的公告</w:t>
      </w:r>
      <w:r>
        <w:rPr>
          <w:rFonts w:ascii="微软雅黑" w:eastAsia="微软雅黑" w:hAnsi="微软雅黑" w:hint="eastAsia"/>
          <w:b/>
          <w:bCs/>
          <w:color w:val="333333"/>
          <w:sz w:val="33"/>
          <w:szCs w:val="33"/>
          <w:shd w:val="clear" w:color="auto" w:fill="FFFFFF"/>
        </w:rPr>
        <w:t xml:space="preserve"> </w:t>
      </w:r>
    </w:p>
    <w:p w:rsidR="00C667DB" w:rsidRDefault="00C667DB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</w:p>
    <w:p w:rsidR="00C667DB" w:rsidRDefault="00510F89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为保护投资者的利益，根据《中国证监会关于证券投资基金估值业务的指导意见》（证监会公告</w:t>
      </w:r>
      <w:r>
        <w:rPr>
          <w:rFonts w:ascii="微软雅黑" w:eastAsia="微软雅黑" w:hAnsi="微软雅黑" w:hint="eastAsia"/>
          <w:color w:val="333333"/>
        </w:rPr>
        <w:t>[2017]</w:t>
      </w:r>
      <w:r>
        <w:rPr>
          <w:rFonts w:ascii="微软雅黑" w:eastAsia="微软雅黑" w:hAnsi="微软雅黑" w:hint="eastAsia"/>
          <w:color w:val="333333"/>
        </w:rPr>
        <w:t>第</w:t>
      </w:r>
      <w:r>
        <w:rPr>
          <w:rFonts w:ascii="微软雅黑" w:eastAsia="微软雅黑" w:hAnsi="微软雅黑" w:hint="eastAsia"/>
          <w:color w:val="333333"/>
        </w:rPr>
        <w:t>13</w:t>
      </w:r>
      <w:r>
        <w:rPr>
          <w:rFonts w:ascii="微软雅黑" w:eastAsia="微软雅黑" w:hAnsi="微软雅黑" w:hint="eastAsia"/>
          <w:color w:val="333333"/>
        </w:rPr>
        <w:t>号）、中国证券投资基金业协会《关于发布中基协（</w:t>
      </w:r>
      <w:r>
        <w:rPr>
          <w:rFonts w:ascii="微软雅黑" w:eastAsia="微软雅黑" w:hAnsi="微软雅黑" w:hint="eastAsia"/>
          <w:color w:val="333333"/>
        </w:rPr>
        <w:t>AMAC</w:t>
      </w:r>
      <w:r>
        <w:rPr>
          <w:rFonts w:ascii="微软雅黑" w:eastAsia="微软雅黑" w:hAnsi="微软雅黑" w:hint="eastAsia"/>
          <w:color w:val="333333"/>
        </w:rPr>
        <w:t>）基金行业股票估值指数的通知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》（中基协发</w:t>
      </w:r>
      <w:r>
        <w:rPr>
          <w:rFonts w:ascii="微软雅黑" w:eastAsia="微软雅黑" w:hAnsi="微软雅黑" w:hint="eastAsia"/>
          <w:color w:val="333333"/>
        </w:rPr>
        <w:t>[2013]13</w:t>
      </w:r>
      <w:r>
        <w:rPr>
          <w:rFonts w:ascii="微软雅黑" w:eastAsia="微软雅黑" w:hAnsi="微软雅黑" w:hint="eastAsia"/>
          <w:color w:val="333333"/>
        </w:rPr>
        <w:t>号）的有关规定，中银国际证券股份有限公司（以下简称“本公司”）与基金托管银行协商一致，决定对本公司旗下基金（</w:t>
      </w:r>
      <w:r>
        <w:rPr>
          <w:rFonts w:ascii="微软雅黑" w:eastAsia="微软雅黑" w:hAnsi="微软雅黑" w:hint="eastAsia"/>
          <w:color w:val="333333"/>
        </w:rPr>
        <w:t>ETF</w:t>
      </w:r>
      <w:r>
        <w:rPr>
          <w:rFonts w:ascii="微软雅黑" w:eastAsia="微软雅黑" w:hAnsi="微软雅黑" w:hint="eastAsia"/>
          <w:color w:val="333333"/>
        </w:rPr>
        <w:t>基金除外）持有的“奥浦迈”（股票代码：</w:t>
      </w:r>
      <w:r>
        <w:rPr>
          <w:rFonts w:ascii="微软雅黑" w:eastAsia="微软雅黑" w:hAnsi="微软雅黑" w:hint="eastAsia"/>
          <w:color w:val="333333"/>
        </w:rPr>
        <w:t>688293</w:t>
      </w:r>
      <w:r>
        <w:rPr>
          <w:rFonts w:ascii="微软雅黑" w:eastAsia="微软雅黑" w:hAnsi="微软雅黑" w:hint="eastAsia"/>
          <w:color w:val="333333"/>
        </w:rPr>
        <w:t>）进行估值调整，自</w:t>
      </w:r>
      <w:r>
        <w:rPr>
          <w:rFonts w:ascii="微软雅黑" w:eastAsia="微软雅黑" w:hAnsi="微软雅黑" w:hint="eastAsia"/>
          <w:color w:val="333333"/>
        </w:rPr>
        <w:t>2025</w:t>
      </w: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月</w:t>
      </w:r>
      <w:r>
        <w:rPr>
          <w:rFonts w:ascii="微软雅黑" w:eastAsia="微软雅黑" w:hAnsi="微软雅黑" w:hint="eastAsia"/>
          <w:color w:val="333333"/>
        </w:rPr>
        <w:t>7</w:t>
      </w:r>
      <w:r>
        <w:rPr>
          <w:rFonts w:ascii="微软雅黑" w:eastAsia="微软雅黑" w:hAnsi="微软雅黑" w:hint="eastAsia"/>
          <w:color w:val="333333"/>
        </w:rPr>
        <w:t>日起按指数收益法进行估值。基金的申购、赎回价格均以估值方法调整后当日计算的基金资产份额净值为准。</w:t>
      </w:r>
    </w:p>
    <w:p w:rsidR="00C667DB" w:rsidRDefault="00510F89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待上述股票复牌且其交易体现了活跃市场交易特征后，将恢复采用按市场价格进行估值，届时将不再另行公告。</w:t>
      </w:r>
    </w:p>
    <w:p w:rsidR="00C667DB" w:rsidRDefault="00510F89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特此公告。</w:t>
      </w:r>
    </w:p>
    <w:p w:rsidR="00C667DB" w:rsidRDefault="00C667DB">
      <w:pPr>
        <w:pStyle w:val="a3"/>
        <w:shd w:val="clear" w:color="auto" w:fill="FFFFFF"/>
        <w:spacing w:before="240" w:beforeAutospacing="0" w:after="0" w:afterAutospacing="0" w:line="420" w:lineRule="atLeast"/>
        <w:jc w:val="center"/>
        <w:rPr>
          <w:rFonts w:ascii="微软雅黑" w:eastAsia="微软雅黑" w:hAnsi="微软雅黑"/>
          <w:b/>
          <w:bCs/>
          <w:color w:val="333333"/>
          <w:sz w:val="33"/>
          <w:szCs w:val="33"/>
          <w:shd w:val="clear" w:color="auto" w:fill="FFFFFF"/>
        </w:rPr>
      </w:pPr>
    </w:p>
    <w:p w:rsidR="00C667DB" w:rsidRDefault="00510F89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8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中银国际证券股份有限公司</w:t>
      </w:r>
    </w:p>
    <w:p w:rsidR="00C667DB" w:rsidRDefault="00510F89">
      <w:pPr>
        <w:pStyle w:val="a3"/>
        <w:shd w:val="clear" w:color="auto" w:fill="FFFFFF"/>
        <w:spacing w:before="0" w:beforeAutospacing="0" w:after="0" w:afterAutospacing="0" w:line="420" w:lineRule="atLeast"/>
        <w:ind w:firstLineChars="300" w:firstLine="720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                        </w:t>
      </w:r>
      <w:r>
        <w:rPr>
          <w:rFonts w:ascii="微软雅黑" w:eastAsia="微软雅黑" w:hAnsi="微软雅黑" w:hint="eastAsia"/>
          <w:color w:val="333333"/>
        </w:rPr>
        <w:t xml:space="preserve">               2025</w:t>
      </w: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月</w:t>
      </w:r>
      <w:r>
        <w:rPr>
          <w:rFonts w:ascii="微软雅黑" w:eastAsia="微软雅黑" w:hAnsi="微软雅黑" w:hint="eastAsia"/>
          <w:color w:val="333333"/>
        </w:rPr>
        <w:t>8</w:t>
      </w:r>
      <w:r>
        <w:rPr>
          <w:rFonts w:ascii="微软雅黑" w:eastAsia="微软雅黑" w:hAnsi="微软雅黑" w:hint="eastAsia"/>
          <w:color w:val="333333"/>
        </w:rPr>
        <w:t>日</w:t>
      </w:r>
    </w:p>
    <w:p w:rsidR="00C667DB" w:rsidRDefault="00C667DB"/>
    <w:sectPr w:rsidR="00C667DB" w:rsidSect="00C6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68B003C"/>
    <w:rsid w:val="00510F89"/>
    <w:rsid w:val="00C667DB"/>
    <w:rsid w:val="168B003C"/>
    <w:rsid w:val="2961147E"/>
    <w:rsid w:val="41AE004A"/>
    <w:rsid w:val="501C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7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667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C667D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Company>CNSTOCK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张佳斌</dc:creator>
  <cp:lastModifiedBy>ZHONGM</cp:lastModifiedBy>
  <cp:revision>2</cp:revision>
  <dcterms:created xsi:type="dcterms:W3CDTF">2025-02-07T16:01:00Z</dcterms:created>
  <dcterms:modified xsi:type="dcterms:W3CDTF">2025-02-07T16:01:00Z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7B48D90D837541E7AC3A2C738B446171</vt:lpwstr>
  </property>
</Properties>
</file>