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A5" w:rsidRDefault="00540A98">
      <w:pPr>
        <w:jc w:val="center"/>
        <w:rPr>
          <w:b/>
          <w:sz w:val="28"/>
          <w:szCs w:val="28"/>
        </w:rPr>
      </w:pPr>
      <w:bookmarkStart w:id="0" w:name="_GoBack"/>
      <w:bookmarkEnd w:id="0"/>
      <w:r>
        <w:rPr>
          <w:rFonts w:hint="eastAsia"/>
          <w:b/>
          <w:sz w:val="28"/>
          <w:szCs w:val="28"/>
          <w:lang/>
        </w:rPr>
        <w:t>富国</w:t>
      </w:r>
      <w:r>
        <w:rPr>
          <w:rFonts w:hint="eastAsia"/>
          <w:b/>
          <w:sz w:val="28"/>
          <w:szCs w:val="28"/>
        </w:rPr>
        <w:t>基金管理有限公司关于调低旗下部分基金费率并修订基金合同等事项的公告</w:t>
      </w:r>
    </w:p>
    <w:p w:rsidR="001A18A5" w:rsidRDefault="001A18A5">
      <w:pPr>
        <w:spacing w:line="360" w:lineRule="auto"/>
        <w:ind w:firstLineChars="200" w:firstLine="420"/>
        <w:rPr>
          <w:rFonts w:asciiTheme="minorEastAsia" w:hAnsiTheme="minorEastAsia"/>
          <w:szCs w:val="21"/>
        </w:rPr>
      </w:pPr>
    </w:p>
    <w:p w:rsidR="001A18A5" w:rsidRDefault="00540A98">
      <w:pPr>
        <w:spacing w:line="360" w:lineRule="auto"/>
        <w:ind w:firstLineChars="200" w:firstLine="420"/>
        <w:rPr>
          <w:rFonts w:asciiTheme="minorEastAsia" w:hAnsiTheme="minorEastAsia"/>
          <w:szCs w:val="21"/>
        </w:rPr>
      </w:pPr>
      <w:r>
        <w:rPr>
          <w:rFonts w:asciiTheme="minorEastAsia" w:hAnsiTheme="minorEastAsia" w:hint="eastAsia"/>
          <w:szCs w:val="21"/>
        </w:rPr>
        <w:t>为更好地满足广大投资者的投资理财需求，降低投资者的理财成本，根据《中华人民共和国证券投资基金法》、《公开募集证券投资基金运作管理办法》、《公开募集证券投资基金信息披露管理办法》等法律法规的规定和旗下部分基金基金合同的约定，经与旗下相关公开募集证券投资基金（详见后附相关基金名单，以下简称“旗下部分基金”）的各基金托管人协商一致，</w:t>
      </w:r>
      <w:r>
        <w:rPr>
          <w:rFonts w:asciiTheme="minorEastAsia" w:hAnsiTheme="minorEastAsia" w:hint="eastAsia"/>
          <w:szCs w:val="21"/>
          <w:lang/>
        </w:rPr>
        <w:t>富国基金管理有限公司</w:t>
      </w:r>
      <w:r>
        <w:rPr>
          <w:rFonts w:asciiTheme="minorEastAsia" w:hAnsiTheme="minorEastAsia" w:hint="eastAsia"/>
          <w:szCs w:val="21"/>
        </w:rPr>
        <w:t>（以下简称“本公司”或“本基金管理人”）决定自</w:t>
      </w:r>
      <w:r>
        <w:rPr>
          <w:rFonts w:asciiTheme="minorEastAsia" w:hAnsiTheme="minorEastAsia" w:hint="eastAsia"/>
          <w:szCs w:val="21"/>
        </w:rPr>
        <w:t>202</w:t>
      </w:r>
      <w:r>
        <w:rPr>
          <w:rFonts w:asciiTheme="minorEastAsia" w:hAnsiTheme="minorEastAsia"/>
          <w:szCs w:val="21"/>
        </w:rPr>
        <w:t>5</w:t>
      </w:r>
      <w:r>
        <w:rPr>
          <w:rFonts w:asciiTheme="minorEastAsia" w:hAnsiTheme="minorEastAsia" w:hint="eastAsia"/>
          <w:szCs w:val="21"/>
        </w:rPr>
        <w:t>年</w:t>
      </w:r>
      <w:r>
        <w:rPr>
          <w:rFonts w:asciiTheme="minorEastAsia" w:hAnsiTheme="minorEastAsia"/>
          <w:szCs w:val="21"/>
        </w:rPr>
        <w:t>2</w:t>
      </w:r>
      <w:r>
        <w:rPr>
          <w:rFonts w:asciiTheme="minorEastAsia" w:hAnsiTheme="minorEastAsia" w:hint="eastAsia"/>
          <w:szCs w:val="21"/>
        </w:rPr>
        <w:t>月</w:t>
      </w:r>
      <w:r>
        <w:rPr>
          <w:rFonts w:asciiTheme="minorEastAsia" w:hAnsiTheme="minorEastAsia" w:hint="eastAsia"/>
          <w:szCs w:val="21"/>
        </w:rPr>
        <w:t>1</w:t>
      </w:r>
      <w:r>
        <w:rPr>
          <w:rFonts w:asciiTheme="minorEastAsia" w:hAnsiTheme="minorEastAsia"/>
          <w:szCs w:val="21"/>
        </w:rPr>
        <w:t>0</w:t>
      </w:r>
      <w:r>
        <w:rPr>
          <w:rFonts w:asciiTheme="minorEastAsia" w:hAnsiTheme="minorEastAsia" w:hint="eastAsia"/>
          <w:szCs w:val="21"/>
        </w:rPr>
        <w:t>日起，调低旗下部分基金的管理费率及托管费率，并对旗下部分基金基金合同及托管协议（如涉及）的有关条款进行修订。现将有关修订内容说明如下：</w:t>
      </w:r>
      <w:r>
        <w:rPr>
          <w:rFonts w:asciiTheme="minorEastAsia" w:hAnsiTheme="minorEastAsia" w:hint="eastAsia"/>
          <w:szCs w:val="21"/>
        </w:rPr>
        <w:t xml:space="preserve"> </w:t>
      </w:r>
    </w:p>
    <w:p w:rsidR="001A18A5" w:rsidRDefault="00540A98">
      <w:pPr>
        <w:spacing w:line="360" w:lineRule="auto"/>
        <w:ind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、根据相关法律法规和旗下部分基金基金合同的约定，本公司决定调低旗下部分基金的管理费率及托管费率，并对旗下部分基金基金合同及托管协议（如涉及）进行必要的修订。旗下部分</w:t>
      </w:r>
      <w:r>
        <w:rPr>
          <w:rFonts w:hint="eastAsia"/>
          <w:szCs w:val="21"/>
        </w:rPr>
        <w:t>基金的名单及费率调整情况参见附件，</w:t>
      </w:r>
      <w:r>
        <w:rPr>
          <w:rFonts w:asciiTheme="minorEastAsia" w:hAnsiTheme="minorEastAsia" w:hint="eastAsia"/>
          <w:szCs w:val="21"/>
        </w:rPr>
        <w:t>旗下部分</w:t>
      </w:r>
      <w:r>
        <w:rPr>
          <w:rFonts w:hint="eastAsia"/>
          <w:szCs w:val="21"/>
        </w:rPr>
        <w:t>基金的招募说明书、基金产品资料概要据此相应进行更新。</w:t>
      </w:r>
    </w:p>
    <w:p w:rsidR="001A18A5" w:rsidRDefault="00540A98">
      <w:pPr>
        <w:autoSpaceDE w:val="0"/>
        <w:autoSpaceDN w:val="0"/>
        <w:adjustRightInd w:val="0"/>
        <w:spacing w:line="360" w:lineRule="auto"/>
        <w:ind w:firstLine="420"/>
        <w:jc w:val="left"/>
      </w:pPr>
      <w:r>
        <w:rPr>
          <w:rFonts w:asciiTheme="minorEastAsia" w:hAnsiTheme="minorEastAsia" w:hint="eastAsia"/>
          <w:szCs w:val="21"/>
        </w:rPr>
        <w:t>2</w:t>
      </w:r>
      <w:r>
        <w:rPr>
          <w:rFonts w:asciiTheme="minorEastAsia" w:hAnsiTheme="minorEastAsia" w:hint="eastAsia"/>
          <w:szCs w:val="21"/>
        </w:rPr>
        <w:t>、</w:t>
      </w:r>
      <w:r>
        <w:rPr>
          <w:rFonts w:hint="eastAsia"/>
        </w:rPr>
        <w:t>本次因调低管理费率及托管费率而对</w:t>
      </w:r>
      <w:r>
        <w:rPr>
          <w:rFonts w:asciiTheme="minorEastAsia" w:hAnsiTheme="minorEastAsia" w:hint="eastAsia"/>
          <w:szCs w:val="21"/>
        </w:rPr>
        <w:t>旗下部分基金</w:t>
      </w:r>
      <w:r>
        <w:rPr>
          <w:rFonts w:hint="eastAsia"/>
        </w:rPr>
        <w:t>基金合同进行的修改对基金份额持有人利益无实质性不利影响，属于</w:t>
      </w:r>
      <w:r>
        <w:rPr>
          <w:rFonts w:asciiTheme="minorEastAsia" w:hAnsiTheme="minorEastAsia" w:hint="eastAsia"/>
          <w:szCs w:val="21"/>
        </w:rPr>
        <w:t>旗下</w:t>
      </w:r>
      <w:r>
        <w:rPr>
          <w:rFonts w:asciiTheme="minorEastAsia" w:hAnsiTheme="minorEastAsia" w:hint="eastAsia"/>
          <w:szCs w:val="21"/>
        </w:rPr>
        <w:t>部分基金</w:t>
      </w:r>
      <w:r>
        <w:rPr>
          <w:rFonts w:hint="eastAsia"/>
        </w:rPr>
        <w:t>基金合同约定的无需召开基金份额持有人大会的情形，可由本基金管理人和各基金托管人协商后修改。</w:t>
      </w:r>
    </w:p>
    <w:p w:rsidR="001A18A5" w:rsidRDefault="00540A98">
      <w:pPr>
        <w:spacing w:line="360" w:lineRule="auto"/>
        <w:ind w:firstLine="420"/>
        <w:rPr>
          <w:kern w:val="0"/>
        </w:rPr>
      </w:pPr>
      <w:r>
        <w:rPr>
          <w:rFonts w:asciiTheme="minorEastAsia" w:hAnsiTheme="minorEastAsia" w:hint="eastAsia"/>
          <w:szCs w:val="21"/>
        </w:rPr>
        <w:t>3</w:t>
      </w:r>
      <w:r>
        <w:rPr>
          <w:rFonts w:asciiTheme="minorEastAsia" w:hAnsiTheme="minorEastAsia" w:hint="eastAsia"/>
          <w:szCs w:val="21"/>
        </w:rPr>
        <w:t>、</w:t>
      </w:r>
      <w:r>
        <w:rPr>
          <w:rFonts w:hint="eastAsia"/>
          <w:kern w:val="0"/>
        </w:rPr>
        <w:t>本公司将于本公告日在公司网站（</w:t>
      </w:r>
      <w:r>
        <w:rPr>
          <w:rFonts w:hint="eastAsia"/>
          <w:kern w:val="0"/>
        </w:rPr>
        <w:t>www.fullgoal.com.cn</w:t>
      </w:r>
      <w:r>
        <w:rPr>
          <w:rFonts w:hint="eastAsia"/>
          <w:kern w:val="0"/>
        </w:rPr>
        <w:t>）、中国证监会基金电子披露网站（</w:t>
      </w:r>
      <w:r>
        <w:rPr>
          <w:kern w:val="0"/>
        </w:rPr>
        <w:t>http://eid.csrc.gov.cn/fund/</w:t>
      </w:r>
      <w:r>
        <w:rPr>
          <w:rFonts w:hint="eastAsia"/>
          <w:kern w:val="0"/>
        </w:rPr>
        <w:t>）等规定媒介公布修改后的基金合同、托管协议；招募说明书、基金产品资料概要相关内容将相应更新，并依照《</w:t>
      </w:r>
      <w:r>
        <w:rPr>
          <w:rFonts w:asciiTheme="minorEastAsia" w:hAnsiTheme="minorEastAsia" w:hint="eastAsia"/>
          <w:szCs w:val="21"/>
        </w:rPr>
        <w:t>公开募集证券投资基金</w:t>
      </w:r>
      <w:r>
        <w:rPr>
          <w:rFonts w:hint="eastAsia"/>
          <w:kern w:val="0"/>
        </w:rPr>
        <w:t>信息披露办法》的有关规定在规定媒介上公告。</w:t>
      </w:r>
    </w:p>
    <w:p w:rsidR="001A18A5" w:rsidRDefault="00540A98">
      <w:pPr>
        <w:spacing w:line="360" w:lineRule="auto"/>
        <w:ind w:firstLine="480"/>
      </w:pPr>
      <w:r>
        <w:rPr>
          <w:lang w:val="zh-CN"/>
        </w:rPr>
        <w:t>投资者若希望了解</w:t>
      </w:r>
      <w:r>
        <w:rPr>
          <w:rFonts w:hint="eastAsia"/>
        </w:rPr>
        <w:t>各</w:t>
      </w:r>
      <w:r>
        <w:rPr>
          <w:lang w:val="zh-CN"/>
        </w:rPr>
        <w:t>基金</w:t>
      </w:r>
      <w:r>
        <w:rPr>
          <w:rFonts w:hint="eastAsia"/>
          <w:lang w:val="zh-CN"/>
        </w:rPr>
        <w:t>详细</w:t>
      </w:r>
      <w:r>
        <w:rPr>
          <w:lang w:val="zh-CN"/>
        </w:rPr>
        <w:t>信息，请参阅</w:t>
      </w:r>
      <w:r>
        <w:rPr>
          <w:rFonts w:hint="eastAsia"/>
        </w:rPr>
        <w:t>各</w:t>
      </w:r>
      <w:r>
        <w:rPr>
          <w:lang w:val="zh-CN"/>
        </w:rPr>
        <w:t>基金的基金合同、招募说明书及相关信息披露文件。投</w:t>
      </w:r>
      <w:r>
        <w:rPr>
          <w:lang w:val="zh-CN"/>
        </w:rPr>
        <w:t>资者可登录本公司网站（</w:t>
      </w:r>
      <w:r>
        <w:rPr>
          <w:lang w:val="zh-CN"/>
        </w:rPr>
        <w:t>www.fullgoal.com.cn</w:t>
      </w:r>
      <w:r>
        <w:rPr>
          <w:lang w:val="zh-CN"/>
        </w:rPr>
        <w:t>）或者拨打本公司客服电话：</w:t>
      </w:r>
      <w:r>
        <w:rPr>
          <w:lang w:val="zh-CN"/>
        </w:rPr>
        <w:t>400-888-0688</w:t>
      </w:r>
      <w:r>
        <w:rPr>
          <w:lang w:val="zh-CN"/>
        </w:rPr>
        <w:t>（免长途话费）了解详情。</w:t>
      </w:r>
    </w:p>
    <w:p w:rsidR="001A18A5" w:rsidRDefault="00540A98">
      <w:pPr>
        <w:autoSpaceDE w:val="0"/>
        <w:autoSpaceDN w:val="0"/>
        <w:adjustRightInd w:val="0"/>
        <w:spacing w:line="360" w:lineRule="auto"/>
        <w:ind w:firstLine="480"/>
        <w:jc w:val="left"/>
        <w:rPr>
          <w:lang w:val="zh-CN"/>
        </w:rPr>
      </w:pPr>
      <w:r>
        <w:rPr>
          <w:lang w:val="zh-CN"/>
        </w:rPr>
        <w:t>风险提示</w:t>
      </w:r>
      <w:r>
        <w:rPr>
          <w:rFonts w:hint="eastAsia"/>
          <w:lang w:val="zh-CN"/>
        </w:rPr>
        <w:t>：</w:t>
      </w:r>
    </w:p>
    <w:p w:rsidR="001A18A5" w:rsidRDefault="00540A98">
      <w:pPr>
        <w:autoSpaceDE w:val="0"/>
        <w:autoSpaceDN w:val="0"/>
        <w:adjustRightInd w:val="0"/>
        <w:spacing w:line="360" w:lineRule="auto"/>
        <w:ind w:firstLine="480"/>
        <w:jc w:val="left"/>
        <w:rPr>
          <w:lang w:val="zh-CN"/>
        </w:rPr>
      </w:pPr>
      <w:r>
        <w:rPr>
          <w:lang w:val="zh-CN"/>
        </w:rPr>
        <w:t>本基金管理人承诺以诚实信用、勤勉尽责的原则管理和运用基金资产，但不保证基金一定盈利，也不保证最低收益。</w:t>
      </w:r>
    </w:p>
    <w:p w:rsidR="001A18A5" w:rsidRDefault="00540A98">
      <w:pPr>
        <w:autoSpaceDE w:val="0"/>
        <w:autoSpaceDN w:val="0"/>
        <w:adjustRightInd w:val="0"/>
        <w:spacing w:line="360" w:lineRule="auto"/>
        <w:ind w:firstLine="480"/>
        <w:rPr>
          <w:lang w:val="zh-CN"/>
        </w:rPr>
      </w:pPr>
      <w:r>
        <w:rPr>
          <w:lang w:val="zh-CN"/>
        </w:rPr>
        <w:t>本基金管理人提醒投资者基金投资的</w:t>
      </w:r>
      <w:r>
        <w:rPr>
          <w:rFonts w:hint="eastAsia"/>
          <w:lang w:val="zh-CN"/>
        </w:rPr>
        <w:t>“</w:t>
      </w:r>
      <w:r>
        <w:rPr>
          <w:lang w:val="zh-CN"/>
        </w:rPr>
        <w:t>买者自负</w:t>
      </w:r>
      <w:r>
        <w:rPr>
          <w:rFonts w:hint="eastAsia"/>
          <w:lang w:val="zh-CN"/>
        </w:rPr>
        <w:t>”</w:t>
      </w:r>
      <w:r>
        <w:rPr>
          <w:lang w:val="zh-CN"/>
        </w:rPr>
        <w:t>原则，在做出投资决策后，基金运营状况与基金净值变化引致的投资风险，由投资者自行承担。投资有风险，选择须谨慎。敬</w:t>
      </w:r>
      <w:r>
        <w:rPr>
          <w:lang w:val="zh-CN"/>
        </w:rPr>
        <w:lastRenderedPageBreak/>
        <w:t>请投资者于投资前认真阅读</w:t>
      </w:r>
      <w:r>
        <w:rPr>
          <w:rFonts w:hint="eastAsia"/>
        </w:rPr>
        <w:t>各</w:t>
      </w:r>
      <w:r>
        <w:rPr>
          <w:lang w:val="zh-CN"/>
        </w:rPr>
        <w:t>基金的基金合同</w:t>
      </w:r>
      <w:r>
        <w:rPr>
          <w:rFonts w:hint="eastAsia"/>
          <w:lang w:val="zh-CN"/>
        </w:rPr>
        <w:t>、</w:t>
      </w:r>
      <w:r>
        <w:rPr>
          <w:lang w:val="zh-CN"/>
        </w:rPr>
        <w:t>招募说明书</w:t>
      </w:r>
      <w:r>
        <w:rPr>
          <w:rFonts w:hint="eastAsia"/>
          <w:lang w:val="zh-CN"/>
        </w:rPr>
        <w:t>、</w:t>
      </w:r>
      <w:r>
        <w:rPr>
          <w:rFonts w:hint="eastAsia"/>
          <w:kern w:val="0"/>
        </w:rPr>
        <w:t>基金产品资料概要</w:t>
      </w:r>
      <w:r>
        <w:rPr>
          <w:lang w:val="zh-CN"/>
        </w:rPr>
        <w:t>等相关信息披露文件。</w:t>
      </w:r>
    </w:p>
    <w:p w:rsidR="001A18A5" w:rsidRDefault="00540A98">
      <w:pPr>
        <w:autoSpaceDE w:val="0"/>
        <w:autoSpaceDN w:val="0"/>
        <w:adjustRightInd w:val="0"/>
        <w:spacing w:line="360" w:lineRule="auto"/>
        <w:ind w:firstLine="480"/>
        <w:rPr>
          <w:lang w:val="zh-CN"/>
        </w:rPr>
      </w:pPr>
      <w:r>
        <w:rPr>
          <w:lang w:val="zh-CN"/>
        </w:rPr>
        <w:t>本公告的解释权</w:t>
      </w:r>
      <w:r>
        <w:rPr>
          <w:lang w:val="zh-CN"/>
        </w:rPr>
        <w:t>归本公司。</w:t>
      </w:r>
    </w:p>
    <w:p w:rsidR="001A18A5" w:rsidRDefault="001A18A5">
      <w:pPr>
        <w:spacing w:line="360" w:lineRule="auto"/>
        <w:ind w:firstLine="480"/>
      </w:pPr>
    </w:p>
    <w:p w:rsidR="001A18A5" w:rsidRDefault="00540A98">
      <w:pPr>
        <w:spacing w:line="360" w:lineRule="auto"/>
        <w:ind w:firstLineChars="200" w:firstLine="420"/>
        <w:rPr>
          <w:rFonts w:asciiTheme="minorEastAsia" w:hAnsiTheme="minorEastAsia"/>
          <w:szCs w:val="21"/>
        </w:rPr>
      </w:pPr>
      <w:r>
        <w:rPr>
          <w:rFonts w:asciiTheme="minorEastAsia" w:hAnsiTheme="minorEastAsia" w:hint="eastAsia"/>
          <w:szCs w:val="21"/>
        </w:rPr>
        <w:t>特此公告。</w:t>
      </w:r>
    </w:p>
    <w:p w:rsidR="001A18A5" w:rsidRDefault="001A18A5">
      <w:pPr>
        <w:spacing w:line="360" w:lineRule="auto"/>
        <w:ind w:firstLineChars="200" w:firstLine="420"/>
        <w:rPr>
          <w:rFonts w:asciiTheme="minorEastAsia" w:hAnsiTheme="minorEastAsia"/>
          <w:szCs w:val="21"/>
        </w:rPr>
      </w:pPr>
    </w:p>
    <w:p w:rsidR="001A18A5" w:rsidRDefault="00540A98">
      <w:pPr>
        <w:spacing w:line="360" w:lineRule="auto"/>
        <w:ind w:firstLineChars="200" w:firstLine="420"/>
        <w:jc w:val="right"/>
        <w:rPr>
          <w:rFonts w:asciiTheme="minorEastAsia" w:hAnsiTheme="minorEastAsia"/>
          <w:color w:val="000000"/>
        </w:rPr>
      </w:pPr>
      <w:r>
        <w:rPr>
          <w:rFonts w:asciiTheme="minorEastAsia" w:hAnsiTheme="minorEastAsia" w:hint="eastAsia"/>
          <w:szCs w:val="21"/>
          <w:lang/>
        </w:rPr>
        <w:t>富国</w:t>
      </w:r>
      <w:r>
        <w:rPr>
          <w:rFonts w:asciiTheme="minorEastAsia" w:hAnsiTheme="minorEastAsia" w:hint="eastAsia"/>
          <w:color w:val="000000"/>
        </w:rPr>
        <w:t>基金管理有限公司</w:t>
      </w:r>
    </w:p>
    <w:p w:rsidR="001A18A5" w:rsidRDefault="00540A98">
      <w:pPr>
        <w:spacing w:line="360" w:lineRule="auto"/>
        <w:jc w:val="right"/>
        <w:rPr>
          <w:rFonts w:asciiTheme="minorEastAsia" w:hAnsiTheme="minorEastAsia"/>
          <w:color w:val="000000"/>
        </w:rPr>
      </w:pPr>
      <w:r>
        <w:rPr>
          <w:rFonts w:asciiTheme="minorEastAsia" w:hAnsiTheme="minorEastAsia" w:hint="eastAsia"/>
          <w:color w:val="000000"/>
        </w:rPr>
        <w:t>202</w:t>
      </w:r>
      <w:r>
        <w:rPr>
          <w:rFonts w:asciiTheme="minorEastAsia" w:hAnsiTheme="minorEastAsia"/>
          <w:color w:val="000000"/>
        </w:rPr>
        <w:t>5</w:t>
      </w:r>
      <w:r>
        <w:rPr>
          <w:rFonts w:asciiTheme="minorEastAsia" w:hAnsiTheme="minorEastAsia" w:hint="eastAsia"/>
          <w:color w:val="000000"/>
        </w:rPr>
        <w:t>年</w:t>
      </w:r>
      <w:r>
        <w:rPr>
          <w:rFonts w:asciiTheme="minorEastAsia" w:hAnsiTheme="minorEastAsia"/>
          <w:color w:val="000000"/>
        </w:rPr>
        <w:t>2</w:t>
      </w:r>
      <w:r>
        <w:rPr>
          <w:rFonts w:asciiTheme="minorEastAsia" w:hAnsiTheme="minorEastAsia" w:hint="eastAsia"/>
          <w:color w:val="000000"/>
        </w:rPr>
        <w:t>月</w:t>
      </w:r>
      <w:r>
        <w:rPr>
          <w:rFonts w:asciiTheme="minorEastAsia" w:hAnsiTheme="minorEastAsia"/>
          <w:color w:val="000000"/>
        </w:rPr>
        <w:t>8</w:t>
      </w:r>
      <w:r>
        <w:rPr>
          <w:rFonts w:asciiTheme="minorEastAsia" w:hAnsiTheme="minorEastAsia" w:hint="eastAsia"/>
          <w:color w:val="000000"/>
        </w:rPr>
        <w:t>日</w:t>
      </w:r>
    </w:p>
    <w:p w:rsidR="001A18A5" w:rsidRDefault="001A18A5">
      <w:pPr>
        <w:spacing w:line="360" w:lineRule="auto"/>
        <w:ind w:firstLineChars="200" w:firstLine="420"/>
        <w:rPr>
          <w:rFonts w:asciiTheme="minorEastAsia" w:hAnsiTheme="minorEastAsia"/>
          <w:szCs w:val="21"/>
        </w:rPr>
      </w:pPr>
    </w:p>
    <w:p w:rsidR="001A18A5" w:rsidRDefault="001A18A5">
      <w:pPr>
        <w:spacing w:line="360" w:lineRule="auto"/>
        <w:ind w:firstLineChars="200" w:firstLine="420"/>
        <w:rPr>
          <w:rFonts w:asciiTheme="minorEastAsia" w:hAnsiTheme="minorEastAsia"/>
          <w:szCs w:val="21"/>
        </w:rPr>
      </w:pPr>
    </w:p>
    <w:p w:rsidR="001A18A5" w:rsidRDefault="00540A98">
      <w:pPr>
        <w:spacing w:line="360" w:lineRule="auto"/>
        <w:ind w:firstLineChars="200" w:firstLine="420"/>
        <w:rPr>
          <w:rFonts w:asciiTheme="minorEastAsia" w:hAnsiTheme="minorEastAsia"/>
          <w:szCs w:val="21"/>
        </w:rPr>
      </w:pPr>
      <w:r>
        <w:rPr>
          <w:rFonts w:asciiTheme="minorEastAsia" w:hAnsiTheme="minorEastAsia" w:hint="eastAsia"/>
          <w:szCs w:val="21"/>
        </w:rPr>
        <w:t>附件：相关基金名单（及费率调整安排）</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932"/>
        <w:gridCol w:w="1134"/>
        <w:gridCol w:w="1134"/>
        <w:gridCol w:w="1134"/>
        <w:gridCol w:w="1071"/>
      </w:tblGrid>
      <w:tr w:rsidR="001A18A5">
        <w:trPr>
          <w:trHeight w:val="270"/>
          <w:jc w:val="center"/>
        </w:trPr>
        <w:tc>
          <w:tcPr>
            <w:tcW w:w="645" w:type="dxa"/>
            <w:vMerge w:val="restart"/>
            <w:tcBorders>
              <w:top w:val="single" w:sz="4" w:space="0" w:color="auto"/>
              <w:left w:val="single" w:sz="4" w:space="0" w:color="auto"/>
              <w:right w:val="single" w:sz="4" w:space="0" w:color="auto"/>
            </w:tcBorders>
            <w:shd w:val="clear" w:color="auto" w:fill="auto"/>
            <w:vAlign w:val="center"/>
          </w:tcPr>
          <w:p w:rsidR="001A18A5" w:rsidRDefault="00540A98">
            <w:pPr>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4932" w:type="dxa"/>
            <w:vMerge w:val="restart"/>
            <w:tcBorders>
              <w:top w:val="single" w:sz="4" w:space="0" w:color="auto"/>
              <w:left w:val="single" w:sz="4" w:space="0" w:color="auto"/>
              <w:right w:val="single" w:sz="4" w:space="0" w:color="auto"/>
            </w:tcBorders>
            <w:shd w:val="clear" w:color="auto" w:fill="auto"/>
            <w:vAlign w:val="center"/>
          </w:tcPr>
          <w:p w:rsidR="001A18A5" w:rsidRDefault="00540A98">
            <w:pPr>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基金名称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调整前</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调整后</w:t>
            </w:r>
          </w:p>
        </w:tc>
      </w:tr>
      <w:tr w:rsidR="001A18A5">
        <w:trPr>
          <w:trHeight w:val="270"/>
          <w:jc w:val="center"/>
        </w:trPr>
        <w:tc>
          <w:tcPr>
            <w:tcW w:w="645" w:type="dxa"/>
            <w:vMerge/>
            <w:tcBorders>
              <w:left w:val="single" w:sz="4" w:space="0" w:color="auto"/>
              <w:bottom w:val="single" w:sz="4" w:space="0" w:color="auto"/>
              <w:right w:val="single" w:sz="4" w:space="0" w:color="auto"/>
            </w:tcBorders>
            <w:shd w:val="clear" w:color="auto" w:fill="auto"/>
            <w:vAlign w:val="center"/>
          </w:tcPr>
          <w:p w:rsidR="001A18A5" w:rsidRDefault="001A18A5">
            <w:pPr>
              <w:widowControl/>
              <w:adjustRightInd w:val="0"/>
              <w:snapToGrid w:val="0"/>
              <w:jc w:val="center"/>
              <w:rPr>
                <w:rFonts w:asciiTheme="minorEastAsia" w:hAnsiTheme="minorEastAsia" w:cs="宋体"/>
                <w:color w:val="000000"/>
                <w:kern w:val="0"/>
                <w:szCs w:val="21"/>
              </w:rPr>
            </w:pPr>
          </w:p>
        </w:tc>
        <w:tc>
          <w:tcPr>
            <w:tcW w:w="4932" w:type="dxa"/>
            <w:vMerge/>
            <w:tcBorders>
              <w:left w:val="single" w:sz="4" w:space="0" w:color="auto"/>
              <w:bottom w:val="single" w:sz="4" w:space="0" w:color="auto"/>
              <w:right w:val="single" w:sz="4" w:space="0" w:color="auto"/>
            </w:tcBorders>
            <w:shd w:val="clear" w:color="auto" w:fill="auto"/>
            <w:vAlign w:val="center"/>
          </w:tcPr>
          <w:p w:rsidR="001A18A5" w:rsidRDefault="001A18A5">
            <w:pPr>
              <w:widowControl/>
              <w:adjustRightInd w:val="0"/>
              <w:snapToGrid w:val="0"/>
              <w:jc w:val="center"/>
              <w:rPr>
                <w:rFonts w:asciiTheme="minorEastAsia" w:hAnsiTheme="minorEastAsia"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管理费年费率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托管费年费率</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管理费年费率</w:t>
            </w:r>
          </w:p>
        </w:tc>
        <w:tc>
          <w:tcPr>
            <w:tcW w:w="1071"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托管费年费率</w:t>
            </w:r>
          </w:p>
        </w:tc>
      </w:tr>
      <w:tr w:rsidR="001A18A5">
        <w:trPr>
          <w:trHeight w:val="27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hint="eastAsia"/>
                <w:szCs w:val="21"/>
              </w:rPr>
              <w:t>富国全球科技互联网股票型证券投资基金</w:t>
            </w:r>
            <w:r>
              <w:rPr>
                <w:rFonts w:asciiTheme="minorEastAsia" w:hAnsiTheme="minorEastAsia" w:hint="eastAsia"/>
                <w:szCs w:val="21"/>
              </w:rPr>
              <w:t>(QDII)</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jc w:val="center"/>
              <w:rPr>
                <w:rFonts w:asciiTheme="minorEastAsia" w:hAnsiTheme="minorEastAsia"/>
                <w:szCs w:val="21"/>
              </w:rPr>
            </w:pPr>
            <w:r>
              <w:rPr>
                <w:rFonts w:asciiTheme="minorEastAsia" w:hAnsiTheme="minorEastAsia"/>
                <w:szCs w:val="21"/>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szCs w:val="21"/>
              </w:rPr>
              <w:t>0.35%</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.20%</w:t>
            </w:r>
          </w:p>
        </w:tc>
        <w:tc>
          <w:tcPr>
            <w:tcW w:w="1071"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.20%</w:t>
            </w:r>
          </w:p>
        </w:tc>
      </w:tr>
      <w:tr w:rsidR="001A18A5">
        <w:trPr>
          <w:trHeight w:val="27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hint="eastAsia"/>
                <w:szCs w:val="21"/>
              </w:rPr>
              <w:t>富国中国中小盘</w:t>
            </w:r>
            <w:r>
              <w:rPr>
                <w:rFonts w:asciiTheme="minorEastAsia" w:hAnsiTheme="minorEastAsia" w:hint="eastAsia"/>
                <w:szCs w:val="21"/>
              </w:rPr>
              <w:t>(</w:t>
            </w:r>
            <w:r>
              <w:rPr>
                <w:rFonts w:asciiTheme="minorEastAsia" w:hAnsiTheme="minorEastAsia" w:hint="eastAsia"/>
                <w:szCs w:val="21"/>
              </w:rPr>
              <w:t>香港上市</w:t>
            </w:r>
            <w:r>
              <w:rPr>
                <w:rFonts w:asciiTheme="minorEastAsia" w:hAnsiTheme="minorEastAsia" w:hint="eastAsia"/>
                <w:szCs w:val="21"/>
              </w:rPr>
              <w:t>)</w:t>
            </w:r>
            <w:r>
              <w:rPr>
                <w:rFonts w:asciiTheme="minorEastAsia" w:hAnsiTheme="minorEastAsia" w:hint="eastAsia"/>
                <w:szCs w:val="21"/>
              </w:rPr>
              <w:t>混合型证券投资基金</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jc w:val="center"/>
              <w:rPr>
                <w:rFonts w:asciiTheme="minorEastAsia" w:hAnsiTheme="minorEastAsia"/>
                <w:szCs w:val="21"/>
              </w:rPr>
            </w:pPr>
            <w:r>
              <w:rPr>
                <w:rFonts w:asciiTheme="minorEastAsia" w:hAnsiTheme="minorEastAsia"/>
                <w:szCs w:val="21"/>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szCs w:val="21"/>
              </w:rPr>
              <w:t>0.30%</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.20%</w:t>
            </w:r>
          </w:p>
        </w:tc>
        <w:tc>
          <w:tcPr>
            <w:tcW w:w="1071"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.20%</w:t>
            </w:r>
          </w:p>
        </w:tc>
      </w:tr>
      <w:tr w:rsidR="001A18A5">
        <w:trPr>
          <w:trHeight w:val="27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hint="eastAsia"/>
                <w:szCs w:val="21"/>
              </w:rPr>
              <w:t>富国蓝筹精选股票型证券投资基金</w:t>
            </w:r>
            <w:r>
              <w:rPr>
                <w:rFonts w:asciiTheme="minorEastAsia" w:hAnsiTheme="minorEastAsia" w:hint="eastAsia"/>
                <w:szCs w:val="21"/>
              </w:rPr>
              <w:t>(QDII)</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jc w:val="center"/>
              <w:rPr>
                <w:rFonts w:asciiTheme="minorEastAsia" w:hAnsiTheme="minorEastAsia"/>
                <w:szCs w:val="21"/>
              </w:rPr>
            </w:pPr>
            <w:r>
              <w:rPr>
                <w:rFonts w:asciiTheme="minorEastAsia" w:hAnsiTheme="minorEastAsia"/>
                <w:szCs w:val="21"/>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szCs w:val="21"/>
              </w:rPr>
              <w:t>0.35%</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.20%</w:t>
            </w:r>
          </w:p>
        </w:tc>
        <w:tc>
          <w:tcPr>
            <w:tcW w:w="1071"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.20%</w:t>
            </w:r>
          </w:p>
        </w:tc>
      </w:tr>
      <w:tr w:rsidR="001A18A5">
        <w:trPr>
          <w:trHeight w:val="27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hint="eastAsia"/>
                <w:szCs w:val="21"/>
              </w:rPr>
              <w:t>富国红利精选混合型证券投资基金</w:t>
            </w:r>
            <w:r>
              <w:rPr>
                <w:rFonts w:asciiTheme="minorEastAsia" w:hAnsiTheme="minorEastAsia" w:hint="eastAsia"/>
                <w:szCs w:val="21"/>
              </w:rPr>
              <w:t>(QDII)</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jc w:val="center"/>
              <w:rPr>
                <w:rFonts w:asciiTheme="minorEastAsia" w:hAnsiTheme="minorEastAsia"/>
                <w:szCs w:val="21"/>
              </w:rPr>
            </w:pPr>
            <w:r>
              <w:rPr>
                <w:rFonts w:asciiTheme="minorEastAsia" w:hAnsiTheme="minorEastAsia"/>
                <w:szCs w:val="21"/>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szCs w:val="21"/>
              </w:rPr>
              <w:t>0.35%</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.20%</w:t>
            </w:r>
          </w:p>
        </w:tc>
        <w:tc>
          <w:tcPr>
            <w:tcW w:w="1071"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.20%</w:t>
            </w:r>
          </w:p>
        </w:tc>
      </w:tr>
      <w:tr w:rsidR="001A18A5">
        <w:trPr>
          <w:trHeight w:val="27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hint="eastAsia"/>
                <w:szCs w:val="21"/>
              </w:rPr>
              <w:t>富国全球健康生活主题混合型证券投资基金</w:t>
            </w:r>
            <w:r>
              <w:rPr>
                <w:rFonts w:asciiTheme="minorEastAsia" w:hAnsiTheme="minorEastAsia" w:hint="eastAsia"/>
                <w:szCs w:val="21"/>
              </w:rPr>
              <w:t>(QDII)</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jc w:val="center"/>
              <w:rPr>
                <w:rFonts w:asciiTheme="minorEastAsia" w:hAnsiTheme="minorEastAsia"/>
                <w:szCs w:val="21"/>
              </w:rPr>
            </w:pPr>
            <w:r>
              <w:rPr>
                <w:rFonts w:asciiTheme="minorEastAsia" w:hAnsiTheme="minorEastAsia"/>
                <w:szCs w:val="21"/>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szCs w:val="21"/>
              </w:rPr>
              <w:t>0.35%</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.20%</w:t>
            </w:r>
          </w:p>
        </w:tc>
        <w:tc>
          <w:tcPr>
            <w:tcW w:w="1071"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.20%</w:t>
            </w:r>
          </w:p>
        </w:tc>
      </w:tr>
      <w:tr w:rsidR="001A18A5">
        <w:trPr>
          <w:trHeight w:val="270"/>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4932"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hint="eastAsia"/>
                <w:szCs w:val="21"/>
              </w:rPr>
              <w:t>富国全球消费精选混合型证券投资基金</w:t>
            </w:r>
            <w:r>
              <w:rPr>
                <w:rFonts w:asciiTheme="minorEastAsia" w:hAnsiTheme="minorEastAsia" w:hint="eastAsia"/>
                <w:szCs w:val="21"/>
              </w:rPr>
              <w:t>(QDII)</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jc w:val="center"/>
              <w:rPr>
                <w:rFonts w:asciiTheme="minorEastAsia" w:hAnsiTheme="minorEastAsia"/>
                <w:szCs w:val="21"/>
              </w:rPr>
            </w:pPr>
            <w:r>
              <w:rPr>
                <w:rFonts w:asciiTheme="minorEastAsia" w:hAnsiTheme="minorEastAsia"/>
                <w:szCs w:val="21"/>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8A5" w:rsidRDefault="00540A98">
            <w:pPr>
              <w:jc w:val="center"/>
              <w:rPr>
                <w:rFonts w:asciiTheme="minorEastAsia" w:hAnsiTheme="minorEastAsia"/>
                <w:szCs w:val="21"/>
              </w:rPr>
            </w:pPr>
            <w:r>
              <w:rPr>
                <w:rFonts w:asciiTheme="minorEastAsia" w:hAnsiTheme="minorEastAsia"/>
                <w:szCs w:val="21"/>
              </w:rPr>
              <w:t>0.35%</w:t>
            </w:r>
          </w:p>
        </w:tc>
        <w:tc>
          <w:tcPr>
            <w:tcW w:w="1134"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.20%</w:t>
            </w:r>
          </w:p>
        </w:tc>
        <w:tc>
          <w:tcPr>
            <w:tcW w:w="1071" w:type="dxa"/>
            <w:tcBorders>
              <w:top w:val="single" w:sz="4" w:space="0" w:color="auto"/>
              <w:left w:val="single" w:sz="4" w:space="0" w:color="auto"/>
              <w:bottom w:val="single" w:sz="4" w:space="0" w:color="auto"/>
              <w:right w:val="single" w:sz="4" w:space="0" w:color="auto"/>
            </w:tcBorders>
            <w:vAlign w:val="center"/>
          </w:tcPr>
          <w:p w:rsidR="001A18A5" w:rsidRDefault="00540A98">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r>
              <w:rPr>
                <w:rFonts w:asciiTheme="minorEastAsia" w:hAnsiTheme="minorEastAsia" w:cs="宋体"/>
                <w:color w:val="000000"/>
                <w:kern w:val="0"/>
                <w:szCs w:val="21"/>
              </w:rPr>
              <w:t>.20%</w:t>
            </w:r>
          </w:p>
        </w:tc>
      </w:tr>
    </w:tbl>
    <w:p w:rsidR="001A18A5" w:rsidRDefault="001A18A5">
      <w:pPr>
        <w:spacing w:line="360" w:lineRule="auto"/>
        <w:ind w:firstLineChars="200" w:firstLine="420"/>
        <w:rPr>
          <w:rFonts w:ascii="宋体" w:hAnsi="宋体" w:cs="宋体"/>
          <w:color w:val="000000"/>
          <w:kern w:val="0"/>
          <w:szCs w:val="21"/>
        </w:rPr>
      </w:pPr>
    </w:p>
    <w:p w:rsidR="001A18A5" w:rsidRDefault="001A18A5">
      <w:pPr>
        <w:spacing w:line="360" w:lineRule="auto"/>
        <w:ind w:firstLineChars="200" w:firstLine="420"/>
        <w:jc w:val="right"/>
        <w:rPr>
          <w:rFonts w:asciiTheme="minorEastAsia" w:hAnsiTheme="minorEastAsia"/>
          <w:color w:val="000000"/>
        </w:rPr>
      </w:pPr>
    </w:p>
    <w:sectPr w:rsidR="001A18A5" w:rsidSect="001A18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8A5" w:rsidRDefault="001A18A5" w:rsidP="001A18A5">
      <w:r>
        <w:separator/>
      </w:r>
    </w:p>
  </w:endnote>
  <w:endnote w:type="continuationSeparator" w:id="0">
    <w:p w:rsidR="001A18A5" w:rsidRDefault="001A18A5" w:rsidP="001A1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428503"/>
    </w:sdtPr>
    <w:sdtContent>
      <w:p w:rsidR="001A18A5" w:rsidRDefault="001A18A5">
        <w:pPr>
          <w:pStyle w:val="a6"/>
          <w:jc w:val="center"/>
        </w:pPr>
        <w:r>
          <w:fldChar w:fldCharType="begin"/>
        </w:r>
        <w:r w:rsidR="00540A98">
          <w:instrText>PAGE   \* MERGEFORMAT</w:instrText>
        </w:r>
        <w:r>
          <w:fldChar w:fldCharType="separate"/>
        </w:r>
        <w:r w:rsidR="00540A98" w:rsidRPr="00540A98">
          <w:rPr>
            <w:noProof/>
            <w:lang w:val="zh-CN"/>
          </w:rPr>
          <w:t>1</w:t>
        </w:r>
        <w:r>
          <w:fldChar w:fldCharType="end"/>
        </w:r>
      </w:p>
    </w:sdtContent>
  </w:sdt>
  <w:p w:rsidR="001A18A5" w:rsidRDefault="001A18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8A5" w:rsidRDefault="001A18A5" w:rsidP="001A18A5">
      <w:r>
        <w:separator/>
      </w:r>
    </w:p>
  </w:footnote>
  <w:footnote w:type="continuationSeparator" w:id="0">
    <w:p w:rsidR="001A18A5" w:rsidRDefault="001A18A5" w:rsidP="001A1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357"/>
    <w:rsid w:val="00003530"/>
    <w:rsid w:val="0000617D"/>
    <w:rsid w:val="000274FB"/>
    <w:rsid w:val="00033D83"/>
    <w:rsid w:val="000377E2"/>
    <w:rsid w:val="000377EB"/>
    <w:rsid w:val="00050411"/>
    <w:rsid w:val="000540A5"/>
    <w:rsid w:val="00054735"/>
    <w:rsid w:val="00063E11"/>
    <w:rsid w:val="0006424A"/>
    <w:rsid w:val="0006568B"/>
    <w:rsid w:val="0006764A"/>
    <w:rsid w:val="00070D7F"/>
    <w:rsid w:val="00076884"/>
    <w:rsid w:val="00076D0F"/>
    <w:rsid w:val="000823C2"/>
    <w:rsid w:val="000930E9"/>
    <w:rsid w:val="000A6828"/>
    <w:rsid w:val="000B79BB"/>
    <w:rsid w:val="000C4FD4"/>
    <w:rsid w:val="000C6999"/>
    <w:rsid w:val="000F2CF2"/>
    <w:rsid w:val="000F57BA"/>
    <w:rsid w:val="0010216C"/>
    <w:rsid w:val="00104696"/>
    <w:rsid w:val="00105903"/>
    <w:rsid w:val="0010794C"/>
    <w:rsid w:val="00114609"/>
    <w:rsid w:val="00127582"/>
    <w:rsid w:val="00132357"/>
    <w:rsid w:val="00132DB9"/>
    <w:rsid w:val="00136F4B"/>
    <w:rsid w:val="00140601"/>
    <w:rsid w:val="00153F74"/>
    <w:rsid w:val="001779D7"/>
    <w:rsid w:val="0019018C"/>
    <w:rsid w:val="00192CC8"/>
    <w:rsid w:val="001970F0"/>
    <w:rsid w:val="001A045F"/>
    <w:rsid w:val="001A18A5"/>
    <w:rsid w:val="001A7647"/>
    <w:rsid w:val="001C44F1"/>
    <w:rsid w:val="001D0CEA"/>
    <w:rsid w:val="001E746C"/>
    <w:rsid w:val="002224CB"/>
    <w:rsid w:val="00223B8B"/>
    <w:rsid w:val="00224ED0"/>
    <w:rsid w:val="002335CF"/>
    <w:rsid w:val="002364A7"/>
    <w:rsid w:val="002679C4"/>
    <w:rsid w:val="00271FF6"/>
    <w:rsid w:val="0027567E"/>
    <w:rsid w:val="002769B1"/>
    <w:rsid w:val="002804A9"/>
    <w:rsid w:val="0028554A"/>
    <w:rsid w:val="00285D8B"/>
    <w:rsid w:val="00291266"/>
    <w:rsid w:val="002B2F3D"/>
    <w:rsid w:val="002B4DC4"/>
    <w:rsid w:val="002C18B0"/>
    <w:rsid w:val="002D0177"/>
    <w:rsid w:val="002D1F64"/>
    <w:rsid w:val="002D389C"/>
    <w:rsid w:val="002D5039"/>
    <w:rsid w:val="002E01CF"/>
    <w:rsid w:val="002E3CFD"/>
    <w:rsid w:val="00313858"/>
    <w:rsid w:val="00316EB7"/>
    <w:rsid w:val="00350CD3"/>
    <w:rsid w:val="00354AAF"/>
    <w:rsid w:val="00355487"/>
    <w:rsid w:val="00376098"/>
    <w:rsid w:val="0038202E"/>
    <w:rsid w:val="003906D9"/>
    <w:rsid w:val="00390765"/>
    <w:rsid w:val="00391AC3"/>
    <w:rsid w:val="00393DF1"/>
    <w:rsid w:val="003A20B4"/>
    <w:rsid w:val="003A776F"/>
    <w:rsid w:val="003A7D95"/>
    <w:rsid w:val="003A7DED"/>
    <w:rsid w:val="003B74F4"/>
    <w:rsid w:val="003C609E"/>
    <w:rsid w:val="003D1059"/>
    <w:rsid w:val="003D56F0"/>
    <w:rsid w:val="003D6D28"/>
    <w:rsid w:val="003E7C95"/>
    <w:rsid w:val="003F3E01"/>
    <w:rsid w:val="003F74CE"/>
    <w:rsid w:val="004010FF"/>
    <w:rsid w:val="004325E9"/>
    <w:rsid w:val="004419A3"/>
    <w:rsid w:val="004620AD"/>
    <w:rsid w:val="00464163"/>
    <w:rsid w:val="0046638D"/>
    <w:rsid w:val="00481DC1"/>
    <w:rsid w:val="00487032"/>
    <w:rsid w:val="00491DE9"/>
    <w:rsid w:val="00493C3E"/>
    <w:rsid w:val="0049632A"/>
    <w:rsid w:val="00496845"/>
    <w:rsid w:val="00497380"/>
    <w:rsid w:val="004A1951"/>
    <w:rsid w:val="004B45E0"/>
    <w:rsid w:val="004B655A"/>
    <w:rsid w:val="004C2E4C"/>
    <w:rsid w:val="004C36FF"/>
    <w:rsid w:val="004D38C4"/>
    <w:rsid w:val="004F774F"/>
    <w:rsid w:val="00501459"/>
    <w:rsid w:val="00510B32"/>
    <w:rsid w:val="00516D51"/>
    <w:rsid w:val="005204B8"/>
    <w:rsid w:val="005269A9"/>
    <w:rsid w:val="005370A5"/>
    <w:rsid w:val="00540A72"/>
    <w:rsid w:val="00540A98"/>
    <w:rsid w:val="00543D4A"/>
    <w:rsid w:val="00550285"/>
    <w:rsid w:val="00553146"/>
    <w:rsid w:val="00563ABB"/>
    <w:rsid w:val="00575066"/>
    <w:rsid w:val="00594BB3"/>
    <w:rsid w:val="00596A5D"/>
    <w:rsid w:val="005A0FD0"/>
    <w:rsid w:val="005A15C2"/>
    <w:rsid w:val="005A3BB6"/>
    <w:rsid w:val="005C20B3"/>
    <w:rsid w:val="005D5535"/>
    <w:rsid w:val="005F5342"/>
    <w:rsid w:val="0060233F"/>
    <w:rsid w:val="00606D85"/>
    <w:rsid w:val="0060719F"/>
    <w:rsid w:val="00614769"/>
    <w:rsid w:val="006155E6"/>
    <w:rsid w:val="00635B29"/>
    <w:rsid w:val="006413CE"/>
    <w:rsid w:val="006549F0"/>
    <w:rsid w:val="00674640"/>
    <w:rsid w:val="00677F91"/>
    <w:rsid w:val="00697EFD"/>
    <w:rsid w:val="006A2A7E"/>
    <w:rsid w:val="006B21CF"/>
    <w:rsid w:val="006C1BAC"/>
    <w:rsid w:val="006D393E"/>
    <w:rsid w:val="00706B4F"/>
    <w:rsid w:val="00707F6C"/>
    <w:rsid w:val="00710ACA"/>
    <w:rsid w:val="00713670"/>
    <w:rsid w:val="00715F35"/>
    <w:rsid w:val="00716D59"/>
    <w:rsid w:val="00717124"/>
    <w:rsid w:val="007173FD"/>
    <w:rsid w:val="00721283"/>
    <w:rsid w:val="00725532"/>
    <w:rsid w:val="00731E24"/>
    <w:rsid w:val="00731E52"/>
    <w:rsid w:val="007331B2"/>
    <w:rsid w:val="00746F4C"/>
    <w:rsid w:val="007513FB"/>
    <w:rsid w:val="007914EE"/>
    <w:rsid w:val="00794CF6"/>
    <w:rsid w:val="007962D0"/>
    <w:rsid w:val="007A2FC6"/>
    <w:rsid w:val="007A60AB"/>
    <w:rsid w:val="007B7D03"/>
    <w:rsid w:val="007C23B3"/>
    <w:rsid w:val="007C57D6"/>
    <w:rsid w:val="007F386B"/>
    <w:rsid w:val="007F6CB3"/>
    <w:rsid w:val="007F7C7C"/>
    <w:rsid w:val="00810830"/>
    <w:rsid w:val="00813C52"/>
    <w:rsid w:val="00814C22"/>
    <w:rsid w:val="0081572D"/>
    <w:rsid w:val="008407DD"/>
    <w:rsid w:val="00841593"/>
    <w:rsid w:val="00843620"/>
    <w:rsid w:val="00854ADA"/>
    <w:rsid w:val="0087500E"/>
    <w:rsid w:val="00880ADE"/>
    <w:rsid w:val="008B0A31"/>
    <w:rsid w:val="008B7FF1"/>
    <w:rsid w:val="008D3AF0"/>
    <w:rsid w:val="008E076D"/>
    <w:rsid w:val="008E4ECB"/>
    <w:rsid w:val="008E56A9"/>
    <w:rsid w:val="008F5E65"/>
    <w:rsid w:val="00920FFB"/>
    <w:rsid w:val="00922B5F"/>
    <w:rsid w:val="00923F2B"/>
    <w:rsid w:val="0092781E"/>
    <w:rsid w:val="00932224"/>
    <w:rsid w:val="00935342"/>
    <w:rsid w:val="00935379"/>
    <w:rsid w:val="00943CC1"/>
    <w:rsid w:val="0094654A"/>
    <w:rsid w:val="00947AE6"/>
    <w:rsid w:val="00963CDD"/>
    <w:rsid w:val="00971998"/>
    <w:rsid w:val="00974368"/>
    <w:rsid w:val="00974976"/>
    <w:rsid w:val="0098426F"/>
    <w:rsid w:val="0098733E"/>
    <w:rsid w:val="00987C71"/>
    <w:rsid w:val="009946D1"/>
    <w:rsid w:val="009A13FA"/>
    <w:rsid w:val="009C04FB"/>
    <w:rsid w:val="009E081D"/>
    <w:rsid w:val="009E14CA"/>
    <w:rsid w:val="009E6774"/>
    <w:rsid w:val="009F216B"/>
    <w:rsid w:val="00A0143B"/>
    <w:rsid w:val="00A0161E"/>
    <w:rsid w:val="00A12347"/>
    <w:rsid w:val="00A40C89"/>
    <w:rsid w:val="00A41307"/>
    <w:rsid w:val="00A5535D"/>
    <w:rsid w:val="00A74F16"/>
    <w:rsid w:val="00A906F3"/>
    <w:rsid w:val="00A91E09"/>
    <w:rsid w:val="00A92265"/>
    <w:rsid w:val="00A940E8"/>
    <w:rsid w:val="00AA0CFA"/>
    <w:rsid w:val="00AA63D6"/>
    <w:rsid w:val="00AB5549"/>
    <w:rsid w:val="00AB7C19"/>
    <w:rsid w:val="00AC64E6"/>
    <w:rsid w:val="00AD17BF"/>
    <w:rsid w:val="00AD484A"/>
    <w:rsid w:val="00AD5C5E"/>
    <w:rsid w:val="00AE57DC"/>
    <w:rsid w:val="00B07614"/>
    <w:rsid w:val="00B10717"/>
    <w:rsid w:val="00B11207"/>
    <w:rsid w:val="00B140E9"/>
    <w:rsid w:val="00B24FDA"/>
    <w:rsid w:val="00B402D2"/>
    <w:rsid w:val="00B447AA"/>
    <w:rsid w:val="00B45023"/>
    <w:rsid w:val="00B47398"/>
    <w:rsid w:val="00B50FDE"/>
    <w:rsid w:val="00B513E2"/>
    <w:rsid w:val="00B56D5E"/>
    <w:rsid w:val="00B72415"/>
    <w:rsid w:val="00B73F4A"/>
    <w:rsid w:val="00B74614"/>
    <w:rsid w:val="00B75C2A"/>
    <w:rsid w:val="00B81597"/>
    <w:rsid w:val="00B81DFD"/>
    <w:rsid w:val="00B85891"/>
    <w:rsid w:val="00B86B92"/>
    <w:rsid w:val="00B90A48"/>
    <w:rsid w:val="00B91CAD"/>
    <w:rsid w:val="00B94EDE"/>
    <w:rsid w:val="00BA18FC"/>
    <w:rsid w:val="00BC2EFA"/>
    <w:rsid w:val="00BD7D4A"/>
    <w:rsid w:val="00BE3877"/>
    <w:rsid w:val="00BE476F"/>
    <w:rsid w:val="00BE5357"/>
    <w:rsid w:val="00BF59BE"/>
    <w:rsid w:val="00C05906"/>
    <w:rsid w:val="00C06113"/>
    <w:rsid w:val="00C20F00"/>
    <w:rsid w:val="00C31943"/>
    <w:rsid w:val="00C41346"/>
    <w:rsid w:val="00C53082"/>
    <w:rsid w:val="00C5569E"/>
    <w:rsid w:val="00C62547"/>
    <w:rsid w:val="00C631F7"/>
    <w:rsid w:val="00C7250F"/>
    <w:rsid w:val="00C819F0"/>
    <w:rsid w:val="00C90B02"/>
    <w:rsid w:val="00C95CA7"/>
    <w:rsid w:val="00C970E8"/>
    <w:rsid w:val="00CA5EE0"/>
    <w:rsid w:val="00CB5753"/>
    <w:rsid w:val="00CC05D1"/>
    <w:rsid w:val="00CC285B"/>
    <w:rsid w:val="00CC34D7"/>
    <w:rsid w:val="00CC3E69"/>
    <w:rsid w:val="00CD2CA8"/>
    <w:rsid w:val="00CD3404"/>
    <w:rsid w:val="00CD4293"/>
    <w:rsid w:val="00CD678F"/>
    <w:rsid w:val="00CE0143"/>
    <w:rsid w:val="00CE513A"/>
    <w:rsid w:val="00CF2A1F"/>
    <w:rsid w:val="00CF6FB4"/>
    <w:rsid w:val="00D130A7"/>
    <w:rsid w:val="00D1365B"/>
    <w:rsid w:val="00D20635"/>
    <w:rsid w:val="00D365A6"/>
    <w:rsid w:val="00D46ADC"/>
    <w:rsid w:val="00D5260A"/>
    <w:rsid w:val="00D62A17"/>
    <w:rsid w:val="00D63531"/>
    <w:rsid w:val="00D66976"/>
    <w:rsid w:val="00D86584"/>
    <w:rsid w:val="00D87C91"/>
    <w:rsid w:val="00DA389D"/>
    <w:rsid w:val="00DA515B"/>
    <w:rsid w:val="00DA62BB"/>
    <w:rsid w:val="00DA6B1B"/>
    <w:rsid w:val="00DB0626"/>
    <w:rsid w:val="00DB73C6"/>
    <w:rsid w:val="00DD07A8"/>
    <w:rsid w:val="00DD43D6"/>
    <w:rsid w:val="00DE6022"/>
    <w:rsid w:val="00E07F6F"/>
    <w:rsid w:val="00E4430F"/>
    <w:rsid w:val="00E467C9"/>
    <w:rsid w:val="00E52C30"/>
    <w:rsid w:val="00E5367A"/>
    <w:rsid w:val="00E53C2B"/>
    <w:rsid w:val="00E55467"/>
    <w:rsid w:val="00E56F36"/>
    <w:rsid w:val="00E62C70"/>
    <w:rsid w:val="00E63BCC"/>
    <w:rsid w:val="00E71860"/>
    <w:rsid w:val="00E855BB"/>
    <w:rsid w:val="00E86DAC"/>
    <w:rsid w:val="00E92EF9"/>
    <w:rsid w:val="00EA0880"/>
    <w:rsid w:val="00EA1CFF"/>
    <w:rsid w:val="00EB4998"/>
    <w:rsid w:val="00ED6BDF"/>
    <w:rsid w:val="00EF4E26"/>
    <w:rsid w:val="00F04FBD"/>
    <w:rsid w:val="00F05B95"/>
    <w:rsid w:val="00F21261"/>
    <w:rsid w:val="00F249E6"/>
    <w:rsid w:val="00F251E8"/>
    <w:rsid w:val="00F47579"/>
    <w:rsid w:val="00F56D5E"/>
    <w:rsid w:val="00F61BAA"/>
    <w:rsid w:val="00F74F2A"/>
    <w:rsid w:val="00F831E7"/>
    <w:rsid w:val="00F832C8"/>
    <w:rsid w:val="00F86491"/>
    <w:rsid w:val="00F942CD"/>
    <w:rsid w:val="00FA5606"/>
    <w:rsid w:val="00FC1ABC"/>
    <w:rsid w:val="00FC451C"/>
    <w:rsid w:val="00FD3667"/>
    <w:rsid w:val="00FD530D"/>
    <w:rsid w:val="00FE43B4"/>
    <w:rsid w:val="00FE4E33"/>
    <w:rsid w:val="00FF3779"/>
    <w:rsid w:val="05DE4630"/>
    <w:rsid w:val="1D886888"/>
    <w:rsid w:val="41F57D62"/>
    <w:rsid w:val="5CE2C487"/>
    <w:rsid w:val="5F752B65"/>
    <w:rsid w:val="73B73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8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A18A5"/>
    <w:rPr>
      <w:rFonts w:ascii="宋体" w:eastAsia="宋体"/>
      <w:sz w:val="18"/>
      <w:szCs w:val="18"/>
    </w:rPr>
  </w:style>
  <w:style w:type="paragraph" w:styleId="a4">
    <w:name w:val="annotation text"/>
    <w:basedOn w:val="a"/>
    <w:link w:val="Char0"/>
    <w:unhideWhenUsed/>
    <w:qFormat/>
    <w:rsid w:val="001A18A5"/>
    <w:pPr>
      <w:jc w:val="left"/>
    </w:pPr>
  </w:style>
  <w:style w:type="paragraph" w:styleId="a5">
    <w:name w:val="Balloon Text"/>
    <w:basedOn w:val="a"/>
    <w:link w:val="Char1"/>
    <w:uiPriority w:val="99"/>
    <w:semiHidden/>
    <w:unhideWhenUsed/>
    <w:qFormat/>
    <w:rsid w:val="001A18A5"/>
    <w:rPr>
      <w:sz w:val="18"/>
      <w:szCs w:val="18"/>
    </w:rPr>
  </w:style>
  <w:style w:type="paragraph" w:styleId="a6">
    <w:name w:val="footer"/>
    <w:basedOn w:val="a"/>
    <w:link w:val="Char2"/>
    <w:uiPriority w:val="99"/>
    <w:unhideWhenUsed/>
    <w:qFormat/>
    <w:rsid w:val="001A18A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A18A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1A18A5"/>
    <w:pPr>
      <w:spacing w:line="400" w:lineRule="atLeast"/>
      <w:ind w:firstLineChars="100" w:firstLine="600"/>
    </w:pPr>
    <w:rPr>
      <w:rFonts w:ascii="宋体" w:eastAsia="仿宋_GB2312" w:hAnsi="Times New Roman" w:cs="Times New Roman" w:hint="eastAsia"/>
      <w:sz w:val="28"/>
      <w:szCs w:val="20"/>
    </w:rPr>
  </w:style>
  <w:style w:type="paragraph" w:styleId="2">
    <w:name w:val="Body Text 2"/>
    <w:basedOn w:val="a"/>
    <w:link w:val="2Char"/>
    <w:uiPriority w:val="99"/>
    <w:unhideWhenUsed/>
    <w:qFormat/>
    <w:rsid w:val="001A18A5"/>
    <w:pPr>
      <w:spacing w:after="120" w:line="480" w:lineRule="auto"/>
    </w:pPr>
  </w:style>
  <w:style w:type="paragraph" w:styleId="a8">
    <w:name w:val="Normal (Web)"/>
    <w:basedOn w:val="a"/>
    <w:uiPriority w:val="99"/>
    <w:qFormat/>
    <w:rsid w:val="001A18A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a9">
    <w:name w:val="annotation subject"/>
    <w:basedOn w:val="a4"/>
    <w:next w:val="a4"/>
    <w:link w:val="Char4"/>
    <w:uiPriority w:val="99"/>
    <w:semiHidden/>
    <w:unhideWhenUsed/>
    <w:qFormat/>
    <w:rsid w:val="001A18A5"/>
    <w:rPr>
      <w:b/>
      <w:bCs/>
    </w:rPr>
  </w:style>
  <w:style w:type="table" w:styleId="aa">
    <w:name w:val="Table Grid"/>
    <w:basedOn w:val="a1"/>
    <w:uiPriority w:val="59"/>
    <w:qFormat/>
    <w:rsid w:val="001A18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uiPriority w:val="22"/>
    <w:qFormat/>
    <w:rsid w:val="001A18A5"/>
    <w:rPr>
      <w:b/>
      <w:bCs/>
    </w:rPr>
  </w:style>
  <w:style w:type="character" w:styleId="ac">
    <w:name w:val="annotation reference"/>
    <w:basedOn w:val="a0"/>
    <w:unhideWhenUsed/>
    <w:qFormat/>
    <w:rsid w:val="001A18A5"/>
    <w:rPr>
      <w:sz w:val="21"/>
      <w:szCs w:val="21"/>
    </w:rPr>
  </w:style>
  <w:style w:type="character" w:customStyle="1" w:styleId="Char0">
    <w:name w:val="批注文字 Char"/>
    <w:basedOn w:val="a0"/>
    <w:link w:val="a4"/>
    <w:qFormat/>
    <w:rsid w:val="001A18A5"/>
  </w:style>
  <w:style w:type="character" w:customStyle="1" w:styleId="Char4">
    <w:name w:val="批注主题 Char"/>
    <w:basedOn w:val="Char0"/>
    <w:link w:val="a9"/>
    <w:uiPriority w:val="99"/>
    <w:semiHidden/>
    <w:qFormat/>
    <w:rsid w:val="001A18A5"/>
    <w:rPr>
      <w:b/>
      <w:bCs/>
    </w:rPr>
  </w:style>
  <w:style w:type="character" w:customStyle="1" w:styleId="Char1">
    <w:name w:val="批注框文本 Char"/>
    <w:basedOn w:val="a0"/>
    <w:link w:val="a5"/>
    <w:uiPriority w:val="99"/>
    <w:semiHidden/>
    <w:qFormat/>
    <w:rsid w:val="001A18A5"/>
    <w:rPr>
      <w:sz w:val="18"/>
      <w:szCs w:val="18"/>
    </w:rPr>
  </w:style>
  <w:style w:type="character" w:customStyle="1" w:styleId="Char3">
    <w:name w:val="页眉 Char"/>
    <w:basedOn w:val="a0"/>
    <w:link w:val="a7"/>
    <w:uiPriority w:val="99"/>
    <w:qFormat/>
    <w:rsid w:val="001A18A5"/>
    <w:rPr>
      <w:sz w:val="18"/>
      <w:szCs w:val="18"/>
    </w:rPr>
  </w:style>
  <w:style w:type="character" w:customStyle="1" w:styleId="Char2">
    <w:name w:val="页脚 Char"/>
    <w:basedOn w:val="a0"/>
    <w:link w:val="a6"/>
    <w:uiPriority w:val="99"/>
    <w:qFormat/>
    <w:rsid w:val="001A18A5"/>
    <w:rPr>
      <w:sz w:val="18"/>
      <w:szCs w:val="18"/>
    </w:rPr>
  </w:style>
  <w:style w:type="paragraph" w:customStyle="1" w:styleId="1">
    <w:name w:val="修订1"/>
    <w:hidden/>
    <w:uiPriority w:val="99"/>
    <w:semiHidden/>
    <w:qFormat/>
    <w:rsid w:val="001A18A5"/>
    <w:rPr>
      <w:kern w:val="2"/>
      <w:sz w:val="21"/>
      <w:szCs w:val="22"/>
    </w:rPr>
  </w:style>
  <w:style w:type="paragraph" w:customStyle="1" w:styleId="tl1">
    <w:name w:val="tl1"/>
    <w:basedOn w:val="a"/>
    <w:qFormat/>
    <w:rsid w:val="001A18A5"/>
    <w:pPr>
      <w:widowControl/>
      <w:jc w:val="center"/>
    </w:pPr>
    <w:rPr>
      <w:rFonts w:ascii="黑体" w:eastAsia="黑体" w:hAnsi="黑体" w:cs="Arial"/>
      <w:color w:val="003F8E"/>
      <w:kern w:val="0"/>
      <w:sz w:val="15"/>
      <w:szCs w:val="15"/>
    </w:rPr>
  </w:style>
  <w:style w:type="paragraph" w:styleId="ad">
    <w:name w:val="List Paragraph"/>
    <w:basedOn w:val="a"/>
    <w:uiPriority w:val="34"/>
    <w:qFormat/>
    <w:rsid w:val="001A18A5"/>
    <w:pPr>
      <w:ind w:firstLineChars="200" w:firstLine="420"/>
    </w:pPr>
  </w:style>
  <w:style w:type="character" w:customStyle="1" w:styleId="3Char">
    <w:name w:val="正文文本缩进 3 Char"/>
    <w:basedOn w:val="a0"/>
    <w:link w:val="3"/>
    <w:qFormat/>
    <w:rsid w:val="001A18A5"/>
    <w:rPr>
      <w:rFonts w:ascii="宋体" w:eastAsia="仿宋_GB2312" w:hAnsi="Times New Roman" w:cs="Times New Roman"/>
      <w:sz w:val="28"/>
      <w:szCs w:val="20"/>
    </w:rPr>
  </w:style>
  <w:style w:type="character" w:customStyle="1" w:styleId="Char">
    <w:name w:val="文档结构图 Char"/>
    <w:basedOn w:val="a0"/>
    <w:link w:val="a3"/>
    <w:uiPriority w:val="99"/>
    <w:semiHidden/>
    <w:qFormat/>
    <w:rsid w:val="001A18A5"/>
    <w:rPr>
      <w:rFonts w:ascii="宋体" w:eastAsia="宋体"/>
      <w:sz w:val="18"/>
      <w:szCs w:val="18"/>
    </w:rPr>
  </w:style>
  <w:style w:type="character" w:customStyle="1" w:styleId="2Char">
    <w:name w:val="正文文本 2 Char"/>
    <w:basedOn w:val="a0"/>
    <w:link w:val="2"/>
    <w:uiPriority w:val="99"/>
    <w:qFormat/>
    <w:rsid w:val="001A18A5"/>
  </w:style>
  <w:style w:type="paragraph" w:customStyle="1" w:styleId="Default">
    <w:name w:val="Default"/>
    <w:qFormat/>
    <w:rsid w:val="001A18A5"/>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4</DocSecurity>
  <Lines>10</Lines>
  <Paragraphs>2</Paragraphs>
  <ScaleCrop>false</ScaleCrop>
  <Company>CNSTOCK</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li_yg</dc:creator>
  <cp:lastModifiedBy>ZHONGM</cp:lastModifiedBy>
  <cp:revision>2</cp:revision>
  <cp:lastPrinted>2023-07-06T09:29:00Z</cp:lastPrinted>
  <dcterms:created xsi:type="dcterms:W3CDTF">2025-02-07T16:01:00Z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9C8014712B804983BB194ECD1320D096</vt:lpwstr>
  </property>
</Properties>
</file>