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26" w:rsidRPr="00FA5BC7" w:rsidRDefault="00781426" w:rsidP="00781426">
      <w:pPr>
        <w:widowControl/>
        <w:spacing w:line="480" w:lineRule="atLeast"/>
        <w:jc w:val="left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bookmarkStart w:id="0" w:name="_GoBack"/>
      <w:bookmarkEnd w:id="0"/>
      <w:r w:rsidRPr="00FA5BC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招商基金管理有限公司关于旗下基金估值变更的公告</w:t>
      </w:r>
    </w:p>
    <w:p w:rsidR="00781426" w:rsidRPr="00FA5BC7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招商基金管理有限公司（以下简称“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”）旗下基金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持有下列股票：</w:t>
      </w:r>
      <w:r w:rsidR="009E1EDF" w:rsidRPr="009E1EDF">
        <w:rPr>
          <w:rFonts w:ascii="微软雅黑" w:eastAsia="微软雅黑" w:hAnsi="微软雅黑" w:cs="宋体" w:hint="eastAsia"/>
          <w:kern w:val="0"/>
          <w:sz w:val="24"/>
          <w:szCs w:val="24"/>
        </w:rPr>
        <w:t>奥浦迈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（</w:t>
      </w:r>
      <w:r w:rsidR="009E1EDF">
        <w:rPr>
          <w:rFonts w:ascii="微软雅黑" w:eastAsia="微软雅黑" w:hAnsi="微软雅黑" w:cs="宋体"/>
          <w:kern w:val="0"/>
          <w:sz w:val="24"/>
          <w:szCs w:val="24"/>
        </w:rPr>
        <w:t>688293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）</w:t>
      </w:r>
      <w:r w:rsidRPr="00CA4BF7"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781426" w:rsidRPr="00FA5BC7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根据中国证券监督管理委员会 《中国证监会关于证券投资基金估值业务的指导意见》（第[2017]13号）和基金合同的相关约定，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公司经与基金托管人、会计师事务所协商一致，决定自</w:t>
      </w:r>
      <w:r>
        <w:rPr>
          <w:rFonts w:ascii="微软雅黑" w:eastAsia="微软雅黑" w:hAnsi="微软雅黑" w:cs="宋体"/>
          <w:kern w:val="0"/>
          <w:sz w:val="24"/>
          <w:szCs w:val="24"/>
        </w:rPr>
        <w:t>2025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年</w:t>
      </w:r>
      <w:r w:rsidR="009E1EDF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月</w:t>
      </w:r>
      <w:r w:rsidR="009E1EDF">
        <w:rPr>
          <w:rFonts w:ascii="微软雅黑" w:eastAsia="微软雅黑" w:hAnsi="微软雅黑" w:cs="宋体" w:hint="eastAsia"/>
          <w:kern w:val="0"/>
          <w:sz w:val="24"/>
          <w:szCs w:val="24"/>
        </w:rPr>
        <w:t>6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日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起，对旗下证券投资基金（除ETF外）所持有的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上述股票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采用“指数收益法”进行估值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同时，对ETF联接基金持有的标的ETF，在当日份额净值的基础上考虑上述股票的调整因素进行估值。</w:t>
      </w:r>
    </w:p>
    <w:p w:rsidR="00781426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待上述股票交易体现了活跃市场交易特征后，将恢复按市价估值方法进行估值</w:t>
      </w:r>
      <w:r w:rsidRPr="00FA5BC7">
        <w:rPr>
          <w:rFonts w:ascii="微软雅黑" w:eastAsia="微软雅黑" w:hAnsi="微软雅黑" w:cs="宋体"/>
          <w:kern w:val="0"/>
          <w:sz w:val="24"/>
          <w:szCs w:val="24"/>
        </w:rPr>
        <w:t>，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届时不再另行公告。敬请投资者予以关注。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风险提示：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本</w:t>
      </w: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公司管理的基金时应认真阅读基金合同和招募说明书。</w:t>
      </w:r>
    </w:p>
    <w:p w:rsidR="00781426" w:rsidRPr="00276DBB" w:rsidRDefault="00781426" w:rsidP="00781426">
      <w:pPr>
        <w:widowControl/>
        <w:spacing w:line="315" w:lineRule="atLeast"/>
        <w:ind w:firstLine="4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特此公告并提示。</w:t>
      </w:r>
    </w:p>
    <w:p w:rsidR="00781426" w:rsidRPr="00276DBB" w:rsidRDefault="00781426" w:rsidP="00781426">
      <w:pPr>
        <w:widowControl/>
        <w:spacing w:line="360" w:lineRule="atLeast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FA5BC7">
        <w:rPr>
          <w:rFonts w:ascii="微软雅黑" w:eastAsia="微软雅黑" w:hAnsi="微软雅黑" w:cs="宋体" w:hint="eastAsia"/>
          <w:kern w:val="0"/>
          <w:sz w:val="24"/>
          <w:szCs w:val="24"/>
        </w:rPr>
        <w:t>招商基金管理有限公司</w:t>
      </w:r>
    </w:p>
    <w:p w:rsidR="00781426" w:rsidRPr="00CA4BF7" w:rsidRDefault="00781426" w:rsidP="00781426">
      <w:pPr>
        <w:widowControl/>
        <w:spacing w:line="360" w:lineRule="atLeast"/>
        <w:ind w:right="120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2025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年</w:t>
      </w:r>
      <w:r w:rsidR="009E1EDF">
        <w:rPr>
          <w:rFonts w:ascii="微软雅黑" w:eastAsia="微软雅黑" w:hAnsi="微软雅黑" w:cs="宋体"/>
          <w:kern w:val="0"/>
          <w:sz w:val="24"/>
          <w:szCs w:val="24"/>
        </w:rPr>
        <w:t>2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月</w:t>
      </w:r>
      <w:r w:rsidR="009E1EDF">
        <w:rPr>
          <w:rFonts w:ascii="微软雅黑" w:eastAsia="微软雅黑" w:hAnsi="微软雅黑" w:cs="宋体"/>
          <w:kern w:val="0"/>
          <w:sz w:val="24"/>
          <w:szCs w:val="24"/>
        </w:rPr>
        <w:t>7</w:t>
      </w:r>
      <w:r w:rsidRPr="00276DBB">
        <w:rPr>
          <w:rFonts w:ascii="微软雅黑" w:eastAsia="微软雅黑" w:hAnsi="微软雅黑" w:cs="宋体"/>
          <w:kern w:val="0"/>
          <w:sz w:val="24"/>
          <w:szCs w:val="24"/>
        </w:rPr>
        <w:t>日</w:t>
      </w:r>
    </w:p>
    <w:p w:rsidR="00781426" w:rsidRPr="00276DBB" w:rsidRDefault="00781426" w:rsidP="00781426">
      <w:pPr>
        <w:rPr>
          <w:rFonts w:ascii="微软雅黑" w:eastAsia="微软雅黑" w:hAnsi="微软雅黑" w:cs="宋体"/>
          <w:kern w:val="0"/>
          <w:sz w:val="24"/>
          <w:szCs w:val="24"/>
        </w:rPr>
      </w:pPr>
    </w:p>
    <w:p w:rsidR="00781426" w:rsidRDefault="00781426" w:rsidP="00781426"/>
    <w:p w:rsidR="00781426" w:rsidRPr="000E280C" w:rsidRDefault="00781426" w:rsidP="00781426">
      <w:pPr>
        <w:spacing w:line="360" w:lineRule="auto"/>
        <w:rPr>
          <w:sz w:val="24"/>
        </w:rPr>
      </w:pPr>
    </w:p>
    <w:p w:rsidR="006E11E7" w:rsidRDefault="006E11E7"/>
    <w:sectPr w:rsidR="006E11E7" w:rsidSect="0079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3E0" w:rsidRDefault="001163E0" w:rsidP="00781426">
      <w:r>
        <w:separator/>
      </w:r>
    </w:p>
  </w:endnote>
  <w:endnote w:type="continuationSeparator" w:id="0">
    <w:p w:rsidR="001163E0" w:rsidRDefault="001163E0" w:rsidP="0078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3E0" w:rsidRDefault="001163E0" w:rsidP="00781426">
      <w:r>
        <w:separator/>
      </w:r>
    </w:p>
  </w:footnote>
  <w:footnote w:type="continuationSeparator" w:id="0">
    <w:p w:rsidR="001163E0" w:rsidRDefault="001163E0" w:rsidP="00781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37"/>
    <w:rsid w:val="001163E0"/>
    <w:rsid w:val="002A5D31"/>
    <w:rsid w:val="00324D74"/>
    <w:rsid w:val="003D7D37"/>
    <w:rsid w:val="005E1592"/>
    <w:rsid w:val="006E11E7"/>
    <w:rsid w:val="00781426"/>
    <w:rsid w:val="0079058B"/>
    <w:rsid w:val="008223FE"/>
    <w:rsid w:val="009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4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周耀槟</dc:creator>
  <cp:keywords/>
  <dc:description/>
  <cp:lastModifiedBy>ZHONGM</cp:lastModifiedBy>
  <cp:revision>2</cp:revision>
  <dcterms:created xsi:type="dcterms:W3CDTF">2025-02-06T16:01:00Z</dcterms:created>
  <dcterms:modified xsi:type="dcterms:W3CDTF">2025-02-06T16:01:00Z</dcterms:modified>
</cp:coreProperties>
</file>