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00" w:rsidRDefault="00C800D1">
      <w:pPr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鹏华优质治理混合型证券投资基金</w:t>
      </w: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(LOF)</w:t>
      </w:r>
      <w:r>
        <w:rPr>
          <w:rFonts w:ascii="宋体" w:eastAsia="宋体" w:hAnsi="宋体" w:cs="宋体"/>
          <w:b/>
          <w:bCs/>
          <w:sz w:val="48"/>
          <w:szCs w:val="48"/>
          <w:lang w:eastAsia="zh-CN"/>
        </w:rPr>
        <w:t>暂停大额申购、转换转入和定期定额投资业务的公告</w:t>
      </w:r>
    </w:p>
    <w:p w:rsidR="003F2D00" w:rsidRDefault="00C800D1">
      <w:pPr>
        <w:jc w:val="center"/>
        <w:rPr>
          <w:sz w:val="30"/>
          <w:szCs w:val="30"/>
        </w:rPr>
      </w:pPr>
      <w:r>
        <w:rPr>
          <w:sz w:val="30"/>
          <w:szCs w:val="30"/>
          <w:lang w:eastAsia="zh-CN"/>
        </w:rPr>
        <w:t> </w:t>
      </w:r>
    </w:p>
    <w:p w:rsidR="003F2D00" w:rsidRDefault="00C800D1">
      <w:pPr>
        <w:jc w:val="center"/>
        <w:rPr>
          <w:sz w:val="30"/>
          <w:szCs w:val="30"/>
        </w:rPr>
      </w:pPr>
      <w:r>
        <w:rPr>
          <w:sz w:val="30"/>
          <w:szCs w:val="30"/>
          <w:lang w:eastAsia="zh-CN"/>
        </w:rPr>
        <w:t> </w:t>
      </w:r>
    </w:p>
    <w:p w:rsidR="003F2D00" w:rsidRDefault="00C800D1">
      <w:pPr>
        <w:jc w:val="center"/>
        <w:rPr>
          <w:sz w:val="30"/>
          <w:szCs w:val="30"/>
        </w:rPr>
      </w:pPr>
      <w:r>
        <w:rPr>
          <w:sz w:val="30"/>
          <w:szCs w:val="30"/>
          <w:lang w:eastAsia="zh-CN"/>
        </w:rPr>
        <w:t> </w:t>
      </w:r>
    </w:p>
    <w:p w:rsidR="003F2D00" w:rsidRDefault="00C800D1">
      <w:pPr>
        <w:jc w:val="center"/>
        <w:rPr>
          <w:sz w:val="30"/>
          <w:szCs w:val="30"/>
        </w:rPr>
      </w:pPr>
      <w:r>
        <w:rPr>
          <w:sz w:val="30"/>
          <w:szCs w:val="30"/>
          <w:lang w:eastAsia="zh-CN"/>
        </w:rPr>
        <w:t> </w:t>
      </w:r>
    </w:p>
    <w:p w:rsidR="003F2D00" w:rsidRDefault="00C800D1">
      <w:pPr>
        <w:jc w:val="center"/>
        <w:rPr>
          <w:sz w:val="30"/>
          <w:szCs w:val="30"/>
        </w:rPr>
      </w:pPr>
      <w:r>
        <w:rPr>
          <w:sz w:val="30"/>
          <w:szCs w:val="30"/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center"/>
        <w:rPr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公告送出日期：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2025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年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12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31</w:t>
      </w: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日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jc w:val="both"/>
      </w:pPr>
      <w:r>
        <w:rPr>
          <w:lang w:eastAsia="zh-CN"/>
        </w:rPr>
        <w:t> </w:t>
      </w:r>
    </w:p>
    <w:p w:rsidR="003F2D00" w:rsidRDefault="00C800D1">
      <w:pPr>
        <w:spacing w:line="360" w:lineRule="auto"/>
      </w:pPr>
      <w:r>
        <w:rPr>
          <w:rFonts w:ascii="宋体" w:eastAsia="宋体" w:hAnsi="宋体" w:cs="宋体"/>
          <w:b/>
          <w:bCs/>
          <w:lang w:eastAsia="zh-CN"/>
        </w:rPr>
        <w:lastRenderedPageBreak/>
        <w:t>1</w:t>
      </w:r>
      <w:r>
        <w:rPr>
          <w:rFonts w:ascii="宋体" w:eastAsia="宋体" w:hAnsi="宋体" w:cs="宋体"/>
          <w:b/>
          <w:bCs/>
          <w:lang w:eastAsia="zh-CN"/>
        </w:rPr>
        <w:t>公告基本信息</w:t>
      </w:r>
    </w:p>
    <w:tbl>
      <w:tblPr>
        <w:tblW w:w="0" w:type="auto"/>
        <w:tblInd w:w="226" w:type="dxa"/>
        <w:tblCellMar>
          <w:left w:w="0" w:type="dxa"/>
          <w:right w:w="0" w:type="dxa"/>
        </w:tblCellMar>
        <w:tblLook w:val="04A0"/>
      </w:tblPr>
      <w:tblGrid>
        <w:gridCol w:w="3045"/>
        <w:gridCol w:w="2187"/>
        <w:gridCol w:w="2616"/>
      </w:tblGrid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基金名称</w:t>
            </w:r>
          </w:p>
        </w:tc>
        <w:tc>
          <w:tcPr>
            <w:tcW w:w="4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鹏华优质治理混合型证券投资基金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(LOF)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基金简称</w:t>
            </w:r>
          </w:p>
        </w:tc>
        <w:tc>
          <w:tcPr>
            <w:tcW w:w="4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鹏华优质治理混合（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基金主代码</w:t>
            </w:r>
          </w:p>
        </w:tc>
        <w:tc>
          <w:tcPr>
            <w:tcW w:w="4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160611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基金管理人名称</w:t>
            </w:r>
          </w:p>
        </w:tc>
        <w:tc>
          <w:tcPr>
            <w:tcW w:w="4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鹏华基金管理有限公司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公告依据</w:t>
            </w:r>
          </w:p>
        </w:tc>
        <w:tc>
          <w:tcPr>
            <w:tcW w:w="4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《鹏华优质治理混合型证券投资基金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(LOF)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基金合同》（以下简称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基金合同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）、《鹏华优质治理混合型证券投资基金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(LOF)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招募说明书》及其更新（以下简称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招募说明书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暂停大额申购起始日</w:t>
            </w:r>
          </w:p>
        </w:tc>
        <w:tc>
          <w:tcPr>
            <w:tcW w:w="4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暂停大额转换转入起始日</w:t>
            </w:r>
          </w:p>
        </w:tc>
        <w:tc>
          <w:tcPr>
            <w:tcW w:w="4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暂停大额定期定额投资起始日</w:t>
            </w:r>
          </w:p>
        </w:tc>
        <w:tc>
          <w:tcPr>
            <w:tcW w:w="4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日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暂停大额申购（转换转入、定期定额投资）的原因说明</w:t>
            </w:r>
          </w:p>
        </w:tc>
        <w:tc>
          <w:tcPr>
            <w:tcW w:w="48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保护基金份额持有人利益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下属基金份额类别的基金简称</w:t>
            </w:r>
          </w:p>
        </w:tc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鹏华优质治理混合（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鹏华优质治理混合（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LOF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C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下属基金份额类别的基金代码</w:t>
            </w:r>
          </w:p>
        </w:tc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160611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019789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该类基金份额是否暂停大额申购（转换转入、定期定额投资）</w:t>
            </w:r>
          </w:p>
        </w:tc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是</w:t>
            </w:r>
          </w:p>
        </w:tc>
      </w:tr>
      <w:tr w:rsidR="003F2D00"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该类基金份额的限制申购（转换转入、定期定额投资）金额</w:t>
            </w:r>
          </w:p>
        </w:tc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1,000,000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8" w:type="dxa"/>
              <w:bottom w:w="10" w:type="dxa"/>
              <w:right w:w="108" w:type="dxa"/>
            </w:tcMar>
          </w:tcPr>
          <w:p w:rsidR="003F2D00" w:rsidRDefault="00C800D1">
            <w:pPr>
              <w:widowControl w:val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1,000,000</w:t>
            </w:r>
          </w:p>
        </w:tc>
      </w:tr>
    </w:tbl>
    <w:p w:rsidR="003F2D00" w:rsidRDefault="00C800D1" w:rsidP="00C800D1">
      <w:pPr>
        <w:spacing w:beforeLines="100" w:line="360" w:lineRule="auto"/>
      </w:pPr>
      <w:r>
        <w:rPr>
          <w:rFonts w:ascii="宋体" w:eastAsia="宋体" w:hAnsi="宋体" w:cs="宋体"/>
          <w:b/>
          <w:bCs/>
          <w:lang w:eastAsia="zh-CN"/>
        </w:rPr>
        <w:t>2</w:t>
      </w:r>
      <w:r>
        <w:rPr>
          <w:rFonts w:ascii="宋体" w:eastAsia="宋体" w:hAnsi="宋体" w:cs="宋体"/>
          <w:b/>
          <w:bCs/>
          <w:lang w:eastAsia="zh-CN"/>
        </w:rPr>
        <w:t>其他需要提示的事项</w:t>
      </w:r>
    </w:p>
    <w:p w:rsidR="003F2D00" w:rsidRDefault="00C800D1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）鹏华优质治理混合型证券投资基金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(LOF)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（以下简称“本基金”）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日起，单日单个基金账户累计的申购、转换转入、定期定额投资金额限额设置为人民币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万元，如某笔申请将导致单日单个基金账户累计申购、转换转入、定期定额投资本基金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A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类基金份额金额超过人民币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万元），本基金管理人将有权拒绝该笔申请。</w:t>
      </w:r>
    </w:p>
    <w:p w:rsidR="003F2D00" w:rsidRDefault="00C800D1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本基金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C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类基金份额自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2026</w:t>
      </w:r>
      <w:bookmarkStart w:id="0" w:name="_GoBack"/>
      <w:bookmarkEnd w:id="0"/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05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日起，单日单个基金账户累计的申购、转换转入、定期定额投资金额限额设置为人民币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万元，如某笔申请将导致单日单个基金账户累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计申购、转换转入、定期定额投资本基金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C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类基金份额金额超过人民币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万元（不含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100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万元），本基金管理人将有权拒绝该笔申请。</w:t>
      </w:r>
    </w:p>
    <w:p w:rsidR="003F2D00" w:rsidRDefault="00C800D1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在暂停大额申购、转换转入、定期定额投资业务期间，赎回、转换转出等其他业务仍照常办理。恢复办理本基金的大额申购、转换转入、定期定额投资业务或调整本基金上述业务限制，基金管理人届时将另行公告。</w:t>
      </w:r>
    </w:p>
    <w:p w:rsidR="003F2D00" w:rsidRDefault="00C800D1">
      <w:pPr>
        <w:spacing w:line="360" w:lineRule="auto"/>
        <w:ind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）投资者可登录本基金管理人网站（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www.phfund.com.cn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），或拨打客户服务电话（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400-6788-533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）咨询相关信息。</w:t>
      </w:r>
    </w:p>
    <w:p w:rsidR="003F2D00" w:rsidRDefault="00C800D1">
      <w:pPr>
        <w:spacing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 </w:t>
      </w:r>
    </w:p>
    <w:p w:rsidR="003F2D00" w:rsidRDefault="00C800D1">
      <w:pPr>
        <w:spacing w:line="360" w:lineRule="auto"/>
        <w:ind w:firstLine="442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lastRenderedPageBreak/>
        <w:t>风险提示：本公司承诺以诚实信用、勤勉尽责的原则管理和运用基金资产，但不保证基金一定盈利，也不保证最低收益，敬请投资者注意投资风险。定期定额投资是引导投资人进行长期投资、平均投资成本的一种简单易行的投资方式。但是定期定额投资并不能规避基金投资所固有的风险，不能保证投资人获得收益，也不是替代储蓄的等效理财方式。投资者投资于本基金前应认真阅读基金的基金合同、招募说明书（更新）、基金产品资料概要（更新）等文件，并根据自身风险承受能力选择适合自己的基金产品。</w:t>
      </w:r>
    </w:p>
    <w:p w:rsidR="003F2D00" w:rsidRDefault="00C800D1">
      <w:pPr>
        <w:spacing w:line="360" w:lineRule="auto"/>
        <w:ind w:firstLine="442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特此公告。</w:t>
      </w:r>
    </w:p>
    <w:p w:rsidR="003F2D00" w:rsidRDefault="00C800D1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鹏华基金管理有限公司</w:t>
      </w:r>
    </w:p>
    <w:p w:rsidR="003F2D00" w:rsidRDefault="00C800D1">
      <w:pPr>
        <w:spacing w:line="360" w:lineRule="auto"/>
        <w:jc w:val="right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12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p w:rsidR="003F2D00" w:rsidRDefault="00C800D1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 </w:t>
      </w:r>
    </w:p>
    <w:p w:rsidR="003F2D00" w:rsidRDefault="003F2D00"/>
    <w:sectPr w:rsidR="003F2D00" w:rsidSect="003F2D00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00" w:rsidRDefault="003F2D00" w:rsidP="003F2D00">
      <w:r>
        <w:separator/>
      </w:r>
    </w:p>
  </w:endnote>
  <w:endnote w:type="continuationSeparator" w:id="0">
    <w:p w:rsidR="003F2D00" w:rsidRDefault="003F2D00" w:rsidP="003F2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00" w:rsidRDefault="003F2D00">
    <w:pPr>
      <w:jc w:val="center"/>
    </w:pPr>
    <w:r>
      <w:rPr>
        <w:rFonts w:ascii="宋体" w:eastAsia="宋体" w:hAnsi="宋体" w:cs="宋体"/>
        <w:sz w:val="18"/>
      </w:rPr>
      <w:fldChar w:fldCharType="begin"/>
    </w:r>
    <w:r w:rsidR="00C800D1">
      <w:rPr>
        <w:rFonts w:ascii="宋体" w:eastAsia="宋体" w:hAnsi="宋体" w:cs="宋体"/>
        <w:sz w:val="18"/>
        <w:lang w:eastAsia="zh-CN"/>
      </w:rPr>
      <w:instrText xml:space="preserve"> PAGE </w:instrText>
    </w:r>
    <w:r>
      <w:rPr>
        <w:rFonts w:ascii="宋体" w:eastAsia="宋体" w:hAnsi="宋体" w:cs="宋体"/>
        <w:sz w:val="18"/>
      </w:rPr>
      <w:fldChar w:fldCharType="separate"/>
    </w:r>
    <w:r w:rsidR="00C800D1">
      <w:rPr>
        <w:rFonts w:ascii="宋体" w:eastAsia="宋体" w:hAnsi="宋体" w:cs="宋体"/>
        <w:noProof/>
        <w:sz w:val="18"/>
        <w:lang w:eastAsia="zh-CN"/>
      </w:rPr>
      <w:t>1</w:t>
    </w:r>
    <w:r>
      <w:rPr>
        <w:rFonts w:ascii="宋体" w:eastAsia="宋体" w:hAnsi="宋体" w:cs="宋体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00" w:rsidRDefault="003F2D00" w:rsidP="003F2D00">
      <w:r>
        <w:separator/>
      </w:r>
    </w:p>
  </w:footnote>
  <w:footnote w:type="continuationSeparator" w:id="0">
    <w:p w:rsidR="003F2D00" w:rsidRDefault="003F2D00" w:rsidP="003F2D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F2D00"/>
    <w:rsid w:val="00A77B3E"/>
    <w:rsid w:val="00C800D1"/>
    <w:rsid w:val="00CA2A55"/>
    <w:rsid w:val="5983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D00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3F2D00"/>
    <w:pPr>
      <w:spacing w:line="360" w:lineRule="auto"/>
    </w:pPr>
    <w:rPr>
      <w:rFonts w:ascii="宋体" w:eastAsia="宋体" w:hAnsi="宋体" w:cs="宋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1148</Characters>
  <Application>Microsoft Office Word</Application>
  <DocSecurity>4</DocSecurity>
  <Lines>9</Lines>
  <Paragraphs>2</Paragraphs>
  <ScaleCrop>false</ScaleCrop>
  <Company>CNSTOCK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ZHONGM</cp:lastModifiedBy>
  <cp:revision>2</cp:revision>
  <dcterms:created xsi:type="dcterms:W3CDTF">2025-12-30T16:05:00Z</dcterms:created>
  <dcterms:modified xsi:type="dcterms:W3CDTF">2025-12-30T16:05:00Z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B589ACA5BE5D49EAA992C5BDBEFF04F9_12</vt:lpwstr>
  </property>
</Properties>
</file>