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52" w:rsidRPr="004E3264" w:rsidRDefault="00C175F5" w:rsidP="00494D52">
      <w:pPr>
        <w:jc w:val="center"/>
        <w:rPr>
          <w:rFonts w:asciiTheme="minorEastAsia" w:eastAsiaTheme="minorEastAsia" w:hAnsiTheme="minorEastAsia" w:cs="Times New Roman"/>
          <w:sz w:val="28"/>
          <w:szCs w:val="28"/>
        </w:rPr>
      </w:pPr>
      <w:r w:rsidRPr="00C175F5">
        <w:rPr>
          <w:rFonts w:asciiTheme="minorEastAsia" w:eastAsiaTheme="minorEastAsia" w:hAnsiTheme="minorEastAsia" w:hint="eastAsia"/>
          <w:sz w:val="28"/>
          <w:szCs w:val="28"/>
        </w:rPr>
        <w:t>华泰柏瑞基金管理有限公司关于</w:t>
      </w:r>
      <w:r w:rsidR="000F4155">
        <w:rPr>
          <w:rFonts w:asciiTheme="minorEastAsia" w:eastAsiaTheme="minorEastAsia" w:hAnsiTheme="minorEastAsia" w:hint="eastAsia"/>
          <w:sz w:val="28"/>
          <w:szCs w:val="28"/>
        </w:rPr>
        <w:t>旗下部分</w:t>
      </w:r>
      <w:r w:rsidR="000D1369" w:rsidRPr="000D1369">
        <w:rPr>
          <w:rFonts w:asciiTheme="minorEastAsia" w:eastAsiaTheme="minorEastAsia" w:hAnsiTheme="minorEastAsia" w:hint="eastAsia"/>
          <w:sz w:val="28"/>
          <w:szCs w:val="28"/>
        </w:rPr>
        <w:t>基金</w:t>
      </w:r>
      <w:r w:rsidR="00CB2A07">
        <w:rPr>
          <w:rFonts w:asciiTheme="minorEastAsia" w:eastAsiaTheme="minorEastAsia" w:hAnsiTheme="minorEastAsia"/>
          <w:sz w:val="28"/>
          <w:szCs w:val="28"/>
        </w:rPr>
        <w:t>2026</w:t>
      </w:r>
      <w:r w:rsidR="000F57D7">
        <w:rPr>
          <w:rFonts w:asciiTheme="minorEastAsia" w:eastAsiaTheme="minorEastAsia" w:hAnsiTheme="minorEastAsia" w:hint="eastAsia"/>
          <w:sz w:val="28"/>
          <w:szCs w:val="28"/>
        </w:rPr>
        <w:t>年</w:t>
      </w:r>
      <w:r w:rsidR="0048517B">
        <w:rPr>
          <w:rFonts w:asciiTheme="minorEastAsia" w:eastAsiaTheme="minorEastAsia" w:hAnsiTheme="minorEastAsia" w:hint="eastAsia"/>
          <w:sz w:val="28"/>
          <w:szCs w:val="28"/>
        </w:rPr>
        <w:t>香港市场节假</w:t>
      </w:r>
      <w:r w:rsidRPr="00C175F5">
        <w:rPr>
          <w:rFonts w:asciiTheme="minorEastAsia" w:eastAsiaTheme="minorEastAsia" w:hAnsiTheme="minorEastAsia" w:hint="eastAsia"/>
          <w:sz w:val="28"/>
          <w:szCs w:val="28"/>
        </w:rPr>
        <w:t>日暂停申购赎回等业务安排的公告</w:t>
      </w:r>
    </w:p>
    <w:p w:rsidR="00472E69" w:rsidRPr="000D1369" w:rsidRDefault="00472E69" w:rsidP="00472E69">
      <w:pPr>
        <w:spacing w:line="360" w:lineRule="auto"/>
        <w:ind w:firstLineChars="200" w:firstLine="480"/>
        <w:rPr>
          <w:rFonts w:ascii="Times New Roman" w:hAnsi="Times New Roman"/>
          <w:sz w:val="24"/>
          <w:szCs w:val="24"/>
        </w:rPr>
      </w:pPr>
    </w:p>
    <w:p w:rsidR="000F4155" w:rsidRDefault="000F4155" w:rsidP="000F4155">
      <w:pPr>
        <w:spacing w:line="360" w:lineRule="auto"/>
        <w:ind w:firstLineChars="200" w:firstLine="480"/>
        <w:rPr>
          <w:rFonts w:ascii="Times New Roman" w:hAnsi="Times New Roman"/>
          <w:sz w:val="24"/>
          <w:szCs w:val="24"/>
        </w:rPr>
      </w:pPr>
      <w:r w:rsidRPr="000F4155">
        <w:rPr>
          <w:rFonts w:ascii="Times New Roman" w:hAnsi="Times New Roman" w:hint="eastAsia"/>
          <w:sz w:val="24"/>
          <w:szCs w:val="24"/>
        </w:rPr>
        <w:t>为了保障基金平稳运作、维护基金份额持有人利益，根据基金合同、招募说明书等相关法律文件的规定，</w:t>
      </w:r>
      <w:r w:rsidR="00775EA4">
        <w:rPr>
          <w:rFonts w:ascii="Times New Roman" w:hAnsi="Times New Roman" w:hint="eastAsia"/>
          <w:sz w:val="24"/>
          <w:szCs w:val="24"/>
        </w:rPr>
        <w:t>华泰柏瑞基金管理有限公司</w:t>
      </w:r>
      <w:r w:rsidRPr="000F4155">
        <w:rPr>
          <w:rFonts w:ascii="Times New Roman" w:hAnsi="Times New Roman" w:hint="eastAsia"/>
          <w:sz w:val="24"/>
          <w:szCs w:val="24"/>
        </w:rPr>
        <w:t>（以下简称“本公司”）决定于</w:t>
      </w:r>
      <w:r w:rsidR="00CB2A07">
        <w:rPr>
          <w:rFonts w:ascii="Times New Roman" w:hAnsi="Times New Roman"/>
          <w:sz w:val="24"/>
          <w:szCs w:val="24"/>
        </w:rPr>
        <w:t>2026</w:t>
      </w:r>
      <w:r w:rsidR="000F57D7">
        <w:rPr>
          <w:rFonts w:ascii="Times New Roman" w:hAnsi="Times New Roman" w:hint="eastAsia"/>
          <w:sz w:val="24"/>
          <w:szCs w:val="24"/>
        </w:rPr>
        <w:t>年</w:t>
      </w:r>
      <w:r w:rsidR="0048517B" w:rsidRPr="0048517B">
        <w:rPr>
          <w:rFonts w:ascii="Times New Roman" w:hAnsi="Times New Roman" w:hint="eastAsia"/>
          <w:sz w:val="24"/>
          <w:szCs w:val="24"/>
        </w:rPr>
        <w:t>相关香港市场节假日暂停旗下部分基金的交易业务</w:t>
      </w:r>
      <w:r w:rsidRPr="000F4155">
        <w:rPr>
          <w:rFonts w:ascii="Times New Roman" w:hAnsi="Times New Roman" w:hint="eastAsia"/>
          <w:sz w:val="24"/>
          <w:szCs w:val="24"/>
        </w:rPr>
        <w:t>（包含申购、赎回、转换及定期定额投资等业务）</w:t>
      </w:r>
      <w:r w:rsidR="00A7737D">
        <w:rPr>
          <w:rFonts w:ascii="Times New Roman" w:hAnsi="Times New Roman" w:hint="eastAsia"/>
          <w:sz w:val="24"/>
          <w:szCs w:val="24"/>
        </w:rPr>
        <w:t>，</w:t>
      </w:r>
      <w:r w:rsidR="00A7737D" w:rsidRPr="00A7737D">
        <w:rPr>
          <w:rFonts w:ascii="Times New Roman" w:hAnsi="Times New Roman" w:hint="eastAsia"/>
          <w:sz w:val="24"/>
          <w:szCs w:val="24"/>
        </w:rPr>
        <w:t>并自下列节假日的下一开放日恢复本基金的日常申购（包括定期定额申购</w:t>
      </w:r>
      <w:r w:rsidR="00A7737D">
        <w:rPr>
          <w:rFonts w:ascii="Times New Roman" w:hAnsi="Times New Roman" w:hint="eastAsia"/>
          <w:sz w:val="24"/>
          <w:szCs w:val="24"/>
        </w:rPr>
        <w:t>、转换</w:t>
      </w:r>
      <w:r w:rsidR="00A7737D" w:rsidRPr="00A7737D">
        <w:rPr>
          <w:rFonts w:ascii="Times New Roman" w:hAnsi="Times New Roman" w:hint="eastAsia"/>
          <w:sz w:val="24"/>
          <w:szCs w:val="24"/>
        </w:rPr>
        <w:t>）和赎回业务，届时不再另行公告。</w:t>
      </w:r>
    </w:p>
    <w:p w:rsidR="000F4155" w:rsidRPr="000F4155" w:rsidRDefault="000F4155" w:rsidP="000F4155">
      <w:pPr>
        <w:pStyle w:val="a7"/>
        <w:numPr>
          <w:ilvl w:val="0"/>
          <w:numId w:val="1"/>
        </w:numPr>
        <w:spacing w:line="360" w:lineRule="auto"/>
        <w:ind w:firstLineChars="0"/>
        <w:rPr>
          <w:rFonts w:ascii="Times New Roman" w:hAnsi="Times New Roman"/>
          <w:sz w:val="24"/>
          <w:szCs w:val="24"/>
        </w:rPr>
      </w:pPr>
      <w:r w:rsidRPr="000F4155">
        <w:rPr>
          <w:rFonts w:ascii="Times New Roman" w:hAnsi="Times New Roman" w:hint="eastAsia"/>
          <w:sz w:val="24"/>
          <w:szCs w:val="24"/>
        </w:rPr>
        <w:t>适用基金范围</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6922"/>
        <w:gridCol w:w="923"/>
      </w:tblGrid>
      <w:tr w:rsidR="000F4155" w:rsidRPr="0048517B" w:rsidTr="002D0CD7">
        <w:trPr>
          <w:trHeight w:val="285"/>
          <w:jc w:val="center"/>
        </w:trPr>
        <w:tc>
          <w:tcPr>
            <w:tcW w:w="564" w:type="dxa"/>
            <w:shd w:val="clear" w:color="auto" w:fill="auto"/>
            <w:noWrap/>
            <w:vAlign w:val="bottom"/>
            <w:hideMark/>
          </w:tcPr>
          <w:p w:rsidR="000F4155" w:rsidRPr="0048517B" w:rsidRDefault="000F4155" w:rsidP="000E2CBF">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序号</w:t>
            </w:r>
          </w:p>
        </w:tc>
        <w:tc>
          <w:tcPr>
            <w:tcW w:w="6922" w:type="dxa"/>
            <w:shd w:val="clear" w:color="auto" w:fill="auto"/>
            <w:noWrap/>
            <w:vAlign w:val="bottom"/>
            <w:hideMark/>
          </w:tcPr>
          <w:p w:rsidR="000F4155" w:rsidRPr="0048517B" w:rsidRDefault="000F4155" w:rsidP="000E2CBF">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基金名称</w:t>
            </w:r>
          </w:p>
        </w:tc>
        <w:tc>
          <w:tcPr>
            <w:tcW w:w="923" w:type="dxa"/>
            <w:shd w:val="clear" w:color="auto" w:fill="auto"/>
            <w:noWrap/>
            <w:vAlign w:val="bottom"/>
            <w:hideMark/>
          </w:tcPr>
          <w:p w:rsidR="000F4155" w:rsidRPr="0048517B" w:rsidRDefault="000F4155" w:rsidP="000E2CBF">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基金代码</w:t>
            </w:r>
          </w:p>
        </w:tc>
      </w:tr>
      <w:tr w:rsidR="00DF74F6" w:rsidRPr="0048517B" w:rsidTr="00DF74F6">
        <w:trPr>
          <w:trHeight w:val="285"/>
          <w:jc w:val="center"/>
        </w:trPr>
        <w:tc>
          <w:tcPr>
            <w:tcW w:w="564" w:type="dxa"/>
            <w:shd w:val="clear" w:color="auto" w:fill="auto"/>
            <w:noWrap/>
            <w:vAlign w:val="bottom"/>
            <w:hideMark/>
          </w:tcPr>
          <w:p w:rsidR="00DF74F6" w:rsidRPr="0048517B" w:rsidRDefault="00DF74F6" w:rsidP="00DF74F6">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1</w:t>
            </w:r>
          </w:p>
        </w:tc>
        <w:tc>
          <w:tcPr>
            <w:tcW w:w="6922" w:type="dxa"/>
            <w:shd w:val="clear" w:color="auto" w:fill="auto"/>
            <w:noWrap/>
            <w:vAlign w:val="bottom"/>
            <w:hideMark/>
          </w:tcPr>
          <w:p w:rsidR="00DF74F6" w:rsidRPr="0048517B" w:rsidRDefault="0048517B" w:rsidP="00DF74F6">
            <w:pPr>
              <w:jc w:val="center"/>
              <w:rPr>
                <w:rFonts w:asciiTheme="minorEastAsia" w:eastAsiaTheme="minorEastAsia" w:hAnsiTheme="minorEastAsia"/>
                <w:color w:val="000000"/>
                <w:sz w:val="18"/>
                <w:szCs w:val="18"/>
              </w:rPr>
            </w:pPr>
            <w:r w:rsidRPr="0048517B">
              <w:rPr>
                <w:rFonts w:asciiTheme="minorEastAsia" w:eastAsiaTheme="minorEastAsia" w:hAnsiTheme="minorEastAsia"/>
                <w:sz w:val="18"/>
                <w:szCs w:val="18"/>
              </w:rPr>
              <w:t>华泰柏瑞亚洲领导企业混合型证券投资基金</w:t>
            </w:r>
          </w:p>
        </w:tc>
        <w:tc>
          <w:tcPr>
            <w:tcW w:w="923" w:type="dxa"/>
            <w:shd w:val="clear" w:color="auto" w:fill="auto"/>
            <w:noWrap/>
            <w:vAlign w:val="bottom"/>
            <w:hideMark/>
          </w:tcPr>
          <w:p w:rsidR="00DF74F6" w:rsidRPr="0048517B" w:rsidRDefault="0048517B" w:rsidP="00DF74F6">
            <w:pPr>
              <w:jc w:val="center"/>
              <w:rPr>
                <w:rFonts w:asciiTheme="minorEastAsia" w:eastAsiaTheme="minorEastAsia" w:hAnsiTheme="minorEastAsia"/>
                <w:color w:val="000000"/>
                <w:sz w:val="18"/>
                <w:szCs w:val="18"/>
              </w:rPr>
            </w:pPr>
            <w:r w:rsidRPr="0048517B">
              <w:rPr>
                <w:rFonts w:asciiTheme="minorEastAsia" w:eastAsiaTheme="minorEastAsia" w:hAnsiTheme="minorEastAsia"/>
                <w:sz w:val="18"/>
                <w:szCs w:val="18"/>
              </w:rPr>
              <w:t>460010</w:t>
            </w:r>
          </w:p>
        </w:tc>
      </w:tr>
      <w:tr w:rsidR="0048517B" w:rsidRPr="0048517B" w:rsidTr="0048517B">
        <w:trPr>
          <w:trHeight w:val="285"/>
          <w:jc w:val="center"/>
        </w:trPr>
        <w:tc>
          <w:tcPr>
            <w:tcW w:w="564" w:type="dxa"/>
            <w:shd w:val="clear" w:color="auto" w:fill="auto"/>
            <w:noWrap/>
            <w:vAlign w:val="bottom"/>
          </w:tcPr>
          <w:p w:rsidR="0048517B" w:rsidRPr="0048517B" w:rsidRDefault="0048517B" w:rsidP="0048517B">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2</w:t>
            </w:r>
          </w:p>
        </w:tc>
        <w:tc>
          <w:tcPr>
            <w:tcW w:w="6922" w:type="dxa"/>
            <w:shd w:val="clear" w:color="auto" w:fill="auto"/>
            <w:noWrap/>
            <w:vAlign w:val="bottom"/>
          </w:tcPr>
          <w:p w:rsidR="0048517B" w:rsidRPr="0048517B" w:rsidRDefault="0048517B" w:rsidP="0048517B">
            <w:pPr>
              <w:jc w:val="center"/>
              <w:rPr>
                <w:rFonts w:asciiTheme="minorEastAsia" w:eastAsiaTheme="minorEastAsia" w:hAnsiTheme="minorEastAsia"/>
                <w:sz w:val="18"/>
                <w:szCs w:val="18"/>
              </w:rPr>
            </w:pPr>
            <w:r w:rsidRPr="0048517B">
              <w:rPr>
                <w:rFonts w:asciiTheme="minorEastAsia" w:eastAsiaTheme="minorEastAsia" w:hAnsiTheme="minorEastAsia" w:hint="eastAsia"/>
                <w:color w:val="000000"/>
                <w:sz w:val="18"/>
                <w:szCs w:val="18"/>
              </w:rPr>
              <w:t>华泰柏瑞南方东英恒生科技指数交易型开放式指数证券投资基金联接基金(QDII)</w:t>
            </w:r>
            <w:r w:rsidRPr="0048517B">
              <w:rPr>
                <w:rFonts w:asciiTheme="minorEastAsia" w:eastAsiaTheme="minorEastAsia" w:hAnsiTheme="minorEastAsia"/>
                <w:color w:val="000000"/>
                <w:sz w:val="18"/>
                <w:szCs w:val="18"/>
              </w:rPr>
              <w:t>A</w:t>
            </w:r>
            <w:r w:rsidRPr="0048517B">
              <w:rPr>
                <w:rFonts w:asciiTheme="minorEastAsia" w:eastAsiaTheme="minorEastAsia" w:hAnsiTheme="minorEastAsia" w:hint="eastAsia"/>
                <w:color w:val="000000"/>
                <w:sz w:val="18"/>
                <w:szCs w:val="18"/>
              </w:rPr>
              <w:t>类</w:t>
            </w:r>
          </w:p>
        </w:tc>
        <w:tc>
          <w:tcPr>
            <w:tcW w:w="923" w:type="dxa"/>
            <w:shd w:val="clear" w:color="auto" w:fill="auto"/>
            <w:noWrap/>
            <w:vAlign w:val="bottom"/>
          </w:tcPr>
          <w:p w:rsidR="0048517B" w:rsidRPr="0048517B" w:rsidRDefault="0048517B" w:rsidP="0048517B">
            <w:pPr>
              <w:jc w:val="center"/>
              <w:rPr>
                <w:rFonts w:asciiTheme="minorEastAsia" w:eastAsiaTheme="minorEastAsia" w:hAnsiTheme="minorEastAsia"/>
                <w:sz w:val="18"/>
                <w:szCs w:val="18"/>
              </w:rPr>
            </w:pPr>
            <w:r w:rsidRPr="0048517B">
              <w:rPr>
                <w:rFonts w:asciiTheme="minorEastAsia" w:eastAsiaTheme="minorEastAsia" w:hAnsiTheme="minorEastAsia" w:hint="eastAsia"/>
                <w:color w:val="000000"/>
                <w:sz w:val="18"/>
                <w:szCs w:val="18"/>
              </w:rPr>
              <w:t>015310</w:t>
            </w:r>
          </w:p>
        </w:tc>
      </w:tr>
      <w:tr w:rsidR="0048517B" w:rsidRPr="0048517B" w:rsidTr="0048517B">
        <w:trPr>
          <w:trHeight w:val="285"/>
          <w:jc w:val="center"/>
        </w:trPr>
        <w:tc>
          <w:tcPr>
            <w:tcW w:w="564" w:type="dxa"/>
            <w:shd w:val="clear" w:color="auto" w:fill="auto"/>
            <w:noWrap/>
            <w:vAlign w:val="bottom"/>
            <w:hideMark/>
          </w:tcPr>
          <w:p w:rsidR="0048517B" w:rsidRPr="0048517B" w:rsidRDefault="0048517B" w:rsidP="0048517B">
            <w:pPr>
              <w:jc w:val="center"/>
              <w:rPr>
                <w:rFonts w:asciiTheme="minorEastAsia" w:eastAsiaTheme="minorEastAsia" w:hAnsiTheme="minorEastAsia"/>
                <w:color w:val="000000"/>
                <w:sz w:val="18"/>
                <w:szCs w:val="18"/>
              </w:rPr>
            </w:pPr>
            <w:r w:rsidRPr="0048517B">
              <w:rPr>
                <w:rFonts w:asciiTheme="minorEastAsia" w:eastAsiaTheme="minorEastAsia" w:hAnsiTheme="minorEastAsia"/>
                <w:color w:val="000000"/>
                <w:sz w:val="18"/>
                <w:szCs w:val="18"/>
              </w:rPr>
              <w:t>3</w:t>
            </w:r>
          </w:p>
        </w:tc>
        <w:tc>
          <w:tcPr>
            <w:tcW w:w="6922" w:type="dxa"/>
            <w:shd w:val="clear" w:color="auto" w:fill="auto"/>
            <w:noWrap/>
            <w:vAlign w:val="bottom"/>
          </w:tcPr>
          <w:p w:rsidR="0048517B" w:rsidRPr="0048517B" w:rsidRDefault="0048517B" w:rsidP="0048517B">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华泰柏瑞南方东英恒生科技指数交易型开放式指数证券投资基金联接基金(QDII)</w:t>
            </w:r>
            <w:r w:rsidRPr="0048517B">
              <w:rPr>
                <w:rFonts w:asciiTheme="minorEastAsia" w:eastAsiaTheme="minorEastAsia" w:hAnsiTheme="minorEastAsia"/>
                <w:color w:val="000000"/>
                <w:sz w:val="18"/>
                <w:szCs w:val="18"/>
              </w:rPr>
              <w:t>C</w:t>
            </w:r>
            <w:r w:rsidRPr="0048517B">
              <w:rPr>
                <w:rFonts w:asciiTheme="minorEastAsia" w:eastAsiaTheme="minorEastAsia" w:hAnsiTheme="minorEastAsia" w:hint="eastAsia"/>
                <w:color w:val="000000"/>
                <w:sz w:val="18"/>
                <w:szCs w:val="18"/>
              </w:rPr>
              <w:t>类</w:t>
            </w:r>
          </w:p>
        </w:tc>
        <w:tc>
          <w:tcPr>
            <w:tcW w:w="923" w:type="dxa"/>
            <w:shd w:val="clear" w:color="auto" w:fill="auto"/>
            <w:noWrap/>
            <w:vAlign w:val="bottom"/>
          </w:tcPr>
          <w:p w:rsidR="0048517B" w:rsidRPr="0048517B" w:rsidRDefault="0048517B" w:rsidP="0048517B">
            <w:pPr>
              <w:jc w:val="center"/>
              <w:rPr>
                <w:rFonts w:asciiTheme="minorEastAsia" w:eastAsiaTheme="minorEastAsia" w:hAnsiTheme="minorEastAsia"/>
                <w:color w:val="000000"/>
                <w:sz w:val="18"/>
                <w:szCs w:val="18"/>
              </w:rPr>
            </w:pPr>
            <w:r w:rsidRPr="0048517B">
              <w:rPr>
                <w:rFonts w:asciiTheme="minorEastAsia" w:eastAsiaTheme="minorEastAsia" w:hAnsiTheme="minorEastAsia" w:hint="eastAsia"/>
                <w:color w:val="000000"/>
                <w:sz w:val="18"/>
                <w:szCs w:val="18"/>
              </w:rPr>
              <w:t>015311</w:t>
            </w:r>
          </w:p>
        </w:tc>
      </w:tr>
      <w:tr w:rsidR="0048517B" w:rsidRPr="0048517B" w:rsidTr="0048517B">
        <w:trPr>
          <w:trHeight w:val="285"/>
          <w:jc w:val="center"/>
        </w:trPr>
        <w:tc>
          <w:tcPr>
            <w:tcW w:w="564" w:type="dxa"/>
            <w:shd w:val="clear" w:color="auto" w:fill="auto"/>
            <w:noWrap/>
            <w:vAlign w:val="bottom"/>
          </w:tcPr>
          <w:p w:rsidR="0048517B" w:rsidRPr="0048517B" w:rsidRDefault="0048517B" w:rsidP="0048517B">
            <w:pPr>
              <w:jc w:val="center"/>
              <w:rPr>
                <w:rFonts w:asciiTheme="minorEastAsia" w:eastAsiaTheme="minorEastAsia" w:hAnsiTheme="minorEastAsia"/>
                <w:color w:val="000000"/>
                <w:sz w:val="18"/>
                <w:szCs w:val="18"/>
              </w:rPr>
            </w:pPr>
            <w:r w:rsidRPr="0048517B">
              <w:rPr>
                <w:rFonts w:asciiTheme="minorEastAsia" w:eastAsiaTheme="minorEastAsia" w:hAnsiTheme="minorEastAsia"/>
                <w:color w:val="000000"/>
                <w:sz w:val="18"/>
                <w:szCs w:val="18"/>
              </w:rPr>
              <w:t>4</w:t>
            </w:r>
          </w:p>
        </w:tc>
        <w:tc>
          <w:tcPr>
            <w:tcW w:w="6922" w:type="dxa"/>
            <w:shd w:val="clear" w:color="auto" w:fill="auto"/>
            <w:noWrap/>
            <w:vAlign w:val="bottom"/>
          </w:tcPr>
          <w:p w:rsidR="0048517B" w:rsidRPr="0048517B" w:rsidRDefault="0048517B" w:rsidP="0048517B">
            <w:pPr>
              <w:jc w:val="center"/>
              <w:rPr>
                <w:rFonts w:asciiTheme="minorEastAsia" w:eastAsiaTheme="minorEastAsia" w:hAnsiTheme="minorEastAsia"/>
                <w:sz w:val="18"/>
                <w:szCs w:val="18"/>
              </w:rPr>
            </w:pPr>
            <w:r w:rsidRPr="0048517B">
              <w:rPr>
                <w:rFonts w:asciiTheme="minorEastAsia" w:eastAsiaTheme="minorEastAsia" w:hAnsiTheme="minorEastAsia" w:hint="eastAsia"/>
                <w:color w:val="000000"/>
                <w:sz w:val="18"/>
                <w:szCs w:val="18"/>
              </w:rPr>
              <w:t>华泰柏瑞南方东英恒生科技指数交易型开放式指数证券投资基金联接基金(QDII)</w:t>
            </w:r>
            <w:r w:rsidRPr="0048517B">
              <w:rPr>
                <w:rFonts w:asciiTheme="minorEastAsia" w:eastAsiaTheme="minorEastAsia" w:hAnsiTheme="minorEastAsia"/>
                <w:color w:val="000000"/>
                <w:sz w:val="18"/>
                <w:szCs w:val="18"/>
              </w:rPr>
              <w:t>I</w:t>
            </w:r>
            <w:r w:rsidRPr="0048517B">
              <w:rPr>
                <w:rFonts w:asciiTheme="minorEastAsia" w:eastAsiaTheme="minorEastAsia" w:hAnsiTheme="minorEastAsia" w:hint="eastAsia"/>
                <w:color w:val="000000"/>
                <w:sz w:val="18"/>
                <w:szCs w:val="18"/>
              </w:rPr>
              <w:t>类</w:t>
            </w:r>
          </w:p>
        </w:tc>
        <w:tc>
          <w:tcPr>
            <w:tcW w:w="923" w:type="dxa"/>
            <w:shd w:val="clear" w:color="auto" w:fill="auto"/>
            <w:noWrap/>
            <w:vAlign w:val="bottom"/>
          </w:tcPr>
          <w:p w:rsidR="0048517B" w:rsidRPr="0048517B" w:rsidRDefault="0048517B" w:rsidP="0048517B">
            <w:pPr>
              <w:jc w:val="center"/>
              <w:rPr>
                <w:rFonts w:asciiTheme="minorEastAsia" w:eastAsiaTheme="minorEastAsia" w:hAnsiTheme="minorEastAsia"/>
                <w:sz w:val="18"/>
                <w:szCs w:val="18"/>
              </w:rPr>
            </w:pPr>
            <w:r w:rsidRPr="0048517B">
              <w:rPr>
                <w:rFonts w:asciiTheme="minorEastAsia" w:eastAsiaTheme="minorEastAsia" w:hAnsiTheme="minorEastAsia" w:hint="eastAsia"/>
                <w:color w:val="000000"/>
                <w:sz w:val="18"/>
                <w:szCs w:val="18"/>
              </w:rPr>
              <w:t>022680</w:t>
            </w:r>
          </w:p>
        </w:tc>
      </w:tr>
    </w:tbl>
    <w:p w:rsidR="000F4155" w:rsidRDefault="000F4155" w:rsidP="000F4155">
      <w:pPr>
        <w:spacing w:line="360" w:lineRule="auto"/>
        <w:rPr>
          <w:rFonts w:ascii="Times New Roman" w:hAnsi="Times New Roman"/>
          <w:sz w:val="24"/>
          <w:szCs w:val="24"/>
        </w:rPr>
      </w:pPr>
    </w:p>
    <w:p w:rsidR="00494D52" w:rsidRDefault="000F4155" w:rsidP="000F4155">
      <w:pPr>
        <w:spacing w:line="360" w:lineRule="auto"/>
        <w:rPr>
          <w:rFonts w:ascii="Times New Roman" w:hAnsi="Times New Roman"/>
          <w:sz w:val="24"/>
          <w:szCs w:val="24"/>
        </w:rPr>
      </w:pPr>
      <w:r w:rsidRPr="000F4155">
        <w:rPr>
          <w:rFonts w:ascii="Times New Roman" w:hAnsi="Times New Roman" w:hint="eastAsia"/>
          <w:sz w:val="24"/>
          <w:szCs w:val="24"/>
        </w:rPr>
        <w:t>二、</w:t>
      </w:r>
      <w:r w:rsidR="000F57D7" w:rsidRPr="000F57D7">
        <w:rPr>
          <w:rFonts w:ascii="Times New Roman" w:hAnsi="Times New Roman" w:hint="eastAsia"/>
          <w:sz w:val="24"/>
          <w:szCs w:val="24"/>
        </w:rPr>
        <w:t>202</w:t>
      </w:r>
      <w:r w:rsidR="002D0CD7">
        <w:rPr>
          <w:rFonts w:ascii="Times New Roman" w:hAnsi="Times New Roman"/>
          <w:sz w:val="24"/>
          <w:szCs w:val="24"/>
        </w:rPr>
        <w:t>6</w:t>
      </w:r>
      <w:r w:rsidR="0048517B" w:rsidRPr="0048517B">
        <w:rPr>
          <w:rFonts w:ascii="Times New Roman" w:hAnsi="Times New Roman" w:hint="eastAsia"/>
          <w:sz w:val="24"/>
          <w:szCs w:val="24"/>
        </w:rPr>
        <w:t>年部分香港市场节假日</w:t>
      </w:r>
    </w:p>
    <w:tbl>
      <w:tblPr>
        <w:tblW w:w="8237" w:type="dxa"/>
        <w:tblInd w:w="93" w:type="dxa"/>
        <w:tblLook w:val="04A0"/>
      </w:tblPr>
      <w:tblGrid>
        <w:gridCol w:w="4693"/>
        <w:gridCol w:w="3544"/>
      </w:tblGrid>
      <w:tr w:rsidR="00253E8F"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hideMark/>
          </w:tcPr>
          <w:p w:rsidR="00253E8F" w:rsidRPr="00E16247" w:rsidRDefault="00CB03FA" w:rsidP="00C869C4">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sidR="002D0CD7">
              <w:rPr>
                <w:rFonts w:ascii="Times New Roman" w:hAnsi="Times New Roman"/>
                <w:sz w:val="22"/>
                <w:szCs w:val="24"/>
              </w:rPr>
              <w:t>6</w:t>
            </w:r>
            <w:r w:rsidRPr="000F57D7">
              <w:rPr>
                <w:rFonts w:ascii="Times New Roman" w:hAnsi="Times New Roman" w:hint="eastAsia"/>
                <w:sz w:val="22"/>
                <w:szCs w:val="24"/>
              </w:rPr>
              <w:t>年</w:t>
            </w:r>
            <w:r w:rsidR="000F57D7" w:rsidRPr="000F57D7">
              <w:rPr>
                <w:rFonts w:ascii="Times New Roman" w:hAnsi="Times New Roman" w:hint="eastAsia"/>
                <w:sz w:val="22"/>
                <w:szCs w:val="24"/>
              </w:rPr>
              <w:t>4</w:t>
            </w:r>
            <w:r w:rsidR="000F57D7" w:rsidRPr="000F57D7">
              <w:rPr>
                <w:rFonts w:ascii="Times New Roman" w:hAnsi="Times New Roman" w:hint="eastAsia"/>
                <w:sz w:val="22"/>
                <w:szCs w:val="24"/>
              </w:rPr>
              <w:t>月</w:t>
            </w:r>
            <w:r w:rsidR="002D0CD7">
              <w:rPr>
                <w:rFonts w:ascii="Times New Roman" w:hAnsi="Times New Roman"/>
                <w:sz w:val="22"/>
                <w:szCs w:val="24"/>
              </w:rPr>
              <w:t>3</w:t>
            </w:r>
            <w:r w:rsidR="000F57D7" w:rsidRPr="000F57D7">
              <w:rPr>
                <w:rFonts w:ascii="Times New Roman" w:hAnsi="Times New Roman" w:hint="eastAsia"/>
                <w:sz w:val="22"/>
                <w:szCs w:val="24"/>
              </w:rPr>
              <w:t>日（星期五）</w:t>
            </w:r>
          </w:p>
        </w:tc>
        <w:tc>
          <w:tcPr>
            <w:tcW w:w="3544" w:type="dxa"/>
            <w:tcBorders>
              <w:top w:val="single" w:sz="4" w:space="0" w:color="auto"/>
              <w:left w:val="nil"/>
              <w:bottom w:val="single" w:sz="4" w:space="0" w:color="auto"/>
              <w:right w:val="single" w:sz="4" w:space="0" w:color="auto"/>
            </w:tcBorders>
            <w:shd w:val="clear" w:color="auto" w:fill="auto"/>
            <w:hideMark/>
          </w:tcPr>
          <w:p w:rsidR="00253E8F" w:rsidRPr="00E16247" w:rsidRDefault="000F57D7" w:rsidP="00225AD3">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香港耶稣受难节</w:t>
            </w:r>
            <w:r w:rsidR="00470D43" w:rsidRPr="00470D43">
              <w:rPr>
                <w:rFonts w:ascii="Times New Roman" w:hAnsi="Times New Roman" w:hint="eastAsia"/>
                <w:sz w:val="22"/>
                <w:szCs w:val="24"/>
              </w:rPr>
              <w:t xml:space="preserve">　</w:t>
            </w:r>
          </w:p>
        </w:tc>
      </w:tr>
      <w:tr w:rsidR="002D0CD7"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tcPr>
          <w:p w:rsidR="002D0CD7" w:rsidRPr="000F57D7" w:rsidRDefault="002D0CD7" w:rsidP="00C869C4">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Pr>
                <w:rFonts w:ascii="Times New Roman" w:hAnsi="Times New Roman"/>
                <w:sz w:val="22"/>
                <w:szCs w:val="24"/>
              </w:rPr>
              <w:t>6</w:t>
            </w:r>
            <w:r w:rsidRPr="000F57D7">
              <w:rPr>
                <w:rFonts w:ascii="Times New Roman" w:hAnsi="Times New Roman" w:hint="eastAsia"/>
                <w:sz w:val="22"/>
                <w:szCs w:val="24"/>
              </w:rPr>
              <w:t>年</w:t>
            </w:r>
            <w:r w:rsidRPr="000F57D7">
              <w:rPr>
                <w:rFonts w:ascii="Times New Roman" w:hAnsi="Times New Roman" w:hint="eastAsia"/>
                <w:sz w:val="22"/>
                <w:szCs w:val="24"/>
              </w:rPr>
              <w:t>4</w:t>
            </w:r>
            <w:r w:rsidRPr="000F57D7">
              <w:rPr>
                <w:rFonts w:ascii="Times New Roman" w:hAnsi="Times New Roman" w:hint="eastAsia"/>
                <w:sz w:val="22"/>
                <w:szCs w:val="24"/>
              </w:rPr>
              <w:t>月</w:t>
            </w:r>
            <w:r>
              <w:rPr>
                <w:rFonts w:ascii="Times New Roman" w:hAnsi="Times New Roman"/>
                <w:sz w:val="22"/>
                <w:szCs w:val="24"/>
              </w:rPr>
              <w:t>7</w:t>
            </w:r>
            <w:r w:rsidRPr="000F57D7">
              <w:rPr>
                <w:rFonts w:ascii="Times New Roman" w:hAnsi="Times New Roman" w:hint="eastAsia"/>
                <w:sz w:val="22"/>
                <w:szCs w:val="24"/>
              </w:rPr>
              <w:t>日（星期</w:t>
            </w:r>
            <w:r>
              <w:rPr>
                <w:rFonts w:ascii="Times New Roman" w:hAnsi="Times New Roman" w:hint="eastAsia"/>
                <w:sz w:val="22"/>
                <w:szCs w:val="24"/>
              </w:rPr>
              <w:t>二</w:t>
            </w:r>
            <w:r w:rsidRPr="000F57D7">
              <w:rPr>
                <w:rFonts w:ascii="Times New Roman" w:hAnsi="Times New Roman" w:hint="eastAsia"/>
                <w:sz w:val="22"/>
                <w:szCs w:val="24"/>
              </w:rPr>
              <w:t>）</w:t>
            </w:r>
          </w:p>
        </w:tc>
        <w:tc>
          <w:tcPr>
            <w:tcW w:w="3544" w:type="dxa"/>
            <w:tcBorders>
              <w:top w:val="single" w:sz="4" w:space="0" w:color="auto"/>
              <w:left w:val="nil"/>
              <w:bottom w:val="single" w:sz="4" w:space="0" w:color="auto"/>
              <w:right w:val="single" w:sz="4" w:space="0" w:color="auto"/>
            </w:tcBorders>
            <w:shd w:val="clear" w:color="auto" w:fill="auto"/>
          </w:tcPr>
          <w:p w:rsidR="002D0CD7" w:rsidRPr="000F57D7" w:rsidRDefault="002D0CD7" w:rsidP="00225AD3">
            <w:pPr>
              <w:spacing w:line="360" w:lineRule="auto"/>
              <w:ind w:firstLineChars="200" w:firstLine="440"/>
              <w:rPr>
                <w:rFonts w:ascii="Times New Roman" w:hAnsi="Times New Roman"/>
                <w:sz w:val="22"/>
                <w:szCs w:val="24"/>
              </w:rPr>
            </w:pPr>
            <w:r>
              <w:rPr>
                <w:rFonts w:ascii="Times New Roman" w:hAnsi="Times New Roman" w:hint="eastAsia"/>
                <w:sz w:val="22"/>
                <w:szCs w:val="24"/>
              </w:rPr>
              <w:t>香港复活节</w:t>
            </w:r>
          </w:p>
        </w:tc>
      </w:tr>
      <w:tr w:rsidR="00CD407D"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tcPr>
          <w:p w:rsidR="00CD407D" w:rsidRPr="000F57D7" w:rsidRDefault="00CD407D" w:rsidP="00C869C4">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Pr>
                <w:rFonts w:ascii="Times New Roman" w:hAnsi="Times New Roman"/>
                <w:sz w:val="22"/>
                <w:szCs w:val="24"/>
              </w:rPr>
              <w:t>6</w:t>
            </w:r>
            <w:r w:rsidRPr="000F57D7">
              <w:rPr>
                <w:rFonts w:ascii="Times New Roman" w:hAnsi="Times New Roman" w:hint="eastAsia"/>
                <w:sz w:val="22"/>
                <w:szCs w:val="24"/>
              </w:rPr>
              <w:t>年</w:t>
            </w:r>
            <w:r>
              <w:rPr>
                <w:rFonts w:ascii="Times New Roman" w:hAnsi="Times New Roman"/>
                <w:sz w:val="22"/>
                <w:szCs w:val="24"/>
              </w:rPr>
              <w:t>5</w:t>
            </w:r>
            <w:r w:rsidRPr="000F57D7">
              <w:rPr>
                <w:rFonts w:ascii="Times New Roman" w:hAnsi="Times New Roman" w:hint="eastAsia"/>
                <w:sz w:val="22"/>
                <w:szCs w:val="24"/>
              </w:rPr>
              <w:t>月</w:t>
            </w:r>
            <w:r w:rsidR="00BC296F">
              <w:rPr>
                <w:rFonts w:ascii="Times New Roman" w:hAnsi="Times New Roman" w:hint="eastAsia"/>
                <w:sz w:val="22"/>
                <w:szCs w:val="24"/>
              </w:rPr>
              <w:t>2</w:t>
            </w:r>
            <w:r>
              <w:rPr>
                <w:rFonts w:ascii="Times New Roman" w:hAnsi="Times New Roman"/>
                <w:sz w:val="22"/>
                <w:szCs w:val="24"/>
              </w:rPr>
              <w:t>5</w:t>
            </w:r>
            <w:r w:rsidRPr="000F57D7">
              <w:rPr>
                <w:rFonts w:ascii="Times New Roman" w:hAnsi="Times New Roman" w:hint="eastAsia"/>
                <w:sz w:val="22"/>
                <w:szCs w:val="24"/>
              </w:rPr>
              <w:t>日（星期</w:t>
            </w:r>
            <w:r>
              <w:rPr>
                <w:rFonts w:ascii="Times New Roman" w:hAnsi="Times New Roman" w:hint="eastAsia"/>
                <w:sz w:val="22"/>
                <w:szCs w:val="24"/>
              </w:rPr>
              <w:t>一</w:t>
            </w:r>
            <w:r w:rsidRPr="000F57D7">
              <w:rPr>
                <w:rFonts w:ascii="Times New Roman" w:hAnsi="Times New Roman" w:hint="eastAsia"/>
                <w:sz w:val="22"/>
                <w:szCs w:val="24"/>
              </w:rPr>
              <w:t>）</w:t>
            </w:r>
          </w:p>
        </w:tc>
        <w:tc>
          <w:tcPr>
            <w:tcW w:w="3544" w:type="dxa"/>
            <w:tcBorders>
              <w:top w:val="single" w:sz="4" w:space="0" w:color="auto"/>
              <w:left w:val="nil"/>
              <w:bottom w:val="single" w:sz="4" w:space="0" w:color="auto"/>
              <w:right w:val="single" w:sz="4" w:space="0" w:color="auto"/>
            </w:tcBorders>
            <w:shd w:val="clear" w:color="auto" w:fill="auto"/>
          </w:tcPr>
          <w:p w:rsidR="00CD407D" w:rsidRDefault="00CD407D" w:rsidP="00225AD3">
            <w:pPr>
              <w:spacing w:line="360" w:lineRule="auto"/>
              <w:ind w:firstLineChars="200" w:firstLine="440"/>
              <w:rPr>
                <w:rFonts w:ascii="Times New Roman" w:hAnsi="Times New Roman"/>
                <w:sz w:val="22"/>
                <w:szCs w:val="24"/>
              </w:rPr>
            </w:pPr>
            <w:r>
              <w:rPr>
                <w:rFonts w:ascii="Times New Roman" w:hAnsi="Times New Roman" w:hint="eastAsia"/>
                <w:sz w:val="22"/>
                <w:szCs w:val="24"/>
              </w:rPr>
              <w:t>香港佛诞日</w:t>
            </w:r>
          </w:p>
        </w:tc>
      </w:tr>
      <w:tr w:rsidR="00C869C4"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hideMark/>
          </w:tcPr>
          <w:p w:rsidR="00C869C4" w:rsidRDefault="00CB03FA" w:rsidP="005F5043">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sidR="00CD407D">
              <w:rPr>
                <w:rFonts w:ascii="Times New Roman" w:hAnsi="Times New Roman"/>
                <w:sz w:val="22"/>
                <w:szCs w:val="24"/>
              </w:rPr>
              <w:t>6</w:t>
            </w:r>
            <w:r w:rsidRPr="000F57D7">
              <w:rPr>
                <w:rFonts w:ascii="Times New Roman" w:hAnsi="Times New Roman" w:hint="eastAsia"/>
                <w:sz w:val="22"/>
                <w:szCs w:val="24"/>
              </w:rPr>
              <w:t>年</w:t>
            </w:r>
            <w:r w:rsidR="000F57D7" w:rsidRPr="000F57D7">
              <w:rPr>
                <w:rFonts w:ascii="Times New Roman" w:hAnsi="Times New Roman" w:hint="eastAsia"/>
                <w:sz w:val="22"/>
                <w:szCs w:val="24"/>
              </w:rPr>
              <w:t>7</w:t>
            </w:r>
            <w:r w:rsidR="000F57D7" w:rsidRPr="000F57D7">
              <w:rPr>
                <w:rFonts w:ascii="Times New Roman" w:hAnsi="Times New Roman" w:hint="eastAsia"/>
                <w:sz w:val="22"/>
                <w:szCs w:val="24"/>
              </w:rPr>
              <w:t>月</w:t>
            </w:r>
            <w:r w:rsidR="000F57D7" w:rsidRPr="000F57D7">
              <w:rPr>
                <w:rFonts w:ascii="Times New Roman" w:hAnsi="Times New Roman" w:hint="eastAsia"/>
                <w:sz w:val="22"/>
                <w:szCs w:val="24"/>
              </w:rPr>
              <w:t>1</w:t>
            </w:r>
            <w:r w:rsidR="000F57D7" w:rsidRPr="000F57D7">
              <w:rPr>
                <w:rFonts w:ascii="Times New Roman" w:hAnsi="Times New Roman" w:hint="eastAsia"/>
                <w:sz w:val="22"/>
                <w:szCs w:val="24"/>
              </w:rPr>
              <w:t>日（星期</w:t>
            </w:r>
            <w:r w:rsidR="00CD407D">
              <w:rPr>
                <w:rFonts w:ascii="Times New Roman" w:hAnsi="Times New Roman" w:hint="eastAsia"/>
                <w:sz w:val="22"/>
                <w:szCs w:val="24"/>
              </w:rPr>
              <w:t>三</w:t>
            </w:r>
            <w:r w:rsidR="000F57D7" w:rsidRPr="000F57D7">
              <w:rPr>
                <w:rFonts w:ascii="Times New Roman" w:hAnsi="Times New Roman" w:hint="eastAsia"/>
                <w:sz w:val="22"/>
                <w:szCs w:val="24"/>
              </w:rPr>
              <w:t>）</w:t>
            </w:r>
          </w:p>
        </w:tc>
        <w:tc>
          <w:tcPr>
            <w:tcW w:w="3544" w:type="dxa"/>
            <w:tcBorders>
              <w:top w:val="single" w:sz="4" w:space="0" w:color="auto"/>
              <w:left w:val="nil"/>
              <w:bottom w:val="single" w:sz="4" w:space="0" w:color="auto"/>
              <w:right w:val="single" w:sz="4" w:space="0" w:color="auto"/>
            </w:tcBorders>
            <w:shd w:val="clear" w:color="auto" w:fill="auto"/>
            <w:hideMark/>
          </w:tcPr>
          <w:p w:rsidR="00C869C4" w:rsidRDefault="00D22940" w:rsidP="00C869C4">
            <w:pPr>
              <w:spacing w:line="360" w:lineRule="auto"/>
              <w:ind w:firstLineChars="200" w:firstLine="440"/>
              <w:rPr>
                <w:rFonts w:ascii="Times New Roman" w:hAnsi="Times New Roman"/>
                <w:sz w:val="22"/>
                <w:szCs w:val="24"/>
              </w:rPr>
            </w:pPr>
            <w:r w:rsidRPr="00D22940">
              <w:rPr>
                <w:rFonts w:ascii="Times New Roman" w:hAnsi="Times New Roman" w:hint="eastAsia"/>
                <w:sz w:val="22"/>
                <w:szCs w:val="24"/>
              </w:rPr>
              <w:t>香港特别行政区成立纪念日</w:t>
            </w:r>
          </w:p>
        </w:tc>
      </w:tr>
      <w:tr w:rsidR="002F0AEF"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hideMark/>
          </w:tcPr>
          <w:p w:rsidR="002F0AEF" w:rsidRDefault="00CD407D" w:rsidP="00C869C4">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Pr>
                <w:rFonts w:ascii="Times New Roman" w:hAnsi="Times New Roman"/>
                <w:sz w:val="22"/>
                <w:szCs w:val="24"/>
              </w:rPr>
              <w:t>6</w:t>
            </w:r>
            <w:r w:rsidRPr="000F57D7">
              <w:rPr>
                <w:rFonts w:ascii="Times New Roman" w:hAnsi="Times New Roman" w:hint="eastAsia"/>
                <w:sz w:val="22"/>
                <w:szCs w:val="24"/>
              </w:rPr>
              <w:t>年</w:t>
            </w:r>
            <w:r>
              <w:rPr>
                <w:rFonts w:ascii="Times New Roman" w:hAnsi="Times New Roman"/>
                <w:sz w:val="22"/>
                <w:szCs w:val="24"/>
              </w:rPr>
              <w:t>10</w:t>
            </w:r>
            <w:r w:rsidRPr="000F57D7">
              <w:rPr>
                <w:rFonts w:ascii="Times New Roman" w:hAnsi="Times New Roman" w:hint="eastAsia"/>
                <w:sz w:val="22"/>
                <w:szCs w:val="24"/>
              </w:rPr>
              <w:t>月</w:t>
            </w:r>
            <w:r w:rsidRPr="000F57D7">
              <w:rPr>
                <w:rFonts w:ascii="Times New Roman" w:hAnsi="Times New Roman" w:hint="eastAsia"/>
                <w:sz w:val="22"/>
                <w:szCs w:val="24"/>
              </w:rPr>
              <w:t>1</w:t>
            </w:r>
            <w:r>
              <w:rPr>
                <w:rFonts w:ascii="Times New Roman" w:hAnsi="Times New Roman"/>
                <w:sz w:val="22"/>
                <w:szCs w:val="24"/>
              </w:rPr>
              <w:t>9</w:t>
            </w:r>
            <w:r w:rsidRPr="000F57D7">
              <w:rPr>
                <w:rFonts w:ascii="Times New Roman" w:hAnsi="Times New Roman" w:hint="eastAsia"/>
                <w:sz w:val="22"/>
                <w:szCs w:val="24"/>
              </w:rPr>
              <w:t>日（星期</w:t>
            </w:r>
            <w:r>
              <w:rPr>
                <w:rFonts w:ascii="Times New Roman" w:hAnsi="Times New Roman" w:hint="eastAsia"/>
                <w:sz w:val="22"/>
                <w:szCs w:val="24"/>
              </w:rPr>
              <w:t>一</w:t>
            </w:r>
            <w:r w:rsidRPr="000F57D7">
              <w:rPr>
                <w:rFonts w:ascii="Times New Roman" w:hAnsi="Times New Roman" w:hint="eastAsia"/>
                <w:sz w:val="22"/>
                <w:szCs w:val="24"/>
              </w:rPr>
              <w:t>）</w:t>
            </w:r>
          </w:p>
        </w:tc>
        <w:tc>
          <w:tcPr>
            <w:tcW w:w="3544" w:type="dxa"/>
            <w:tcBorders>
              <w:top w:val="single" w:sz="4" w:space="0" w:color="auto"/>
              <w:left w:val="nil"/>
              <w:bottom w:val="single" w:sz="4" w:space="0" w:color="auto"/>
              <w:right w:val="single" w:sz="4" w:space="0" w:color="auto"/>
            </w:tcBorders>
            <w:shd w:val="clear" w:color="auto" w:fill="auto"/>
            <w:hideMark/>
          </w:tcPr>
          <w:p w:rsidR="002F0AEF" w:rsidRDefault="00CB03FA" w:rsidP="003B282D">
            <w:pPr>
              <w:spacing w:line="360" w:lineRule="auto"/>
              <w:ind w:firstLineChars="200" w:firstLine="440"/>
              <w:rPr>
                <w:rFonts w:ascii="Times New Roman" w:hAnsi="Times New Roman"/>
                <w:sz w:val="22"/>
                <w:szCs w:val="24"/>
              </w:rPr>
            </w:pPr>
            <w:r w:rsidRPr="00CB03FA">
              <w:rPr>
                <w:rFonts w:ascii="Times New Roman" w:hAnsi="Times New Roman" w:hint="eastAsia"/>
                <w:sz w:val="22"/>
                <w:szCs w:val="24"/>
              </w:rPr>
              <w:t>香港重阳节</w:t>
            </w:r>
          </w:p>
        </w:tc>
      </w:tr>
      <w:tr w:rsidR="00050BA1"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tcPr>
          <w:p w:rsidR="00050BA1" w:rsidRPr="00050BA1" w:rsidRDefault="00CB03FA" w:rsidP="005F5043">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sidR="00CD407D">
              <w:rPr>
                <w:rFonts w:ascii="Times New Roman" w:hAnsi="Times New Roman"/>
                <w:sz w:val="22"/>
                <w:szCs w:val="24"/>
              </w:rPr>
              <w:t>6</w:t>
            </w:r>
            <w:r w:rsidRPr="000F57D7">
              <w:rPr>
                <w:rFonts w:ascii="Times New Roman" w:hAnsi="Times New Roman" w:hint="eastAsia"/>
                <w:sz w:val="22"/>
                <w:szCs w:val="24"/>
              </w:rPr>
              <w:t>年</w:t>
            </w:r>
            <w:r w:rsidRPr="00CB03FA">
              <w:rPr>
                <w:rFonts w:ascii="Times New Roman" w:hAnsi="Times New Roman" w:hint="eastAsia"/>
                <w:sz w:val="22"/>
                <w:szCs w:val="24"/>
              </w:rPr>
              <w:t>12</w:t>
            </w:r>
            <w:r w:rsidRPr="00CB03FA">
              <w:rPr>
                <w:rFonts w:ascii="Times New Roman" w:hAnsi="Times New Roman" w:hint="eastAsia"/>
                <w:sz w:val="22"/>
                <w:szCs w:val="24"/>
              </w:rPr>
              <w:t>月</w:t>
            </w:r>
            <w:r w:rsidRPr="00CB03FA">
              <w:rPr>
                <w:rFonts w:ascii="Times New Roman" w:hAnsi="Times New Roman" w:hint="eastAsia"/>
                <w:sz w:val="22"/>
                <w:szCs w:val="24"/>
              </w:rPr>
              <w:t>24</w:t>
            </w:r>
            <w:r w:rsidRPr="00CB03FA">
              <w:rPr>
                <w:rFonts w:ascii="Times New Roman" w:hAnsi="Times New Roman" w:hint="eastAsia"/>
                <w:sz w:val="22"/>
                <w:szCs w:val="24"/>
              </w:rPr>
              <w:t>日（星期</w:t>
            </w:r>
            <w:r w:rsidR="00CD407D">
              <w:rPr>
                <w:rFonts w:ascii="Times New Roman" w:hAnsi="Times New Roman" w:hint="eastAsia"/>
                <w:sz w:val="22"/>
                <w:szCs w:val="24"/>
              </w:rPr>
              <w:t>四</w:t>
            </w:r>
            <w:r w:rsidRPr="00CB03FA">
              <w:rPr>
                <w:rFonts w:ascii="Times New Roman" w:hAnsi="Times New Roman" w:hint="eastAsia"/>
                <w:sz w:val="22"/>
                <w:szCs w:val="24"/>
              </w:rPr>
              <w:t>）至</w:t>
            </w:r>
            <w:r w:rsidRPr="00CB03FA">
              <w:rPr>
                <w:rFonts w:ascii="Times New Roman" w:hAnsi="Times New Roman" w:hint="eastAsia"/>
                <w:sz w:val="22"/>
                <w:szCs w:val="24"/>
              </w:rPr>
              <w:t>12</w:t>
            </w:r>
            <w:r w:rsidRPr="00CB03FA">
              <w:rPr>
                <w:rFonts w:ascii="Times New Roman" w:hAnsi="Times New Roman" w:hint="eastAsia"/>
                <w:sz w:val="22"/>
                <w:szCs w:val="24"/>
              </w:rPr>
              <w:t>月</w:t>
            </w:r>
            <w:r w:rsidRPr="00CB03FA">
              <w:rPr>
                <w:rFonts w:ascii="Times New Roman" w:hAnsi="Times New Roman" w:hint="eastAsia"/>
                <w:sz w:val="22"/>
                <w:szCs w:val="24"/>
              </w:rPr>
              <w:t>2</w:t>
            </w:r>
            <w:r w:rsidR="00CD407D">
              <w:rPr>
                <w:rFonts w:ascii="Times New Roman" w:hAnsi="Times New Roman"/>
                <w:sz w:val="22"/>
                <w:szCs w:val="24"/>
              </w:rPr>
              <w:t>5</w:t>
            </w:r>
            <w:r w:rsidRPr="00CB03FA">
              <w:rPr>
                <w:rFonts w:ascii="Times New Roman" w:hAnsi="Times New Roman" w:hint="eastAsia"/>
                <w:sz w:val="22"/>
                <w:szCs w:val="24"/>
              </w:rPr>
              <w:t>日（星期五）</w:t>
            </w:r>
          </w:p>
        </w:tc>
        <w:tc>
          <w:tcPr>
            <w:tcW w:w="3544" w:type="dxa"/>
            <w:tcBorders>
              <w:top w:val="single" w:sz="4" w:space="0" w:color="auto"/>
              <w:left w:val="nil"/>
              <w:bottom w:val="single" w:sz="4" w:space="0" w:color="auto"/>
              <w:right w:val="single" w:sz="4" w:space="0" w:color="auto"/>
            </w:tcBorders>
            <w:shd w:val="clear" w:color="auto" w:fill="auto"/>
          </w:tcPr>
          <w:p w:rsidR="00050BA1" w:rsidRPr="00470D43" w:rsidRDefault="00CB03FA" w:rsidP="003B282D">
            <w:pPr>
              <w:spacing w:line="360" w:lineRule="auto"/>
              <w:ind w:firstLineChars="200" w:firstLine="440"/>
              <w:rPr>
                <w:rFonts w:ascii="Times New Roman" w:hAnsi="Times New Roman"/>
                <w:sz w:val="22"/>
                <w:szCs w:val="24"/>
              </w:rPr>
            </w:pPr>
            <w:r w:rsidRPr="00CB03FA">
              <w:rPr>
                <w:rFonts w:ascii="Times New Roman" w:hAnsi="Times New Roman" w:hint="eastAsia"/>
                <w:sz w:val="22"/>
                <w:szCs w:val="24"/>
              </w:rPr>
              <w:t>香港圣诞节</w:t>
            </w:r>
          </w:p>
        </w:tc>
      </w:tr>
      <w:tr w:rsidR="00C869C4" w:rsidRPr="00E16247" w:rsidTr="00C04411">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hideMark/>
          </w:tcPr>
          <w:p w:rsidR="00C869C4" w:rsidRDefault="00CB03FA" w:rsidP="00C869C4">
            <w:pPr>
              <w:spacing w:line="360" w:lineRule="auto"/>
              <w:ind w:firstLineChars="200" w:firstLine="440"/>
              <w:rPr>
                <w:rFonts w:ascii="Times New Roman" w:hAnsi="Times New Roman"/>
                <w:sz w:val="22"/>
                <w:szCs w:val="24"/>
              </w:rPr>
            </w:pPr>
            <w:r w:rsidRPr="000F57D7">
              <w:rPr>
                <w:rFonts w:ascii="Times New Roman" w:hAnsi="Times New Roman" w:hint="eastAsia"/>
                <w:sz w:val="22"/>
                <w:szCs w:val="24"/>
              </w:rPr>
              <w:t>202</w:t>
            </w:r>
            <w:r w:rsidR="00CD407D">
              <w:rPr>
                <w:rFonts w:ascii="Times New Roman" w:hAnsi="Times New Roman"/>
                <w:sz w:val="22"/>
                <w:szCs w:val="24"/>
              </w:rPr>
              <w:t>6</w:t>
            </w:r>
            <w:r w:rsidRPr="000F57D7">
              <w:rPr>
                <w:rFonts w:ascii="Times New Roman" w:hAnsi="Times New Roman" w:hint="eastAsia"/>
                <w:sz w:val="22"/>
                <w:szCs w:val="24"/>
              </w:rPr>
              <w:t>年</w:t>
            </w:r>
            <w:r w:rsidRPr="00CB03FA">
              <w:rPr>
                <w:rFonts w:ascii="Times New Roman" w:hAnsi="Times New Roman" w:hint="eastAsia"/>
                <w:sz w:val="22"/>
                <w:szCs w:val="24"/>
              </w:rPr>
              <w:t>12</w:t>
            </w:r>
            <w:r w:rsidRPr="00CB03FA">
              <w:rPr>
                <w:rFonts w:ascii="Times New Roman" w:hAnsi="Times New Roman" w:hint="eastAsia"/>
                <w:sz w:val="22"/>
                <w:szCs w:val="24"/>
              </w:rPr>
              <w:t>月</w:t>
            </w:r>
            <w:r w:rsidRPr="00CB03FA">
              <w:rPr>
                <w:rFonts w:ascii="Times New Roman" w:hAnsi="Times New Roman" w:hint="eastAsia"/>
                <w:sz w:val="22"/>
                <w:szCs w:val="24"/>
              </w:rPr>
              <w:t>31</w:t>
            </w:r>
            <w:r w:rsidRPr="00CB03FA">
              <w:rPr>
                <w:rFonts w:ascii="Times New Roman" w:hAnsi="Times New Roman" w:hint="eastAsia"/>
                <w:sz w:val="22"/>
                <w:szCs w:val="24"/>
              </w:rPr>
              <w:t>日（星期</w:t>
            </w:r>
            <w:r w:rsidR="00CD407D">
              <w:rPr>
                <w:rFonts w:ascii="Times New Roman" w:hAnsi="Times New Roman" w:hint="eastAsia"/>
                <w:sz w:val="22"/>
                <w:szCs w:val="24"/>
              </w:rPr>
              <w:t>四</w:t>
            </w:r>
            <w:r w:rsidRPr="00CB03FA">
              <w:rPr>
                <w:rFonts w:ascii="Times New Roman" w:hAnsi="Times New Roman" w:hint="eastAsia"/>
                <w:sz w:val="22"/>
                <w:szCs w:val="24"/>
              </w:rPr>
              <w:t>）</w:t>
            </w:r>
          </w:p>
        </w:tc>
        <w:tc>
          <w:tcPr>
            <w:tcW w:w="3544" w:type="dxa"/>
            <w:tcBorders>
              <w:top w:val="single" w:sz="4" w:space="0" w:color="auto"/>
              <w:left w:val="nil"/>
              <w:bottom w:val="single" w:sz="4" w:space="0" w:color="auto"/>
              <w:right w:val="single" w:sz="4" w:space="0" w:color="auto"/>
            </w:tcBorders>
            <w:shd w:val="clear" w:color="auto" w:fill="auto"/>
            <w:hideMark/>
          </w:tcPr>
          <w:p w:rsidR="00C869C4" w:rsidRDefault="00CB03FA" w:rsidP="003B282D">
            <w:pPr>
              <w:spacing w:line="360" w:lineRule="auto"/>
              <w:ind w:firstLineChars="200" w:firstLine="440"/>
              <w:rPr>
                <w:rFonts w:ascii="Times New Roman" w:hAnsi="Times New Roman"/>
                <w:sz w:val="22"/>
                <w:szCs w:val="24"/>
              </w:rPr>
            </w:pPr>
            <w:r w:rsidRPr="00CB03FA">
              <w:rPr>
                <w:rFonts w:ascii="Times New Roman" w:hAnsi="Times New Roman" w:hint="eastAsia"/>
                <w:sz w:val="22"/>
                <w:szCs w:val="24"/>
              </w:rPr>
              <w:t>香港新年前夕</w:t>
            </w:r>
          </w:p>
        </w:tc>
      </w:tr>
    </w:tbl>
    <w:p w:rsidR="00470D43" w:rsidRDefault="00470D43" w:rsidP="00470D43">
      <w:pPr>
        <w:spacing w:line="360" w:lineRule="auto"/>
        <w:ind w:firstLineChars="200" w:firstLine="480"/>
        <w:rPr>
          <w:rFonts w:ascii="Times New Roman" w:hAnsi="Times New Roman"/>
          <w:sz w:val="24"/>
          <w:szCs w:val="24"/>
        </w:rPr>
      </w:pPr>
    </w:p>
    <w:p w:rsidR="00470D43" w:rsidRDefault="00470D43" w:rsidP="00470D43">
      <w:pPr>
        <w:spacing w:line="360" w:lineRule="auto"/>
        <w:ind w:firstLineChars="200" w:firstLine="480"/>
        <w:rPr>
          <w:rFonts w:ascii="Times New Roman" w:hAnsi="Times New Roman"/>
          <w:sz w:val="24"/>
          <w:szCs w:val="24"/>
        </w:rPr>
      </w:pPr>
      <w:r w:rsidRPr="00470D43">
        <w:rPr>
          <w:rFonts w:ascii="Times New Roman" w:hAnsi="Times New Roman" w:hint="eastAsia"/>
          <w:sz w:val="24"/>
          <w:szCs w:val="24"/>
        </w:rPr>
        <w:t>注：</w:t>
      </w:r>
    </w:p>
    <w:p w:rsidR="00470D43" w:rsidRPr="00470D43" w:rsidRDefault="00470D43" w:rsidP="00470D43">
      <w:pPr>
        <w:spacing w:line="360" w:lineRule="auto"/>
        <w:ind w:firstLineChars="200" w:firstLine="480"/>
        <w:rPr>
          <w:rFonts w:ascii="Times New Roman" w:hAnsi="Times New Roman"/>
          <w:sz w:val="24"/>
          <w:szCs w:val="24"/>
        </w:rPr>
      </w:pPr>
      <w:r w:rsidRPr="00470D43">
        <w:rPr>
          <w:rFonts w:ascii="Times New Roman" w:hAnsi="Times New Roman" w:hint="eastAsia"/>
          <w:sz w:val="24"/>
          <w:szCs w:val="24"/>
        </w:rPr>
        <w:t>1</w:t>
      </w:r>
      <w:r w:rsidRPr="00470D43">
        <w:rPr>
          <w:rFonts w:ascii="Times New Roman" w:hAnsi="Times New Roman" w:hint="eastAsia"/>
          <w:sz w:val="24"/>
          <w:szCs w:val="24"/>
        </w:rPr>
        <w:t>、</w:t>
      </w:r>
      <w:r w:rsidR="0048517B" w:rsidRPr="0048517B">
        <w:rPr>
          <w:rFonts w:ascii="Times New Roman" w:hAnsi="Times New Roman" w:hint="eastAsia"/>
          <w:sz w:val="24"/>
          <w:szCs w:val="24"/>
        </w:rPr>
        <w:t>上述日期已剔除和国内公休假、法定节假日重合的日期。</w:t>
      </w:r>
    </w:p>
    <w:p w:rsidR="00470D43" w:rsidRPr="00470D43" w:rsidRDefault="00470D43" w:rsidP="00CB03FA">
      <w:pPr>
        <w:spacing w:line="360" w:lineRule="auto"/>
        <w:ind w:firstLineChars="200" w:firstLine="480"/>
        <w:rPr>
          <w:rFonts w:ascii="Times New Roman" w:hAnsi="Times New Roman"/>
          <w:sz w:val="24"/>
          <w:szCs w:val="24"/>
        </w:rPr>
      </w:pPr>
      <w:r w:rsidRPr="00470D43">
        <w:rPr>
          <w:rFonts w:ascii="Times New Roman" w:hAnsi="Times New Roman" w:hint="eastAsia"/>
          <w:sz w:val="24"/>
          <w:szCs w:val="24"/>
        </w:rPr>
        <w:t>2</w:t>
      </w:r>
      <w:r w:rsidRPr="00470D43">
        <w:rPr>
          <w:rFonts w:ascii="Times New Roman" w:hAnsi="Times New Roman" w:hint="eastAsia"/>
          <w:sz w:val="24"/>
          <w:szCs w:val="24"/>
        </w:rPr>
        <w:t>、如遇</w:t>
      </w:r>
      <w:r w:rsidR="00CB03FA">
        <w:rPr>
          <w:rFonts w:ascii="Times New Roman" w:hAnsi="Times New Roman" w:hint="eastAsia"/>
          <w:sz w:val="24"/>
          <w:szCs w:val="24"/>
        </w:rPr>
        <w:t>上述</w:t>
      </w:r>
      <w:r w:rsidRPr="00470D43">
        <w:rPr>
          <w:rFonts w:ascii="Times New Roman" w:hAnsi="Times New Roman" w:hint="eastAsia"/>
          <w:sz w:val="24"/>
          <w:szCs w:val="24"/>
        </w:rPr>
        <w:t>基金因其他原因暂停申购、赎回和定期定额投资等业务的，具体业务办理以相关公告为准。</w:t>
      </w:r>
    </w:p>
    <w:p w:rsidR="00470D43" w:rsidRPr="00470D43" w:rsidRDefault="00CB03FA" w:rsidP="00470D43">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3</w:t>
      </w:r>
      <w:r w:rsidR="00470D43" w:rsidRPr="00470D43">
        <w:rPr>
          <w:rFonts w:ascii="Times New Roman" w:hAnsi="Times New Roman" w:hint="eastAsia"/>
          <w:sz w:val="24"/>
          <w:szCs w:val="24"/>
        </w:rPr>
        <w:t>、敬请投资者仔细阅读基金合同、招募说明书、产品资料概要等法律文件，及早做好交易安排，避免因本基金暂停申购、定投、赎回等业务带来的不变。</w:t>
      </w:r>
    </w:p>
    <w:p w:rsidR="0065333C" w:rsidRDefault="0048517B" w:rsidP="0065333C">
      <w:pPr>
        <w:spacing w:line="360" w:lineRule="auto"/>
        <w:ind w:firstLineChars="200" w:firstLine="480"/>
        <w:rPr>
          <w:rFonts w:ascii="Times New Roman" w:hAnsi="Times New Roman"/>
          <w:sz w:val="24"/>
          <w:szCs w:val="24"/>
        </w:rPr>
      </w:pPr>
      <w:r>
        <w:rPr>
          <w:rFonts w:ascii="Times New Roman" w:hAnsi="Times New Roman"/>
          <w:sz w:val="24"/>
          <w:szCs w:val="24"/>
        </w:rPr>
        <w:t>4</w:t>
      </w:r>
      <w:r w:rsidR="0065333C">
        <w:rPr>
          <w:rFonts w:ascii="Times New Roman" w:hAnsi="Times New Roman" w:hint="eastAsia"/>
          <w:sz w:val="24"/>
          <w:szCs w:val="24"/>
        </w:rPr>
        <w:t>、</w:t>
      </w:r>
      <w:r w:rsidR="0065333C" w:rsidRPr="0065333C">
        <w:rPr>
          <w:rFonts w:ascii="Times New Roman" w:hAnsi="Times New Roman" w:hint="eastAsia"/>
          <w:sz w:val="24"/>
          <w:szCs w:val="24"/>
        </w:rPr>
        <w:t>若出现新的证券交易市场、证券交易所交易时间变更或其他特殊情况，基金管理人将视情况对前述开放日及开放时间进行相应的调整并公告。</w:t>
      </w:r>
    </w:p>
    <w:p w:rsidR="00470D43" w:rsidRDefault="00470D43" w:rsidP="00494D52">
      <w:pPr>
        <w:spacing w:line="360" w:lineRule="auto"/>
        <w:ind w:firstLineChars="200" w:firstLine="480"/>
        <w:rPr>
          <w:rFonts w:ascii="Times New Roman" w:hAnsi="Times New Roman"/>
          <w:sz w:val="24"/>
          <w:szCs w:val="24"/>
        </w:rPr>
      </w:pPr>
    </w:p>
    <w:p w:rsidR="00494D52" w:rsidRDefault="00494D52" w:rsidP="00494D52">
      <w:pPr>
        <w:spacing w:line="360" w:lineRule="auto"/>
        <w:ind w:firstLineChars="200" w:firstLine="480"/>
        <w:rPr>
          <w:rFonts w:ascii="Times New Roman" w:hAnsi="Times New Roman"/>
          <w:sz w:val="24"/>
          <w:szCs w:val="24"/>
        </w:rPr>
      </w:pPr>
      <w:r w:rsidRPr="005C2862">
        <w:rPr>
          <w:rFonts w:ascii="Times New Roman" w:hAnsi="Times New Roman" w:hint="eastAsia"/>
          <w:sz w:val="24"/>
          <w:szCs w:val="24"/>
        </w:rPr>
        <w:t>投资者可以登录本公司网站</w:t>
      </w:r>
      <w:r w:rsidRPr="005C2862">
        <w:rPr>
          <w:rFonts w:ascii="Times New Roman" w:hAnsi="Times New Roman"/>
          <w:sz w:val="24"/>
          <w:szCs w:val="24"/>
        </w:rPr>
        <w:t>(www.huatai-pb.com)</w:t>
      </w:r>
      <w:r w:rsidRPr="005C2862">
        <w:rPr>
          <w:rFonts w:ascii="Times New Roman" w:hAnsi="Times New Roman" w:hint="eastAsia"/>
          <w:sz w:val="24"/>
          <w:szCs w:val="24"/>
        </w:rPr>
        <w:t>或拨打客户服务电话</w:t>
      </w:r>
      <w:r w:rsidRPr="005C2862">
        <w:rPr>
          <w:rFonts w:ascii="Times New Roman" w:hAnsi="Times New Roman"/>
          <w:sz w:val="24"/>
          <w:szCs w:val="24"/>
        </w:rPr>
        <w:t>400-888-0001</w:t>
      </w:r>
      <w:r w:rsidRPr="005C2862">
        <w:rPr>
          <w:rFonts w:ascii="Times New Roman" w:hAnsi="Times New Roman" w:hint="eastAsia"/>
          <w:sz w:val="24"/>
          <w:szCs w:val="24"/>
        </w:rPr>
        <w:t>咨询相关信息。</w:t>
      </w:r>
    </w:p>
    <w:p w:rsidR="00470D43" w:rsidRPr="00470D43" w:rsidRDefault="00470D43" w:rsidP="00494D5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494D52" w:rsidRPr="005C2862" w:rsidRDefault="00494D52" w:rsidP="00494D52">
      <w:pPr>
        <w:spacing w:line="360" w:lineRule="auto"/>
        <w:ind w:firstLineChars="200" w:firstLine="480"/>
        <w:rPr>
          <w:rFonts w:ascii="Times New Roman" w:hAnsi="Times New Roman"/>
          <w:sz w:val="24"/>
          <w:szCs w:val="24"/>
        </w:rPr>
      </w:pPr>
      <w:r w:rsidRPr="005C2862">
        <w:rPr>
          <w:rFonts w:ascii="Times New Roman" w:hAnsi="Times New Roman"/>
          <w:sz w:val="24"/>
          <w:szCs w:val="24"/>
        </w:rPr>
        <w:t> </w:t>
      </w:r>
    </w:p>
    <w:p w:rsidR="00494D52" w:rsidRPr="005C2862" w:rsidRDefault="00494D52" w:rsidP="00494D52">
      <w:pPr>
        <w:spacing w:line="360" w:lineRule="auto"/>
        <w:ind w:firstLineChars="200" w:firstLine="480"/>
        <w:jc w:val="right"/>
        <w:rPr>
          <w:rFonts w:ascii="Times New Roman" w:hAnsi="Times New Roman"/>
          <w:sz w:val="24"/>
          <w:szCs w:val="24"/>
        </w:rPr>
      </w:pPr>
      <w:r w:rsidRPr="005C2862">
        <w:rPr>
          <w:rFonts w:ascii="Times New Roman" w:hAnsi="Times New Roman" w:hint="eastAsia"/>
          <w:sz w:val="24"/>
          <w:szCs w:val="24"/>
        </w:rPr>
        <w:t>华泰柏瑞基金管理有限公司</w:t>
      </w:r>
    </w:p>
    <w:p w:rsidR="00F830F8" w:rsidRPr="00494D52" w:rsidRDefault="0017240C" w:rsidP="00DE7EDC">
      <w:pPr>
        <w:spacing w:line="360" w:lineRule="auto"/>
        <w:ind w:firstLineChars="200" w:firstLine="480"/>
        <w:jc w:val="right"/>
      </w:pPr>
      <w:r w:rsidRPr="005C2862">
        <w:rPr>
          <w:rFonts w:ascii="Times New Roman" w:hAnsi="Times New Roman"/>
          <w:sz w:val="24"/>
          <w:szCs w:val="24"/>
        </w:rPr>
        <w:t>20</w:t>
      </w:r>
      <w:r w:rsidR="00470D43">
        <w:rPr>
          <w:rFonts w:ascii="Times New Roman" w:hAnsi="Times New Roman" w:hint="eastAsia"/>
          <w:sz w:val="24"/>
          <w:szCs w:val="24"/>
        </w:rPr>
        <w:t>2</w:t>
      </w:r>
      <w:r w:rsidR="00CD407D">
        <w:rPr>
          <w:rFonts w:ascii="Times New Roman" w:hAnsi="Times New Roman"/>
          <w:sz w:val="24"/>
          <w:szCs w:val="24"/>
        </w:rPr>
        <w:t>5</w:t>
      </w:r>
      <w:r w:rsidR="0057091E" w:rsidRPr="005C2862">
        <w:rPr>
          <w:rFonts w:ascii="Times New Roman" w:hAnsi="Times New Roman" w:hint="eastAsia"/>
          <w:sz w:val="24"/>
          <w:szCs w:val="24"/>
        </w:rPr>
        <w:t>年</w:t>
      </w:r>
      <w:r w:rsidR="0057091E">
        <w:rPr>
          <w:rFonts w:ascii="Times New Roman" w:hAnsi="Times New Roman" w:hint="eastAsia"/>
          <w:sz w:val="24"/>
          <w:szCs w:val="24"/>
        </w:rPr>
        <w:t>1</w:t>
      </w:r>
      <w:r w:rsidR="00CB03FA">
        <w:rPr>
          <w:rFonts w:ascii="Times New Roman" w:hAnsi="Times New Roman"/>
          <w:sz w:val="24"/>
          <w:szCs w:val="24"/>
        </w:rPr>
        <w:t>2</w:t>
      </w:r>
      <w:r w:rsidR="0057091E" w:rsidRPr="005C2862">
        <w:rPr>
          <w:rFonts w:ascii="Times New Roman" w:hAnsi="Times New Roman" w:hint="eastAsia"/>
          <w:sz w:val="24"/>
          <w:szCs w:val="24"/>
        </w:rPr>
        <w:t>月</w:t>
      </w:r>
      <w:r w:rsidR="00CD407D">
        <w:rPr>
          <w:rFonts w:ascii="Times New Roman" w:hAnsi="Times New Roman"/>
          <w:sz w:val="24"/>
          <w:szCs w:val="24"/>
        </w:rPr>
        <w:t>31</w:t>
      </w:r>
      <w:r w:rsidR="00494D52" w:rsidRPr="005C2862">
        <w:rPr>
          <w:rFonts w:ascii="Times New Roman" w:hAnsi="Times New Roman" w:hint="eastAsia"/>
          <w:sz w:val="24"/>
          <w:szCs w:val="24"/>
        </w:rPr>
        <w:t>日</w:t>
      </w:r>
    </w:p>
    <w:sectPr w:rsidR="00F830F8" w:rsidRPr="00494D52" w:rsidSect="00811A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77A" w:rsidRDefault="0084177A" w:rsidP="00CB1FA9">
      <w:r>
        <w:separator/>
      </w:r>
    </w:p>
  </w:endnote>
  <w:endnote w:type="continuationSeparator" w:id="0">
    <w:p w:rsidR="0084177A" w:rsidRDefault="0084177A" w:rsidP="00CB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77A" w:rsidRDefault="0084177A" w:rsidP="00CB1FA9">
      <w:r>
        <w:separator/>
      </w:r>
    </w:p>
  </w:footnote>
  <w:footnote w:type="continuationSeparator" w:id="0">
    <w:p w:rsidR="0084177A" w:rsidRDefault="0084177A" w:rsidP="00CB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B6CDF"/>
    <w:multiLevelType w:val="hybridMultilevel"/>
    <w:tmpl w:val="A95EF37E"/>
    <w:lvl w:ilvl="0" w:tplc="4CC6A4B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4D52"/>
    <w:rsid w:val="00026AF2"/>
    <w:rsid w:val="00050BA1"/>
    <w:rsid w:val="00065BD6"/>
    <w:rsid w:val="000924DB"/>
    <w:rsid w:val="000B06F4"/>
    <w:rsid w:val="000B49FA"/>
    <w:rsid w:val="000B75B0"/>
    <w:rsid w:val="000D1369"/>
    <w:rsid w:val="000F4155"/>
    <w:rsid w:val="000F57D7"/>
    <w:rsid w:val="00152BC1"/>
    <w:rsid w:val="00154558"/>
    <w:rsid w:val="0017240C"/>
    <w:rsid w:val="00210F74"/>
    <w:rsid w:val="00225AD3"/>
    <w:rsid w:val="002371E1"/>
    <w:rsid w:val="0023737C"/>
    <w:rsid w:val="00253E8F"/>
    <w:rsid w:val="002946FC"/>
    <w:rsid w:val="002A0925"/>
    <w:rsid w:val="002D0CD7"/>
    <w:rsid w:val="002E5509"/>
    <w:rsid w:val="002F0AEF"/>
    <w:rsid w:val="0030304A"/>
    <w:rsid w:val="003569FB"/>
    <w:rsid w:val="003D5F29"/>
    <w:rsid w:val="004404FB"/>
    <w:rsid w:val="00446719"/>
    <w:rsid w:val="00470D43"/>
    <w:rsid w:val="00472E69"/>
    <w:rsid w:val="00476A5C"/>
    <w:rsid w:val="00477594"/>
    <w:rsid w:val="0048517B"/>
    <w:rsid w:val="0049413E"/>
    <w:rsid w:val="00494D52"/>
    <w:rsid w:val="004A5F5D"/>
    <w:rsid w:val="004E3264"/>
    <w:rsid w:val="00517A44"/>
    <w:rsid w:val="005361D8"/>
    <w:rsid w:val="005604B0"/>
    <w:rsid w:val="0057091E"/>
    <w:rsid w:val="005A3F76"/>
    <w:rsid w:val="005C19BD"/>
    <w:rsid w:val="005D383D"/>
    <w:rsid w:val="005E003C"/>
    <w:rsid w:val="005E2D18"/>
    <w:rsid w:val="005F5043"/>
    <w:rsid w:val="0064054E"/>
    <w:rsid w:val="0065333C"/>
    <w:rsid w:val="0066043A"/>
    <w:rsid w:val="00662546"/>
    <w:rsid w:val="00712D7B"/>
    <w:rsid w:val="0073592E"/>
    <w:rsid w:val="00770BA1"/>
    <w:rsid w:val="00775EA4"/>
    <w:rsid w:val="007B4EA0"/>
    <w:rsid w:val="007C4D91"/>
    <w:rsid w:val="00804BAA"/>
    <w:rsid w:val="00811A53"/>
    <w:rsid w:val="0081232B"/>
    <w:rsid w:val="0084177A"/>
    <w:rsid w:val="008450C7"/>
    <w:rsid w:val="008B49E8"/>
    <w:rsid w:val="008E2E87"/>
    <w:rsid w:val="00900648"/>
    <w:rsid w:val="0091281D"/>
    <w:rsid w:val="00922327"/>
    <w:rsid w:val="009C2442"/>
    <w:rsid w:val="009D4F2A"/>
    <w:rsid w:val="00A17A50"/>
    <w:rsid w:val="00A7737D"/>
    <w:rsid w:val="00A87DB7"/>
    <w:rsid w:val="00A96994"/>
    <w:rsid w:val="00AA4F6D"/>
    <w:rsid w:val="00AE5860"/>
    <w:rsid w:val="00B15D0B"/>
    <w:rsid w:val="00B351A5"/>
    <w:rsid w:val="00B656A2"/>
    <w:rsid w:val="00B732EB"/>
    <w:rsid w:val="00B92AC6"/>
    <w:rsid w:val="00BC296F"/>
    <w:rsid w:val="00C04411"/>
    <w:rsid w:val="00C175F5"/>
    <w:rsid w:val="00C869C4"/>
    <w:rsid w:val="00CA26C1"/>
    <w:rsid w:val="00CB03FA"/>
    <w:rsid w:val="00CB1FA9"/>
    <w:rsid w:val="00CB2A07"/>
    <w:rsid w:val="00CD407D"/>
    <w:rsid w:val="00CE0F87"/>
    <w:rsid w:val="00D02B44"/>
    <w:rsid w:val="00D22940"/>
    <w:rsid w:val="00D9047B"/>
    <w:rsid w:val="00DB2E46"/>
    <w:rsid w:val="00DD0CCB"/>
    <w:rsid w:val="00DE7EDC"/>
    <w:rsid w:val="00DF74F6"/>
    <w:rsid w:val="00E202E7"/>
    <w:rsid w:val="00E25915"/>
    <w:rsid w:val="00E25A84"/>
    <w:rsid w:val="00E53737"/>
    <w:rsid w:val="00E839A9"/>
    <w:rsid w:val="00EF5C1B"/>
    <w:rsid w:val="00F76694"/>
    <w:rsid w:val="00F90375"/>
    <w:rsid w:val="00F90ECB"/>
    <w:rsid w:val="00FC6867"/>
    <w:rsid w:val="00FF5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D52"/>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E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CB1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B1FA9"/>
    <w:rPr>
      <w:rFonts w:ascii="Calibri" w:eastAsia="宋体" w:hAnsi="Calibri" w:cs="宋体"/>
      <w:kern w:val="0"/>
      <w:sz w:val="18"/>
      <w:szCs w:val="18"/>
    </w:rPr>
  </w:style>
  <w:style w:type="paragraph" w:styleId="a5">
    <w:name w:val="footer"/>
    <w:basedOn w:val="a"/>
    <w:link w:val="Char0"/>
    <w:uiPriority w:val="99"/>
    <w:unhideWhenUsed/>
    <w:rsid w:val="00CB1FA9"/>
    <w:pPr>
      <w:tabs>
        <w:tab w:val="center" w:pos="4153"/>
        <w:tab w:val="right" w:pos="8306"/>
      </w:tabs>
      <w:snapToGrid w:val="0"/>
      <w:jc w:val="left"/>
    </w:pPr>
    <w:rPr>
      <w:sz w:val="18"/>
      <w:szCs w:val="18"/>
    </w:rPr>
  </w:style>
  <w:style w:type="character" w:customStyle="1" w:styleId="Char0">
    <w:name w:val="页脚 Char"/>
    <w:basedOn w:val="a0"/>
    <w:link w:val="a5"/>
    <w:uiPriority w:val="99"/>
    <w:rsid w:val="00CB1FA9"/>
    <w:rPr>
      <w:rFonts w:ascii="Calibri" w:eastAsia="宋体" w:hAnsi="Calibri" w:cs="宋体"/>
      <w:kern w:val="0"/>
      <w:sz w:val="18"/>
      <w:szCs w:val="18"/>
    </w:rPr>
  </w:style>
  <w:style w:type="paragraph" w:styleId="a6">
    <w:name w:val="Balloon Text"/>
    <w:basedOn w:val="a"/>
    <w:link w:val="Char1"/>
    <w:uiPriority w:val="99"/>
    <w:semiHidden/>
    <w:unhideWhenUsed/>
    <w:rsid w:val="00065BD6"/>
    <w:rPr>
      <w:sz w:val="18"/>
      <w:szCs w:val="18"/>
    </w:rPr>
  </w:style>
  <w:style w:type="character" w:customStyle="1" w:styleId="Char1">
    <w:name w:val="批注框文本 Char"/>
    <w:basedOn w:val="a0"/>
    <w:link w:val="a6"/>
    <w:uiPriority w:val="99"/>
    <w:semiHidden/>
    <w:rsid w:val="00065BD6"/>
    <w:rPr>
      <w:rFonts w:ascii="Calibri" w:eastAsia="宋体" w:hAnsi="Calibri" w:cs="宋体"/>
      <w:kern w:val="0"/>
      <w:sz w:val="18"/>
      <w:szCs w:val="18"/>
    </w:rPr>
  </w:style>
  <w:style w:type="paragraph" w:styleId="a7">
    <w:name w:val="List Paragraph"/>
    <w:basedOn w:val="a"/>
    <w:uiPriority w:val="34"/>
    <w:qFormat/>
    <w:rsid w:val="000F4155"/>
    <w:pPr>
      <w:ind w:firstLineChars="200" w:firstLine="420"/>
    </w:pPr>
  </w:style>
  <w:style w:type="character" w:styleId="a8">
    <w:name w:val="annotation reference"/>
    <w:basedOn w:val="a0"/>
    <w:uiPriority w:val="99"/>
    <w:semiHidden/>
    <w:unhideWhenUsed/>
    <w:rsid w:val="009C2442"/>
    <w:rPr>
      <w:sz w:val="21"/>
      <w:szCs w:val="21"/>
    </w:rPr>
  </w:style>
  <w:style w:type="paragraph" w:styleId="a9">
    <w:name w:val="annotation text"/>
    <w:basedOn w:val="a"/>
    <w:link w:val="Char2"/>
    <w:uiPriority w:val="99"/>
    <w:semiHidden/>
    <w:unhideWhenUsed/>
    <w:rsid w:val="009C2442"/>
    <w:pPr>
      <w:jc w:val="left"/>
    </w:pPr>
  </w:style>
  <w:style w:type="character" w:customStyle="1" w:styleId="Char2">
    <w:name w:val="批注文字 Char"/>
    <w:basedOn w:val="a0"/>
    <w:link w:val="a9"/>
    <w:uiPriority w:val="99"/>
    <w:semiHidden/>
    <w:rsid w:val="009C2442"/>
    <w:rPr>
      <w:rFonts w:ascii="Calibri" w:eastAsia="宋体" w:hAnsi="Calibri" w:cs="宋体"/>
      <w:kern w:val="0"/>
      <w:szCs w:val="21"/>
    </w:rPr>
  </w:style>
  <w:style w:type="paragraph" w:styleId="aa">
    <w:name w:val="annotation subject"/>
    <w:basedOn w:val="a9"/>
    <w:next w:val="a9"/>
    <w:link w:val="Char3"/>
    <w:uiPriority w:val="99"/>
    <w:semiHidden/>
    <w:unhideWhenUsed/>
    <w:rsid w:val="009C2442"/>
    <w:rPr>
      <w:b/>
      <w:bCs/>
    </w:rPr>
  </w:style>
  <w:style w:type="character" w:customStyle="1" w:styleId="Char3">
    <w:name w:val="批注主题 Char"/>
    <w:basedOn w:val="Char2"/>
    <w:link w:val="aa"/>
    <w:uiPriority w:val="99"/>
    <w:semiHidden/>
    <w:rsid w:val="009C2442"/>
    <w:rPr>
      <w:rFonts w:ascii="Calibri" w:eastAsia="宋体" w:hAnsi="Calibri" w:cs="宋体"/>
      <w:b/>
      <w:bCs/>
      <w:kern w:val="0"/>
      <w:szCs w:val="21"/>
    </w:rPr>
  </w:style>
</w:styles>
</file>

<file path=word/webSettings.xml><?xml version="1.0" encoding="utf-8"?>
<w:webSettings xmlns:r="http://schemas.openxmlformats.org/officeDocument/2006/relationships" xmlns:w="http://schemas.openxmlformats.org/wordprocessingml/2006/main">
  <w:divs>
    <w:div w:id="1010450895">
      <w:bodyDiv w:val="1"/>
      <w:marLeft w:val="0"/>
      <w:marRight w:val="0"/>
      <w:marTop w:val="0"/>
      <w:marBottom w:val="0"/>
      <w:divBdr>
        <w:top w:val="none" w:sz="0" w:space="0" w:color="auto"/>
        <w:left w:val="none" w:sz="0" w:space="0" w:color="auto"/>
        <w:bottom w:val="none" w:sz="0" w:space="0" w:color="auto"/>
        <w:right w:val="none" w:sz="0" w:space="0" w:color="auto"/>
      </w:divBdr>
    </w:div>
    <w:div w:id="10759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4</DocSecurity>
  <Lines>6</Lines>
  <Paragraphs>1</Paragraphs>
  <ScaleCrop>false</ScaleCrop>
  <Company>华泰柏瑞基金公司</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huxw</dc:creator>
  <cp:lastModifiedBy>ZHONGM</cp:lastModifiedBy>
  <cp:revision>2</cp:revision>
  <dcterms:created xsi:type="dcterms:W3CDTF">2025-12-30T16:03:00Z</dcterms:created>
  <dcterms:modified xsi:type="dcterms:W3CDTF">2025-12-30T16:03:00Z</dcterms:modified>
</cp:coreProperties>
</file>