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D100D6" w:rsidP="00E22677">
      <w:pPr>
        <w:spacing w:line="360" w:lineRule="auto"/>
        <w:jc w:val="center"/>
        <w:rPr>
          <w:rFonts w:ascii="宋体" w:hAnsi="宋体" w:cs="宋体"/>
          <w:b/>
          <w:color w:val="000000"/>
          <w:kern w:val="0"/>
          <w:sz w:val="28"/>
          <w:szCs w:val="28"/>
        </w:rPr>
      </w:pPr>
      <w:r>
        <w:rPr>
          <w:rFonts w:ascii="宋体" w:hAnsi="宋体" w:cs="宋体"/>
          <w:b/>
          <w:color w:val="000000"/>
          <w:kern w:val="0"/>
          <w:sz w:val="28"/>
          <w:szCs w:val="28"/>
        </w:rPr>
        <w:t>汇添富基金管理股份有限公司关于旗下部分基金</w:t>
      </w:r>
      <w:r>
        <w:rPr>
          <w:rFonts w:ascii="宋体" w:hAnsi="宋体" w:cs="宋体"/>
          <w:b/>
          <w:color w:val="000000"/>
          <w:kern w:val="0"/>
          <w:sz w:val="28"/>
          <w:szCs w:val="28"/>
        </w:rPr>
        <w:t>2026</w:t>
      </w:r>
      <w:r>
        <w:rPr>
          <w:rFonts w:ascii="宋体" w:hAnsi="宋体" w:cs="宋体"/>
          <w:b/>
          <w:color w:val="000000"/>
          <w:kern w:val="0"/>
          <w:sz w:val="28"/>
          <w:szCs w:val="28"/>
        </w:rPr>
        <w:t>年非港股通交易日暂停申购、赎回等业务的公告</w:t>
      </w:r>
    </w:p>
    <w:p w:rsidR="00A37E4A" w:rsidRPr="0040281B" w:rsidRDefault="00A37E4A" w:rsidP="00E22677">
      <w:pPr>
        <w:spacing w:line="360" w:lineRule="auto"/>
        <w:jc w:val="center"/>
        <w:rPr>
          <w:rFonts w:hAnsi="宋体"/>
          <w:b/>
          <w:kern w:val="0"/>
          <w:sz w:val="18"/>
          <w:szCs w:val="28"/>
        </w:rPr>
      </w:pPr>
    </w:p>
    <w:p w:rsidR="00E22677" w:rsidRDefault="00D100D6" w:rsidP="00A37E4A">
      <w:pPr>
        <w:spacing w:line="360" w:lineRule="auto"/>
        <w:ind w:firstLineChars="200" w:firstLine="480"/>
        <w:rPr>
          <w:rFonts w:ascii="宋体" w:hAnsi="宋体" w:cs="宋体"/>
          <w:color w:val="000000"/>
          <w:kern w:val="0"/>
          <w:sz w:val="24"/>
        </w:rPr>
      </w:pPr>
      <w:r>
        <w:rPr>
          <w:rFonts w:ascii="宋体" w:hAnsi="宋体" w:cs="宋体"/>
          <w:color w:val="000000"/>
          <w:kern w:val="0"/>
          <w:sz w:val="24"/>
        </w:rPr>
        <w:t>为了保障基金平稳运作，保护持有人利益，根据下述基金基金合同的约定，以及上海证券交易所和深圳证券交易所关于</w:t>
      </w:r>
      <w:r>
        <w:rPr>
          <w:rFonts w:ascii="宋体" w:hAnsi="宋体" w:cs="宋体"/>
          <w:color w:val="000000"/>
          <w:kern w:val="0"/>
          <w:sz w:val="24"/>
        </w:rPr>
        <w:t>2026</w:t>
      </w:r>
      <w:r>
        <w:rPr>
          <w:rFonts w:ascii="宋体" w:hAnsi="宋体" w:cs="宋体"/>
          <w:color w:val="000000"/>
          <w:kern w:val="0"/>
          <w:sz w:val="24"/>
        </w:rPr>
        <w:t>年港股通交易日安排的通知，汇添富基金管理股份有限公司（以下简称</w:t>
      </w:r>
      <w:r>
        <w:rPr>
          <w:rFonts w:ascii="宋体" w:hAnsi="宋体" w:cs="宋体"/>
          <w:color w:val="000000"/>
          <w:kern w:val="0"/>
          <w:sz w:val="24"/>
        </w:rPr>
        <w:t>“</w:t>
      </w:r>
      <w:r>
        <w:rPr>
          <w:rFonts w:ascii="宋体" w:hAnsi="宋体" w:cs="宋体"/>
          <w:color w:val="000000"/>
          <w:kern w:val="0"/>
          <w:sz w:val="24"/>
        </w:rPr>
        <w:t>本公司</w:t>
      </w:r>
      <w:r>
        <w:rPr>
          <w:rFonts w:ascii="宋体" w:hAnsi="宋体" w:cs="宋体"/>
          <w:color w:val="000000"/>
          <w:kern w:val="0"/>
          <w:sz w:val="24"/>
        </w:rPr>
        <w:t>”</w:t>
      </w:r>
      <w:r>
        <w:rPr>
          <w:rFonts w:ascii="宋体" w:hAnsi="宋体" w:cs="宋体"/>
          <w:color w:val="000000"/>
          <w:kern w:val="0"/>
          <w:sz w:val="24"/>
        </w:rPr>
        <w:t>）决定，除上海证券交易所和深圳证券交易所因国内节假日休市外，下述基金在下列非港股通交易日将暂停申购、赎回、定期定额投资、转换等业务，并自下列非港股通交易日结束后的首个开放日恢复（原先未开放的业务不作暂停与恢复），届时不再另行公告。现将相关事项公告如下：</w:t>
      </w:r>
    </w:p>
    <w:p w:rsidR="00E22677" w:rsidRDefault="00D100D6" w:rsidP="00E22677">
      <w:pPr>
        <w:pStyle w:val="a9"/>
        <w:widowControl/>
        <w:numPr>
          <w:ilvl w:val="0"/>
          <w:numId w:val="1"/>
        </w:numPr>
        <w:snapToGrid w:val="0"/>
        <w:spacing w:line="360" w:lineRule="auto"/>
        <w:ind w:firstLineChars="0"/>
        <w:jc w:val="left"/>
        <w:rPr>
          <w:kern w:val="0"/>
          <w:sz w:val="24"/>
        </w:rPr>
      </w:pPr>
      <w:r>
        <w:rPr>
          <w:rFonts w:hint="eastAsia"/>
          <w:kern w:val="0"/>
          <w:sz w:val="24"/>
        </w:rPr>
        <w:t>适用基金</w:t>
      </w:r>
    </w:p>
    <w:p w:rsidR="00E21F76" w:rsidRPr="00E21F76" w:rsidRDefault="00E21F76" w:rsidP="00E21F76">
      <w:pPr>
        <w:pStyle w:val="a9"/>
        <w:widowControl/>
        <w:snapToGrid w:val="0"/>
        <w:ind w:firstLineChars="0" w:firstLine="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6"/>
        <w:gridCol w:w="3026"/>
        <w:gridCol w:w="2790"/>
      </w:tblGrid>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序号</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基金代码</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基金简称</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021202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汇添富均衡回报混合发起式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021203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汇添富均衡回报混合发起式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023455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汇添富增强回报债券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023456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汇添富增强回报债券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019176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汇添富添添乐双鑫债券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019177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汇添富添添乐双鑫债券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024995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汇添富稳颐优选债券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024996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汇添富稳颐优选债券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021515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汇添富红利智选混合发起式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021516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汇添富红利智选混合发起式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004424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汇添富文体娱乐混合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015183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汇添富文体娱乐混合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015184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汇添富文体娱乐混合</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010557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汇添富数字生活六个月持有混合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011665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汇添富数字经济引领发展三年持有混合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011666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汇添富数字经济引领发展三年持有混合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lastRenderedPageBreak/>
              <w:t>17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010869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汇添富稳健欣享一年持有混合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018586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汇添富双享增利债券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018587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汇添富双享增利债券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010870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汇添富稳健鑫添益六个月持有混合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017957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汇添富稳健鑫添益六个月持有混合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021198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汇添富优选价值混合发起式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021199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汇添富优选价值混合发起式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022276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汇添富弘悦回报混合发起式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022277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汇添富弘悦回报混合发起式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024786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汇添富港股通红利回报混合发起式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024787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汇添富港股通红利回报混合发起式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012157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汇添富上证</w:t>
            </w:r>
            <w:r>
              <w:rPr>
                <w:kern w:val="0"/>
                <w:sz w:val="24"/>
              </w:rPr>
              <w:t>50</w:t>
            </w:r>
            <w:r>
              <w:rPr>
                <w:kern w:val="0"/>
                <w:sz w:val="24"/>
              </w:rPr>
              <w:t>基本面增强指数</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29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012158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汇添富上证</w:t>
            </w:r>
            <w:r>
              <w:rPr>
                <w:kern w:val="0"/>
                <w:sz w:val="24"/>
              </w:rPr>
              <w:t>50</w:t>
            </w:r>
            <w:r>
              <w:rPr>
                <w:kern w:val="0"/>
                <w:sz w:val="24"/>
              </w:rPr>
              <w:t>基本面增强指数</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019546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汇添富上证</w:t>
            </w:r>
            <w:r>
              <w:rPr>
                <w:kern w:val="0"/>
                <w:sz w:val="24"/>
              </w:rPr>
              <w:t>50</w:t>
            </w:r>
            <w:r>
              <w:rPr>
                <w:kern w:val="0"/>
                <w:sz w:val="24"/>
              </w:rPr>
              <w:t>基本面增强指数</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010439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汇添富稳健汇盈一年持有混合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005351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汇添富行业整合混合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015190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汇添富行业整合混合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015191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汇添富行业整合混合</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013123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汇添富精选核心优势一年持有混合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013124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汇添富精选核心优势一年持有混合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005228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汇添富港股通专注成长</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022320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汇添富弘瑞回报混合发起式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39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022321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汇添富弘瑞回报混合发起式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010599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汇添富高质量成长</w:t>
            </w:r>
            <w:r>
              <w:rPr>
                <w:kern w:val="0"/>
                <w:sz w:val="24"/>
              </w:rPr>
              <w:t>30</w:t>
            </w:r>
            <w:r>
              <w:rPr>
                <w:kern w:val="0"/>
                <w:sz w:val="24"/>
              </w:rPr>
              <w:t>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011259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汇添富高质量成长</w:t>
            </w:r>
            <w:r>
              <w:rPr>
                <w:kern w:val="0"/>
                <w:sz w:val="24"/>
              </w:rPr>
              <w:t>30</w:t>
            </w:r>
            <w:r>
              <w:rPr>
                <w:kern w:val="0"/>
                <w:sz w:val="24"/>
              </w:rPr>
              <w:t>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lastRenderedPageBreak/>
              <w:t>42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010480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汇添富稳进双盈一年持有混合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012459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汇添富稳健睿享一年持有混合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012460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汇添富稳健睿享一年持有混合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013540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汇添富稳健睿享一年持有混合</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004451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汇添富双鑫添利债券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004452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汇添富双鑫添利债券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025178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汇添富双鑫添利债券</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49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011118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汇添富稳健睿选一年持有混合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011119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汇添富稳健睿选一年持有混合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019651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汇添富稳健睿选一年持有混合</w:t>
            </w:r>
            <w:r>
              <w:rPr>
                <w:kern w:val="0"/>
                <w:sz w:val="24"/>
              </w:rPr>
              <w:t>B</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011562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汇添富稳健盈和一年持有混合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012951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汇添富鑫享添利六个月持有混合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012952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汇添富鑫享添利六个月持有混合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019697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汇添富鑫享添利六个月持有混合</w:t>
            </w:r>
            <w:r>
              <w:rPr>
                <w:kern w:val="0"/>
                <w:sz w:val="24"/>
              </w:rPr>
              <w:t>B</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004534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汇添富双盈回报一年持有债券</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004535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汇添富双盈回报一年持有债券</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014543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汇添富中证沪港深云计算产业</w:t>
            </w:r>
            <w:r>
              <w:rPr>
                <w:kern w:val="0"/>
                <w:sz w:val="24"/>
              </w:rPr>
              <w:t>ETF</w:t>
            </w:r>
            <w:r>
              <w:rPr>
                <w:kern w:val="0"/>
                <w:sz w:val="24"/>
              </w:rPr>
              <w:t>联接</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59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014544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汇添富中证沪港深云计算产业</w:t>
            </w:r>
            <w:r>
              <w:rPr>
                <w:kern w:val="0"/>
                <w:sz w:val="24"/>
              </w:rPr>
              <w:t>ETF</w:t>
            </w:r>
            <w:r>
              <w:rPr>
                <w:kern w:val="0"/>
                <w:sz w:val="24"/>
              </w:rPr>
              <w:t>联接</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011296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汇添富优势行业一年持有混合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011297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汇添富优势行业一年持有混合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013147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汇添富碳中和主题混合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013148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汇添富碳中和主题混合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017876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汇添富新能源精选混合发起式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017877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汇添富新能源精选混合发起式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025661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汇添富标普港股通低波红利指数</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025662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汇添富标普港股通低波红利指数</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018442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汇添富成长领航混合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69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018443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汇添富成长领航混合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013365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汇添富产业升级混合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013366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汇添富产业升级混合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010298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汇添富品牌驱动六个月持有混合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007523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汇添富内需增长股票</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007524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汇添富内需增长股票</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011021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汇添富互联网核心资产六个月持有混合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011022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汇添富互联网核心资产六个月持有混合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011122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w:t>
            </w:r>
            <w:r>
              <w:rPr>
                <w:kern w:val="0"/>
                <w:sz w:val="24"/>
              </w:rPr>
              <w:t>ESG</w:t>
            </w:r>
            <w:r>
              <w:rPr>
                <w:kern w:val="0"/>
                <w:sz w:val="24"/>
              </w:rPr>
              <w:t>可持续成长股票</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011123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w:t>
            </w:r>
            <w:r>
              <w:rPr>
                <w:kern w:val="0"/>
                <w:sz w:val="24"/>
              </w:rPr>
              <w:t>ESG</w:t>
            </w:r>
            <w:r>
              <w:rPr>
                <w:kern w:val="0"/>
                <w:sz w:val="24"/>
              </w:rPr>
              <w:t>可持续成长股票</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79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025075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汇添富成长优选混合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025076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汇添富成长优选混合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017043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汇添富品质价值混合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013550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汇添富品牌价值一年持有混合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013551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汇添富品牌价值一年持有混合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009391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汇添富优质成长混合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009392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汇添富优质成长混合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011271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汇添富价值成长均衡投资混合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011272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汇添富价值成长均衡投资混合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010481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汇添富高质量成长精选</w:t>
            </w:r>
            <w:r>
              <w:rPr>
                <w:kern w:val="0"/>
                <w:sz w:val="24"/>
              </w:rPr>
              <w:t>2</w:t>
            </w:r>
            <w:r>
              <w:rPr>
                <w:kern w:val="0"/>
                <w:sz w:val="24"/>
              </w:rPr>
              <w:t>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89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017608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汇添富远景成长一年持有混合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017609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汇添富远景成长一年持有混合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010045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汇添富稳健添盈一年持有混合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006408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汇添富消费升级混合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015187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汇添富消费升级混合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015188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汇添富消费升级混合</w:t>
            </w:r>
            <w:r>
              <w:rPr>
                <w:kern w:val="0"/>
                <w:sz w:val="24"/>
              </w:rPr>
              <w:t>D</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011418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汇添富消费精选两年持有股票</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011419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汇添富消费精选两年持有股票</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009548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汇添富中盘价值精选混合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009549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汇添富中盘价值精选混合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99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012820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汇添富价值领先混合</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008025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汇添富稳健增长混合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101</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008026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汇添富稳健增长混合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025544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汇添富港股通科技精选混合发起式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025545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汇添富港股通科技精选混合发起式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013367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汇添富多元价值发现混合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105</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013368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汇添富多元价值发现混合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106</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022572</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汇添富弘达回报混合发起式</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107</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022573</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汇添富弘达回报混合发起式</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005504</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汇添富沪港深大盘价值混合</w:t>
            </w:r>
            <w:r>
              <w:rPr>
                <w:kern w:val="0"/>
                <w:sz w:val="24"/>
              </w:rPr>
              <w:t>A</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109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015118</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汇添富沪港深大盘价值混合</w:t>
            </w:r>
            <w:r>
              <w:rPr>
                <w:kern w:val="0"/>
                <w:sz w:val="24"/>
              </w:rPr>
              <w:t>C</w:t>
            </w:r>
          </w:p>
        </w:tc>
      </w:tr>
      <w:tr w:rsidR="00E31F6B">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110</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015119</w:t>
            </w:r>
          </w:p>
        </w:tc>
        <w:tc>
          <w:tcPr>
            <w:tcW w:w="20000" w:type="dxa"/>
            <w:vAlign w:val="center"/>
          </w:tcPr>
          <w:p w:rsidR="00E31F6B" w:rsidRDefault="00D100D6" w:rsidP="00E21F76">
            <w:pPr>
              <w:pStyle w:val="a9"/>
              <w:widowControl/>
              <w:snapToGrid w:val="0"/>
              <w:ind w:firstLineChars="0" w:firstLine="0"/>
              <w:jc w:val="center"/>
              <w:rPr>
                <w:kern w:val="0"/>
                <w:sz w:val="24"/>
              </w:rPr>
            </w:pPr>
            <w:r>
              <w:rPr>
                <w:kern w:val="0"/>
                <w:sz w:val="24"/>
              </w:rPr>
              <w:t>汇添富沪港深大盘价值混合</w:t>
            </w:r>
            <w:r>
              <w:rPr>
                <w:kern w:val="0"/>
                <w:sz w:val="24"/>
              </w:rPr>
              <w:t>D</w:t>
            </w:r>
          </w:p>
        </w:tc>
      </w:tr>
    </w:tbl>
    <w:p w:rsidR="00E31F6B" w:rsidRDefault="00E31F6B" w:rsidP="00E21F76">
      <w:pPr>
        <w:pStyle w:val="a9"/>
        <w:widowControl/>
        <w:snapToGrid w:val="0"/>
        <w:ind w:firstLineChars="0" w:firstLine="0"/>
        <w:jc w:val="left"/>
        <w:rPr>
          <w:kern w:val="0"/>
          <w:sz w:val="24"/>
        </w:rPr>
      </w:pPr>
      <w:bookmarkStart w:id="0" w:name="_GoBack"/>
      <w:bookmarkEnd w:id="0"/>
    </w:p>
    <w:p w:rsidR="00E21F76" w:rsidRPr="00E21F76" w:rsidRDefault="00E21F76" w:rsidP="00A37E4A">
      <w:pPr>
        <w:pStyle w:val="a9"/>
        <w:widowControl/>
        <w:snapToGrid w:val="0"/>
        <w:ind w:firstLineChars="0" w:firstLine="0"/>
        <w:jc w:val="left"/>
        <w:rPr>
          <w:rFonts w:asciiTheme="minorEastAsia" w:eastAsiaTheme="minorEastAsia" w:hAnsiTheme="minorEastAsia"/>
          <w:kern w:val="0"/>
          <w:sz w:val="24"/>
        </w:rPr>
      </w:pPr>
    </w:p>
    <w:p w:rsidR="00A37E4A" w:rsidRDefault="00D100D6" w:rsidP="00A37E4A">
      <w:pPr>
        <w:pStyle w:val="a9"/>
        <w:widowControl/>
        <w:numPr>
          <w:ilvl w:val="0"/>
          <w:numId w:val="1"/>
        </w:numPr>
        <w:snapToGrid w:val="0"/>
        <w:spacing w:line="360" w:lineRule="auto"/>
        <w:ind w:firstLineChars="0"/>
        <w:jc w:val="left"/>
        <w:rPr>
          <w:kern w:val="0"/>
          <w:sz w:val="24"/>
        </w:rPr>
      </w:pPr>
      <w:r>
        <w:rPr>
          <w:rFonts w:hint="eastAsia"/>
          <w:kern w:val="0"/>
          <w:sz w:val="24"/>
        </w:rPr>
        <w:t>暂停时间安排</w:t>
      </w:r>
    </w:p>
    <w:p w:rsidR="00B45BB1" w:rsidRDefault="00B45BB1" w:rsidP="00B45BB1">
      <w:pPr>
        <w:widowControl/>
        <w:snapToGrid w:val="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31F6B">
        <w:tc>
          <w:tcPr>
            <w:tcW w:w="16000" w:type="dxa"/>
            <w:vAlign w:val="center"/>
          </w:tcPr>
          <w:p w:rsidR="00B45BB1" w:rsidRDefault="00D100D6" w:rsidP="00B45BB1">
            <w:pPr>
              <w:widowControl/>
              <w:snapToGrid w:val="0"/>
              <w:jc w:val="center"/>
              <w:rPr>
                <w:kern w:val="0"/>
                <w:sz w:val="24"/>
              </w:rPr>
            </w:pPr>
            <w:r>
              <w:rPr>
                <w:kern w:val="0"/>
                <w:sz w:val="24"/>
              </w:rPr>
              <w:t>日期</w:t>
            </w:r>
          </w:p>
        </w:tc>
      </w:tr>
      <w:tr w:rsidR="00E31F6B">
        <w:tc>
          <w:tcPr>
            <w:tcW w:w="16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04</w:t>
            </w:r>
            <w:r>
              <w:rPr>
                <w:kern w:val="0"/>
                <w:sz w:val="24"/>
              </w:rPr>
              <w:t>月</w:t>
            </w:r>
            <w:r>
              <w:rPr>
                <w:kern w:val="0"/>
                <w:sz w:val="24"/>
              </w:rPr>
              <w:t>03</w:t>
            </w:r>
            <w:r>
              <w:rPr>
                <w:kern w:val="0"/>
                <w:sz w:val="24"/>
              </w:rPr>
              <w:t>日</w:t>
            </w:r>
          </w:p>
        </w:tc>
      </w:tr>
      <w:tr w:rsidR="00E31F6B">
        <w:tc>
          <w:tcPr>
            <w:tcW w:w="16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04</w:t>
            </w:r>
            <w:r>
              <w:rPr>
                <w:kern w:val="0"/>
                <w:sz w:val="24"/>
              </w:rPr>
              <w:t>月</w:t>
            </w:r>
            <w:r>
              <w:rPr>
                <w:kern w:val="0"/>
                <w:sz w:val="24"/>
              </w:rPr>
              <w:t>07</w:t>
            </w:r>
            <w:r>
              <w:rPr>
                <w:kern w:val="0"/>
                <w:sz w:val="24"/>
              </w:rPr>
              <w:t>日</w:t>
            </w:r>
          </w:p>
        </w:tc>
      </w:tr>
      <w:tr w:rsidR="00E31F6B">
        <w:tc>
          <w:tcPr>
            <w:tcW w:w="16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05</w:t>
            </w:r>
            <w:r>
              <w:rPr>
                <w:kern w:val="0"/>
                <w:sz w:val="24"/>
              </w:rPr>
              <w:t>月</w:t>
            </w:r>
            <w:r>
              <w:rPr>
                <w:kern w:val="0"/>
                <w:sz w:val="24"/>
              </w:rPr>
              <w:t>25</w:t>
            </w:r>
            <w:r>
              <w:rPr>
                <w:kern w:val="0"/>
                <w:sz w:val="24"/>
              </w:rPr>
              <w:t>日</w:t>
            </w:r>
          </w:p>
        </w:tc>
      </w:tr>
      <w:tr w:rsidR="00E31F6B">
        <w:tc>
          <w:tcPr>
            <w:tcW w:w="16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07</w:t>
            </w:r>
            <w:r>
              <w:rPr>
                <w:kern w:val="0"/>
                <w:sz w:val="24"/>
              </w:rPr>
              <w:t>月</w:t>
            </w:r>
            <w:r>
              <w:rPr>
                <w:kern w:val="0"/>
                <w:sz w:val="24"/>
              </w:rPr>
              <w:t>01</w:t>
            </w:r>
            <w:r>
              <w:rPr>
                <w:kern w:val="0"/>
                <w:sz w:val="24"/>
              </w:rPr>
              <w:t>日</w:t>
            </w:r>
          </w:p>
        </w:tc>
      </w:tr>
      <w:tr w:rsidR="00E31F6B">
        <w:tc>
          <w:tcPr>
            <w:tcW w:w="4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10</w:t>
            </w:r>
            <w:r>
              <w:rPr>
                <w:kern w:val="0"/>
                <w:sz w:val="24"/>
              </w:rPr>
              <w:t>月</w:t>
            </w:r>
            <w:r>
              <w:rPr>
                <w:kern w:val="0"/>
                <w:sz w:val="24"/>
              </w:rPr>
              <w:t>19</w:t>
            </w:r>
            <w:r>
              <w:rPr>
                <w:kern w:val="0"/>
                <w:sz w:val="24"/>
              </w:rPr>
              <w:t>日</w:t>
            </w:r>
          </w:p>
        </w:tc>
      </w:tr>
      <w:tr w:rsidR="00E31F6B">
        <w:tc>
          <w:tcPr>
            <w:tcW w:w="4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12</w:t>
            </w:r>
            <w:r>
              <w:rPr>
                <w:kern w:val="0"/>
                <w:sz w:val="24"/>
              </w:rPr>
              <w:t>月</w:t>
            </w:r>
            <w:r>
              <w:rPr>
                <w:kern w:val="0"/>
                <w:sz w:val="24"/>
              </w:rPr>
              <w:t>24</w:t>
            </w:r>
            <w:r>
              <w:rPr>
                <w:kern w:val="0"/>
                <w:sz w:val="24"/>
              </w:rPr>
              <w:t>日</w:t>
            </w:r>
          </w:p>
        </w:tc>
      </w:tr>
      <w:tr w:rsidR="00E31F6B">
        <w:tc>
          <w:tcPr>
            <w:tcW w:w="4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12</w:t>
            </w:r>
            <w:r>
              <w:rPr>
                <w:kern w:val="0"/>
                <w:sz w:val="24"/>
              </w:rPr>
              <w:t>月</w:t>
            </w:r>
            <w:r>
              <w:rPr>
                <w:kern w:val="0"/>
                <w:sz w:val="24"/>
              </w:rPr>
              <w:t>25</w:t>
            </w:r>
            <w:r>
              <w:rPr>
                <w:kern w:val="0"/>
                <w:sz w:val="24"/>
              </w:rPr>
              <w:t>日</w:t>
            </w:r>
          </w:p>
        </w:tc>
      </w:tr>
      <w:tr w:rsidR="00E31F6B">
        <w:tc>
          <w:tcPr>
            <w:tcW w:w="4000" w:type="dxa"/>
            <w:vAlign w:val="center"/>
          </w:tcPr>
          <w:p w:rsidR="00B45BB1" w:rsidRDefault="00D100D6" w:rsidP="00B45BB1">
            <w:pPr>
              <w:widowControl/>
              <w:snapToGrid w:val="0"/>
              <w:jc w:val="center"/>
              <w:rPr>
                <w:kern w:val="0"/>
                <w:sz w:val="24"/>
              </w:rPr>
            </w:pPr>
            <w:r>
              <w:rPr>
                <w:kern w:val="0"/>
                <w:sz w:val="24"/>
              </w:rPr>
              <w:t>2026</w:t>
            </w:r>
            <w:r>
              <w:rPr>
                <w:kern w:val="0"/>
                <w:sz w:val="24"/>
              </w:rPr>
              <w:t>年</w:t>
            </w:r>
            <w:r>
              <w:rPr>
                <w:kern w:val="0"/>
                <w:sz w:val="24"/>
              </w:rPr>
              <w:t>12</w:t>
            </w:r>
            <w:r>
              <w:rPr>
                <w:kern w:val="0"/>
                <w:sz w:val="24"/>
              </w:rPr>
              <w:t>月</w:t>
            </w:r>
            <w:r>
              <w:rPr>
                <w:kern w:val="0"/>
                <w:sz w:val="24"/>
              </w:rPr>
              <w:t>31</w:t>
            </w:r>
            <w:r>
              <w:rPr>
                <w:kern w:val="0"/>
                <w:sz w:val="24"/>
              </w:rPr>
              <w:t>日</w:t>
            </w:r>
          </w:p>
        </w:tc>
      </w:tr>
    </w:tbl>
    <w:p w:rsidR="00B45BB1" w:rsidRDefault="00B45BB1" w:rsidP="00B45BB1">
      <w:pPr>
        <w:widowControl/>
        <w:snapToGrid w:val="0"/>
        <w:jc w:val="left"/>
        <w:rPr>
          <w:kern w:val="0"/>
          <w:sz w:val="24"/>
        </w:rPr>
      </w:pP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注：</w:t>
      </w:r>
      <w:r>
        <w:rPr>
          <w:rFonts w:ascii="宋体" w:hAnsi="宋体" w:cs="宋体"/>
          <w:color w:val="000000"/>
          <w:kern w:val="0"/>
          <w:sz w:val="24"/>
        </w:rPr>
        <w:t>1</w:t>
      </w:r>
      <w:r>
        <w:rPr>
          <w:rFonts w:ascii="宋体" w:hAnsi="宋体" w:cs="宋体"/>
          <w:color w:val="000000"/>
          <w:kern w:val="0"/>
          <w:sz w:val="24"/>
        </w:rPr>
        <w:t>、上述日期已剔除和国内公休假和法定休假日重合的日期。</w:t>
      </w: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2</w:t>
      </w:r>
      <w:r>
        <w:rPr>
          <w:rFonts w:ascii="宋体" w:hAnsi="宋体" w:cs="宋体"/>
          <w:color w:val="000000"/>
          <w:kern w:val="0"/>
          <w:sz w:val="24"/>
        </w:rPr>
        <w:t>、列表中的基金若新增份额类别，则该份额类别在上述非港股通交易日，暂停基金的申购、赎回等业务，届时不再另行公告。</w:t>
      </w:r>
    </w:p>
    <w:p w:rsidR="00AF686A" w:rsidRDefault="00AF686A" w:rsidP="0004566B">
      <w:pPr>
        <w:widowControl/>
        <w:snapToGrid w:val="0"/>
        <w:spacing w:line="360" w:lineRule="auto"/>
        <w:jc w:val="left"/>
        <w:rPr>
          <w:rFonts w:ascii="宋体" w:hAnsi="宋体" w:cs="宋体"/>
          <w:color w:val="000000"/>
          <w:kern w:val="0"/>
          <w:sz w:val="24"/>
        </w:rPr>
      </w:pP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若非港股通交易日安排发生变化或将来根据法律法规和上述基金基金合同的约定，需要调整上述安排的，本公司将另行公告。</w:t>
      </w: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投资者可登录本公司网站</w:t>
      </w:r>
      <w:r>
        <w:rPr>
          <w:rFonts w:ascii="宋体" w:hAnsi="宋体" w:cs="宋体"/>
          <w:color w:val="000000"/>
          <w:kern w:val="0"/>
          <w:sz w:val="24"/>
        </w:rPr>
        <w:t>(www.htffund.com)</w:t>
      </w:r>
      <w:r>
        <w:rPr>
          <w:rFonts w:ascii="宋体" w:hAnsi="宋体" w:cs="宋体"/>
          <w:color w:val="000000"/>
          <w:kern w:val="0"/>
          <w:sz w:val="24"/>
        </w:rPr>
        <w:t>或拨打本公司客服热线（</w:t>
      </w:r>
      <w:r>
        <w:rPr>
          <w:rFonts w:ascii="宋体" w:hAnsi="宋体" w:cs="宋体"/>
          <w:color w:val="000000"/>
          <w:kern w:val="0"/>
          <w:sz w:val="24"/>
        </w:rPr>
        <w:t>400</w:t>
      </w:r>
      <w:r>
        <w:rPr>
          <w:rFonts w:ascii="宋体" w:hAnsi="宋体" w:cs="宋体"/>
          <w:color w:val="000000"/>
          <w:kern w:val="0"/>
          <w:sz w:val="24"/>
        </w:rPr>
        <w:t>－</w:t>
      </w:r>
      <w:r>
        <w:rPr>
          <w:rFonts w:ascii="宋体" w:hAnsi="宋体" w:cs="宋体"/>
          <w:color w:val="000000"/>
          <w:kern w:val="0"/>
          <w:sz w:val="24"/>
        </w:rPr>
        <w:t>888</w:t>
      </w:r>
      <w:r>
        <w:rPr>
          <w:rFonts w:ascii="宋体" w:hAnsi="宋体" w:cs="宋体"/>
          <w:color w:val="000000"/>
          <w:kern w:val="0"/>
          <w:sz w:val="24"/>
        </w:rPr>
        <w:t>－</w:t>
      </w:r>
      <w:r>
        <w:rPr>
          <w:rFonts w:ascii="宋体" w:hAnsi="宋体" w:cs="宋体"/>
          <w:color w:val="000000"/>
          <w:kern w:val="0"/>
          <w:sz w:val="24"/>
        </w:rPr>
        <w:t>9918</w:t>
      </w:r>
      <w:r>
        <w:rPr>
          <w:rFonts w:ascii="宋体" w:hAnsi="宋体" w:cs="宋体"/>
          <w:color w:val="000000"/>
          <w:kern w:val="0"/>
          <w:sz w:val="24"/>
        </w:rPr>
        <w:t>）咨询相关情况。</w:t>
      </w: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汇添富基金高度重视投资者服务和投资者教育，特此提醒投资者需正确认知基金投资的风险和长期收益，做理性的基金投资人，做明白的基金投资人，享受长期投资的快乐！</w:t>
      </w:r>
    </w:p>
    <w:p w:rsidR="00AF686A" w:rsidRDefault="00D100D6"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特此公告。</w:t>
      </w:r>
    </w:p>
    <w:p w:rsidR="008E5727" w:rsidRDefault="008E5727" w:rsidP="008E5727">
      <w:pPr>
        <w:widowControl/>
        <w:snapToGrid w:val="0"/>
        <w:spacing w:line="360" w:lineRule="auto"/>
        <w:jc w:val="left"/>
        <w:rPr>
          <w:kern w:val="0"/>
          <w:sz w:val="24"/>
        </w:rPr>
      </w:pPr>
    </w:p>
    <w:p w:rsidR="008E5727" w:rsidRPr="008E5727" w:rsidRDefault="008E5727" w:rsidP="008E5727">
      <w:pPr>
        <w:widowControl/>
        <w:snapToGrid w:val="0"/>
        <w:spacing w:line="360" w:lineRule="auto"/>
        <w:jc w:val="left"/>
        <w:rPr>
          <w:kern w:val="0"/>
          <w:sz w:val="24"/>
        </w:rPr>
      </w:pPr>
    </w:p>
    <w:p w:rsidR="008E5727" w:rsidRPr="008E5727" w:rsidRDefault="00D100D6" w:rsidP="00E600EE">
      <w:pPr>
        <w:spacing w:line="360" w:lineRule="auto"/>
        <w:ind w:firstLineChars="200" w:firstLine="480"/>
        <w:jc w:val="right"/>
        <w:rPr>
          <w:rFonts w:asciiTheme="minorHAnsi" w:eastAsiaTheme="minorEastAsia" w:hAnsiTheme="minorHAnsi"/>
          <w:sz w:val="24"/>
          <w:szCs w:val="22"/>
        </w:rPr>
      </w:pPr>
      <w:r w:rsidRPr="008E5727">
        <w:rPr>
          <w:rFonts w:asciiTheme="minorHAnsi" w:eastAsiaTheme="minorEastAsia" w:hAnsi="宋体" w:hint="eastAsia"/>
          <w:sz w:val="24"/>
          <w:szCs w:val="22"/>
        </w:rPr>
        <w:t>汇添富基金管理股份有限公司</w:t>
      </w:r>
    </w:p>
    <w:p w:rsidR="00E22677" w:rsidRPr="008E5727" w:rsidRDefault="00D100D6" w:rsidP="00E600EE">
      <w:pPr>
        <w:spacing w:line="360" w:lineRule="auto"/>
        <w:jc w:val="right"/>
        <w:rPr>
          <w:rFonts w:ascii="宋体" w:hAnsi="宋体" w:cs="宋体"/>
          <w:color w:val="000000"/>
          <w:sz w:val="24"/>
        </w:rPr>
      </w:pPr>
      <w:r w:rsidRPr="008E5727">
        <w:rPr>
          <w:rFonts w:ascii="宋体" w:hAnsi="宋体" w:cs="宋体"/>
          <w:color w:val="000000"/>
          <w:sz w:val="24"/>
        </w:rPr>
        <w:t>2025</w:t>
      </w:r>
      <w:r w:rsidRPr="008E5727">
        <w:rPr>
          <w:rFonts w:ascii="宋体" w:hAnsi="宋体" w:cs="宋体"/>
          <w:color w:val="000000"/>
          <w:sz w:val="24"/>
        </w:rPr>
        <w:t>年</w:t>
      </w:r>
      <w:r w:rsidRPr="008E5727">
        <w:rPr>
          <w:rFonts w:ascii="宋体" w:hAnsi="宋体" w:cs="宋体"/>
          <w:color w:val="000000"/>
          <w:sz w:val="24"/>
        </w:rPr>
        <w:t>12</w:t>
      </w:r>
      <w:r w:rsidRPr="008E5727">
        <w:rPr>
          <w:rFonts w:ascii="宋体" w:hAnsi="宋体" w:cs="宋体"/>
          <w:color w:val="000000"/>
          <w:sz w:val="24"/>
        </w:rPr>
        <w:t>月</w:t>
      </w:r>
      <w:r w:rsidRPr="008E5727">
        <w:rPr>
          <w:rFonts w:ascii="宋体" w:hAnsi="宋体" w:cs="宋体"/>
          <w:color w:val="000000"/>
          <w:sz w:val="24"/>
        </w:rPr>
        <w:t>31</w:t>
      </w:r>
      <w:r w:rsidRPr="008E5727">
        <w:rPr>
          <w:rFonts w:ascii="宋体" w:hAnsi="宋体" w:cs="宋体"/>
          <w:color w:val="000000"/>
          <w:sz w:val="24"/>
        </w:rPr>
        <w:t>日</w:t>
      </w:r>
    </w:p>
    <w:sectPr w:rsidR="00E22677" w:rsidRPr="008E5727" w:rsidSect="00E31F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06D8FA6C">
      <w:start w:val="1"/>
      <w:numFmt w:val="chineseCountingThousand"/>
      <w:lvlText w:val="%1、"/>
      <w:lvlJc w:val="left"/>
      <w:pPr>
        <w:ind w:left="420" w:hanging="420"/>
      </w:pPr>
    </w:lvl>
    <w:lvl w:ilvl="1" w:tplc="A0C2BD06" w:tentative="1">
      <w:start w:val="1"/>
      <w:numFmt w:val="lowerLetter"/>
      <w:lvlText w:val="%2)"/>
      <w:lvlJc w:val="left"/>
      <w:pPr>
        <w:ind w:left="840" w:hanging="420"/>
      </w:pPr>
    </w:lvl>
    <w:lvl w:ilvl="2" w:tplc="FF6C7D0E" w:tentative="1">
      <w:start w:val="1"/>
      <w:numFmt w:val="lowerRoman"/>
      <w:lvlText w:val="%3."/>
      <w:lvlJc w:val="right"/>
      <w:pPr>
        <w:ind w:left="1260" w:hanging="420"/>
      </w:pPr>
    </w:lvl>
    <w:lvl w:ilvl="3" w:tplc="187802CC" w:tentative="1">
      <w:start w:val="1"/>
      <w:numFmt w:val="decimal"/>
      <w:lvlText w:val="%4."/>
      <w:lvlJc w:val="left"/>
      <w:pPr>
        <w:ind w:left="1680" w:hanging="420"/>
      </w:pPr>
    </w:lvl>
    <w:lvl w:ilvl="4" w:tplc="B2AE5516" w:tentative="1">
      <w:start w:val="1"/>
      <w:numFmt w:val="lowerLetter"/>
      <w:lvlText w:val="%5)"/>
      <w:lvlJc w:val="left"/>
      <w:pPr>
        <w:ind w:left="2100" w:hanging="420"/>
      </w:pPr>
    </w:lvl>
    <w:lvl w:ilvl="5" w:tplc="A368764C" w:tentative="1">
      <w:start w:val="1"/>
      <w:numFmt w:val="lowerRoman"/>
      <w:lvlText w:val="%6."/>
      <w:lvlJc w:val="right"/>
      <w:pPr>
        <w:ind w:left="2520" w:hanging="420"/>
      </w:pPr>
    </w:lvl>
    <w:lvl w:ilvl="6" w:tplc="B1188A88" w:tentative="1">
      <w:start w:val="1"/>
      <w:numFmt w:val="decimal"/>
      <w:lvlText w:val="%7."/>
      <w:lvlJc w:val="left"/>
      <w:pPr>
        <w:ind w:left="2940" w:hanging="420"/>
      </w:pPr>
    </w:lvl>
    <w:lvl w:ilvl="7" w:tplc="E498494C" w:tentative="1">
      <w:start w:val="1"/>
      <w:numFmt w:val="lowerLetter"/>
      <w:lvlText w:val="%8)"/>
      <w:lvlJc w:val="left"/>
      <w:pPr>
        <w:ind w:left="3360" w:hanging="420"/>
      </w:pPr>
    </w:lvl>
    <w:lvl w:ilvl="8" w:tplc="52784F36"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4566B"/>
    <w:rsid w:val="00045EF0"/>
    <w:rsid w:val="001A552F"/>
    <w:rsid w:val="001B7294"/>
    <w:rsid w:val="001C4F76"/>
    <w:rsid w:val="002173B5"/>
    <w:rsid w:val="00262E68"/>
    <w:rsid w:val="00282069"/>
    <w:rsid w:val="002E18C2"/>
    <w:rsid w:val="00307D90"/>
    <w:rsid w:val="003D7AFF"/>
    <w:rsid w:val="0040281B"/>
    <w:rsid w:val="00520872"/>
    <w:rsid w:val="005A6729"/>
    <w:rsid w:val="005B2396"/>
    <w:rsid w:val="00621F0D"/>
    <w:rsid w:val="0064196B"/>
    <w:rsid w:val="00642816"/>
    <w:rsid w:val="00657FAA"/>
    <w:rsid w:val="00665057"/>
    <w:rsid w:val="006659F3"/>
    <w:rsid w:val="00674C7C"/>
    <w:rsid w:val="0074108A"/>
    <w:rsid w:val="00745A16"/>
    <w:rsid w:val="00747464"/>
    <w:rsid w:val="007711D5"/>
    <w:rsid w:val="00803F79"/>
    <w:rsid w:val="00815430"/>
    <w:rsid w:val="00821B26"/>
    <w:rsid w:val="008B02F5"/>
    <w:rsid w:val="008E5727"/>
    <w:rsid w:val="009B5393"/>
    <w:rsid w:val="009B6407"/>
    <w:rsid w:val="00A37E4A"/>
    <w:rsid w:val="00A66C73"/>
    <w:rsid w:val="00A77A71"/>
    <w:rsid w:val="00AC4305"/>
    <w:rsid w:val="00AD7934"/>
    <w:rsid w:val="00AF1942"/>
    <w:rsid w:val="00AF2959"/>
    <w:rsid w:val="00AF686A"/>
    <w:rsid w:val="00B06790"/>
    <w:rsid w:val="00B45BB1"/>
    <w:rsid w:val="00B85DB4"/>
    <w:rsid w:val="00C62B77"/>
    <w:rsid w:val="00C87627"/>
    <w:rsid w:val="00CB0BC0"/>
    <w:rsid w:val="00CF7191"/>
    <w:rsid w:val="00D100D6"/>
    <w:rsid w:val="00D120EF"/>
    <w:rsid w:val="00D66832"/>
    <w:rsid w:val="00DA24C4"/>
    <w:rsid w:val="00DA6C7A"/>
    <w:rsid w:val="00E21F76"/>
    <w:rsid w:val="00E22677"/>
    <w:rsid w:val="00E31F6B"/>
    <w:rsid w:val="00E600EE"/>
    <w:rsid w:val="00E7530A"/>
    <w:rsid w:val="00E94211"/>
    <w:rsid w:val="00E95508"/>
    <w:rsid w:val="00F072E2"/>
    <w:rsid w:val="00F5064A"/>
    <w:rsid w:val="00FA73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unhideWhenUsed/>
    <w:rsid w:val="002173B5"/>
    <w:pPr>
      <w:jc w:val="left"/>
    </w:pPr>
    <w:rPr>
      <w:rFonts w:ascii="Calibri" w:hAnsi="Calibri"/>
    </w:rPr>
  </w:style>
  <w:style w:type="character" w:customStyle="1" w:styleId="Char1">
    <w:name w:val="批注文字 Char"/>
    <w:basedOn w:val="a0"/>
    <w:link w:val="a6"/>
    <w:uiPriority w:val="99"/>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2967</Characters>
  <Application>Microsoft Office Word</Application>
  <DocSecurity>4</DocSecurity>
  <Lines>24</Lines>
  <Paragraphs>6</Paragraphs>
  <ScaleCrop>false</ScaleCrop>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2025-12-30T16:03:00Z</dcterms:created>
  <dcterms:modified xsi:type="dcterms:W3CDTF">2025-12-30T16:03:00Z</dcterms:modified>
</cp:coreProperties>
</file>