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DF3" w:rsidRDefault="00191DF3" w:rsidP="00191DF3">
      <w:pPr>
        <w:snapToGrid w:val="0"/>
        <w:spacing w:line="360" w:lineRule="auto"/>
        <w:contextualSpacing/>
        <w:jc w:val="center"/>
        <w:rPr>
          <w:rFonts w:ascii="宋体" w:eastAsia="宋体" w:hAnsi="宋体"/>
          <w:sz w:val="24"/>
        </w:rPr>
      </w:pPr>
      <w:r w:rsidRPr="00191DF3">
        <w:rPr>
          <w:rFonts w:ascii="宋体" w:eastAsia="宋体" w:hAnsi="宋体" w:hint="eastAsia"/>
          <w:sz w:val="24"/>
        </w:rPr>
        <w:t>恒生前海基金管理有限公司</w:t>
      </w:r>
    </w:p>
    <w:p w:rsidR="00191DF3" w:rsidRPr="00191DF3" w:rsidRDefault="00191DF3" w:rsidP="00191DF3">
      <w:pPr>
        <w:snapToGrid w:val="0"/>
        <w:spacing w:line="360" w:lineRule="auto"/>
        <w:contextualSpacing/>
        <w:jc w:val="center"/>
        <w:rPr>
          <w:rFonts w:ascii="宋体" w:eastAsia="宋体" w:hAnsi="宋体"/>
          <w:sz w:val="24"/>
        </w:rPr>
      </w:pPr>
      <w:r w:rsidRPr="00191DF3">
        <w:rPr>
          <w:rFonts w:ascii="宋体" w:eastAsia="宋体" w:hAnsi="宋体" w:hint="eastAsia"/>
          <w:sz w:val="24"/>
        </w:rPr>
        <w:t>关于调整旗下部分基金风险等级的公告</w:t>
      </w:r>
    </w:p>
    <w:p w:rsidR="00191DF3" w:rsidRDefault="00191DF3" w:rsidP="00191DF3">
      <w:pPr>
        <w:snapToGrid w:val="0"/>
        <w:spacing w:line="360" w:lineRule="auto"/>
        <w:contextualSpacing/>
        <w:rPr>
          <w:rFonts w:ascii="宋体" w:eastAsia="宋体" w:hAnsi="宋体"/>
          <w:sz w:val="24"/>
        </w:rPr>
      </w:pPr>
    </w:p>
    <w:p w:rsidR="00191DF3" w:rsidRDefault="00191DF3" w:rsidP="00901240">
      <w:pPr>
        <w:snapToGrid w:val="0"/>
        <w:spacing w:line="360" w:lineRule="auto"/>
        <w:ind w:firstLineChars="200" w:firstLine="480"/>
        <w:contextualSpacing/>
        <w:rPr>
          <w:rFonts w:ascii="宋体" w:eastAsia="宋体" w:hAnsi="宋体"/>
          <w:sz w:val="24"/>
        </w:rPr>
      </w:pPr>
      <w:r w:rsidRPr="00191DF3">
        <w:rPr>
          <w:rFonts w:ascii="宋体" w:eastAsia="宋体" w:hAnsi="宋体"/>
          <w:sz w:val="24"/>
        </w:rPr>
        <w:t>根据《证券期货投资者适当性管理办法》</w:t>
      </w:r>
      <w:r w:rsidR="00901240">
        <w:rPr>
          <w:rFonts w:ascii="宋体" w:eastAsia="宋体" w:hAnsi="宋体" w:hint="eastAsia"/>
          <w:sz w:val="24"/>
        </w:rPr>
        <w:t>、</w:t>
      </w:r>
      <w:r w:rsidRPr="00191DF3">
        <w:rPr>
          <w:rFonts w:ascii="宋体" w:eastAsia="宋体" w:hAnsi="宋体"/>
          <w:sz w:val="24"/>
        </w:rPr>
        <w:t>《基金募集机构投资者适当性管理实施指引（试行）》等</w:t>
      </w:r>
      <w:r>
        <w:rPr>
          <w:rFonts w:ascii="宋体" w:eastAsia="宋体" w:hAnsi="宋体" w:hint="eastAsia"/>
          <w:sz w:val="24"/>
        </w:rPr>
        <w:t>法规</w:t>
      </w:r>
      <w:r w:rsidRPr="00191DF3">
        <w:rPr>
          <w:rFonts w:ascii="宋体" w:eastAsia="宋体" w:hAnsi="宋体"/>
          <w:sz w:val="24"/>
        </w:rPr>
        <w:t>要求，</w:t>
      </w:r>
      <w:r w:rsidR="00EC650A">
        <w:rPr>
          <w:rFonts w:ascii="宋体" w:eastAsia="宋体" w:hAnsi="宋体" w:hint="eastAsia"/>
          <w:sz w:val="24"/>
        </w:rPr>
        <w:t>以及《恒生前海基金公募基金产品风险等级划分方法及说明》、银河证券基金研究中心</w:t>
      </w:r>
      <w:r w:rsidR="00901240">
        <w:rPr>
          <w:rFonts w:ascii="宋体" w:eastAsia="宋体" w:hAnsi="宋体" w:hint="eastAsia"/>
          <w:sz w:val="24"/>
        </w:rPr>
        <w:t>关于基金产品</w:t>
      </w:r>
      <w:r w:rsidR="00EC650A">
        <w:rPr>
          <w:rFonts w:ascii="宋体" w:eastAsia="宋体" w:hAnsi="宋体" w:hint="eastAsia"/>
          <w:sz w:val="24"/>
        </w:rPr>
        <w:t>适当性</w:t>
      </w:r>
      <w:r w:rsidR="00901240">
        <w:rPr>
          <w:rFonts w:ascii="宋体" w:eastAsia="宋体" w:hAnsi="宋体" w:hint="eastAsia"/>
          <w:sz w:val="24"/>
        </w:rPr>
        <w:t>风险</w:t>
      </w:r>
      <w:r w:rsidR="00EC650A">
        <w:rPr>
          <w:rFonts w:ascii="宋体" w:eastAsia="宋体" w:hAnsi="宋体" w:hint="eastAsia"/>
          <w:sz w:val="24"/>
        </w:rPr>
        <w:t>评级的最新调整，恒</w:t>
      </w:r>
      <w:r w:rsidR="00901240">
        <w:rPr>
          <w:rFonts w:ascii="宋体" w:eastAsia="宋体" w:hAnsi="宋体" w:hint="eastAsia"/>
          <w:sz w:val="24"/>
        </w:rPr>
        <w:t>生前</w:t>
      </w:r>
      <w:r w:rsidR="00EC650A">
        <w:rPr>
          <w:rFonts w:ascii="宋体" w:eastAsia="宋体" w:hAnsi="宋体" w:hint="eastAsia"/>
          <w:sz w:val="24"/>
        </w:rPr>
        <w:t>海基金管理有限</w:t>
      </w:r>
      <w:r w:rsidRPr="00191DF3">
        <w:rPr>
          <w:rFonts w:ascii="宋体" w:eastAsia="宋体" w:hAnsi="宋体"/>
          <w:sz w:val="24"/>
        </w:rPr>
        <w:t>公司</w:t>
      </w:r>
      <w:r w:rsidR="00EC650A">
        <w:rPr>
          <w:rFonts w:ascii="宋体" w:eastAsia="宋体" w:hAnsi="宋体" w:hint="eastAsia"/>
          <w:sz w:val="24"/>
        </w:rPr>
        <w:t>（以下简称“本公司”）决定自</w:t>
      </w:r>
      <w:r w:rsidRPr="00191DF3">
        <w:rPr>
          <w:rFonts w:ascii="宋体" w:eastAsia="宋体" w:hAnsi="宋体"/>
          <w:sz w:val="24"/>
        </w:rPr>
        <w:t>2026年1月1日起调整</w:t>
      </w:r>
      <w:r w:rsidR="00901240">
        <w:rPr>
          <w:rFonts w:ascii="宋体" w:eastAsia="宋体" w:hAnsi="宋体" w:hint="eastAsia"/>
          <w:sz w:val="24"/>
        </w:rPr>
        <w:t>旗下</w:t>
      </w:r>
      <w:r w:rsidRPr="00191DF3">
        <w:rPr>
          <w:rFonts w:ascii="宋体" w:eastAsia="宋体" w:hAnsi="宋体"/>
          <w:sz w:val="24"/>
        </w:rPr>
        <w:t>部分公募基金的风险等级，</w:t>
      </w:r>
      <w:r w:rsidR="0069342B">
        <w:rPr>
          <w:rFonts w:ascii="宋体" w:eastAsia="宋体" w:hAnsi="宋体" w:hint="eastAsia"/>
          <w:sz w:val="24"/>
        </w:rPr>
        <w:t>具体如下：</w:t>
      </w:r>
    </w:p>
    <w:tbl>
      <w:tblPr>
        <w:tblStyle w:val="aa"/>
        <w:tblW w:w="9781" w:type="dxa"/>
        <w:tblInd w:w="-714" w:type="dxa"/>
        <w:tblLook w:val="04A0"/>
      </w:tblPr>
      <w:tblGrid>
        <w:gridCol w:w="709"/>
        <w:gridCol w:w="5103"/>
        <w:gridCol w:w="1134"/>
        <w:gridCol w:w="1276"/>
        <w:gridCol w:w="1559"/>
      </w:tblGrid>
      <w:tr w:rsidR="00EC650A" w:rsidRPr="00EC650A" w:rsidTr="00157E9B">
        <w:trPr>
          <w:trHeight w:val="369"/>
        </w:trPr>
        <w:tc>
          <w:tcPr>
            <w:tcW w:w="709" w:type="dxa"/>
            <w:vAlign w:val="center"/>
          </w:tcPr>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序号</w:t>
            </w:r>
          </w:p>
        </w:tc>
        <w:tc>
          <w:tcPr>
            <w:tcW w:w="5103" w:type="dxa"/>
            <w:vAlign w:val="center"/>
          </w:tcPr>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基金名称</w:t>
            </w:r>
          </w:p>
        </w:tc>
        <w:tc>
          <w:tcPr>
            <w:tcW w:w="1134" w:type="dxa"/>
            <w:vAlign w:val="center"/>
          </w:tcPr>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基金代码</w:t>
            </w:r>
          </w:p>
        </w:tc>
        <w:tc>
          <w:tcPr>
            <w:tcW w:w="1276" w:type="dxa"/>
            <w:vAlign w:val="center"/>
          </w:tcPr>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调整前</w:t>
            </w:r>
          </w:p>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风险等级</w:t>
            </w:r>
          </w:p>
        </w:tc>
        <w:tc>
          <w:tcPr>
            <w:tcW w:w="1559" w:type="dxa"/>
            <w:vAlign w:val="center"/>
          </w:tcPr>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调整后</w:t>
            </w:r>
          </w:p>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风险等级</w:t>
            </w:r>
          </w:p>
        </w:tc>
      </w:tr>
      <w:tr w:rsidR="00EC650A" w:rsidRPr="00EC650A" w:rsidTr="00157E9B">
        <w:tc>
          <w:tcPr>
            <w:tcW w:w="709" w:type="dxa"/>
            <w:vAlign w:val="center"/>
          </w:tcPr>
          <w:p w:rsidR="00EC650A" w:rsidRPr="00EC650A" w:rsidRDefault="00EC650A" w:rsidP="00901240">
            <w:pPr>
              <w:snapToGrid w:val="0"/>
              <w:spacing w:line="400" w:lineRule="exact"/>
              <w:contextualSpacing/>
              <w:jc w:val="center"/>
              <w:rPr>
                <w:rFonts w:ascii="宋体" w:eastAsia="宋体" w:hAnsi="宋体"/>
                <w:color w:val="000000"/>
                <w:szCs w:val="22"/>
              </w:rPr>
            </w:pPr>
            <w:r w:rsidRPr="00EC650A">
              <w:rPr>
                <w:rFonts w:ascii="宋体" w:eastAsia="宋体" w:hAnsi="宋体" w:hint="eastAsia"/>
                <w:color w:val="000000"/>
                <w:szCs w:val="22"/>
              </w:rPr>
              <w:t>1</w:t>
            </w:r>
          </w:p>
        </w:tc>
        <w:tc>
          <w:tcPr>
            <w:tcW w:w="5103" w:type="dxa"/>
            <w:vAlign w:val="center"/>
          </w:tcPr>
          <w:p w:rsidR="00EC650A" w:rsidRPr="00EC650A" w:rsidRDefault="00EC650A" w:rsidP="00901240">
            <w:pPr>
              <w:widowControl/>
              <w:snapToGrid w:val="0"/>
              <w:spacing w:line="400" w:lineRule="exact"/>
              <w:contextualSpacing/>
              <w:rPr>
                <w:rFonts w:ascii="宋体" w:eastAsia="宋体" w:hAnsi="宋体"/>
                <w:color w:val="000000"/>
                <w:szCs w:val="22"/>
              </w:rPr>
            </w:pPr>
            <w:r w:rsidRPr="00EC650A">
              <w:rPr>
                <w:rFonts w:ascii="宋体" w:eastAsia="宋体" w:hAnsi="宋体" w:hint="eastAsia"/>
                <w:color w:val="000000"/>
                <w:szCs w:val="22"/>
              </w:rPr>
              <w:t>恒生前海沪港深新兴产业精选混合型证券投资基金</w:t>
            </w:r>
          </w:p>
        </w:tc>
        <w:tc>
          <w:tcPr>
            <w:tcW w:w="1134" w:type="dxa"/>
            <w:vAlign w:val="center"/>
          </w:tcPr>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004332</w:t>
            </w:r>
          </w:p>
        </w:tc>
        <w:tc>
          <w:tcPr>
            <w:tcW w:w="1276" w:type="dxa"/>
            <w:vAlign w:val="center"/>
          </w:tcPr>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EC650A" w:rsidRPr="00EC650A" w:rsidRDefault="00EC650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2</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EC650A">
              <w:rPr>
                <w:rFonts w:ascii="宋体" w:eastAsia="宋体" w:hAnsi="宋体" w:hint="eastAsia"/>
                <w:color w:val="000000"/>
                <w:szCs w:val="22"/>
              </w:rPr>
              <w:t>恒生前海消费升级混合型证券投资基金</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007277</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3</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EC650A">
              <w:rPr>
                <w:rFonts w:ascii="宋体" w:eastAsia="宋体" w:hAnsi="宋体" w:hint="eastAsia"/>
                <w:color w:val="000000"/>
                <w:szCs w:val="22"/>
              </w:rPr>
              <w:t>恒生前海高端制造混合型证券投资基金A类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013383</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4</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EC650A">
              <w:rPr>
                <w:rFonts w:ascii="宋体" w:eastAsia="宋体" w:hAnsi="宋体" w:hint="eastAsia"/>
                <w:color w:val="000000"/>
                <w:szCs w:val="22"/>
              </w:rPr>
              <w:t>恒生前海高端制造混合型证券投资基金C类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013384</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5</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EC650A">
              <w:rPr>
                <w:rFonts w:ascii="宋体" w:eastAsia="宋体" w:hAnsi="宋体" w:hint="eastAsia"/>
                <w:color w:val="000000"/>
                <w:szCs w:val="22"/>
              </w:rPr>
              <w:t>恒生前海兴泰混合型证券投资基金A类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020653</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6</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EC650A">
              <w:rPr>
                <w:rFonts w:ascii="宋体" w:eastAsia="宋体" w:hAnsi="宋体" w:hint="eastAsia"/>
                <w:color w:val="000000"/>
                <w:szCs w:val="22"/>
              </w:rPr>
              <w:t>恒生前海兴泰混合型证券投资基金C类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020654</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7</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EC650A">
              <w:rPr>
                <w:rFonts w:ascii="宋体" w:eastAsia="宋体" w:hAnsi="宋体" w:hint="eastAsia"/>
                <w:color w:val="000000"/>
                <w:szCs w:val="22"/>
              </w:rPr>
              <w:t>恒生前海瑞丰混合型证券投资基金A类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024271</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8</w:t>
            </w:r>
          </w:p>
        </w:tc>
        <w:tc>
          <w:tcPr>
            <w:tcW w:w="5103" w:type="dxa"/>
            <w:vAlign w:val="center"/>
          </w:tcPr>
          <w:p w:rsidR="00B35EDA" w:rsidRPr="00EC650A" w:rsidRDefault="00B35EDA" w:rsidP="00901240">
            <w:pPr>
              <w:widowControl/>
              <w:snapToGrid w:val="0"/>
              <w:spacing w:line="400" w:lineRule="exact"/>
              <w:contextualSpacing/>
              <w:rPr>
                <w:rFonts w:ascii="微软雅黑" w:eastAsia="微软雅黑" w:hAnsi="微软雅黑"/>
                <w:color w:val="595959"/>
                <w:sz w:val="21"/>
                <w:szCs w:val="21"/>
              </w:rPr>
            </w:pPr>
            <w:r w:rsidRPr="00EC650A">
              <w:rPr>
                <w:rFonts w:ascii="宋体" w:eastAsia="宋体" w:hAnsi="宋体" w:hint="eastAsia"/>
                <w:color w:val="000000"/>
                <w:szCs w:val="22"/>
              </w:rPr>
              <w:t>恒生前海瑞丰混合型证券投资基金C类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024272</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9</w:t>
            </w:r>
          </w:p>
        </w:tc>
        <w:tc>
          <w:tcPr>
            <w:tcW w:w="5103" w:type="dxa"/>
            <w:vAlign w:val="center"/>
          </w:tcPr>
          <w:p w:rsidR="00B35EDA" w:rsidRPr="00EC650A" w:rsidRDefault="00B35EDA" w:rsidP="00901240">
            <w:pPr>
              <w:widowControl/>
              <w:snapToGrid w:val="0"/>
              <w:spacing w:line="400" w:lineRule="exact"/>
              <w:contextualSpacing/>
              <w:rPr>
                <w:rFonts w:ascii="宋体" w:eastAsia="宋体" w:hAnsi="宋体"/>
                <w:color w:val="000000"/>
                <w:szCs w:val="22"/>
              </w:rPr>
            </w:pPr>
            <w:r w:rsidRPr="00EC650A">
              <w:rPr>
                <w:rFonts w:ascii="宋体" w:eastAsia="宋体" w:hAnsi="宋体" w:hint="eastAsia"/>
                <w:color w:val="000000"/>
                <w:szCs w:val="22"/>
              </w:rPr>
              <w:t>恒生前海匠心精选混合型证券投资基金A类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025287</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10</w:t>
            </w:r>
          </w:p>
        </w:tc>
        <w:tc>
          <w:tcPr>
            <w:tcW w:w="5103" w:type="dxa"/>
            <w:vAlign w:val="center"/>
          </w:tcPr>
          <w:p w:rsidR="00B35EDA" w:rsidRPr="00EC650A" w:rsidRDefault="00B35EDA" w:rsidP="00901240">
            <w:pPr>
              <w:widowControl/>
              <w:snapToGrid w:val="0"/>
              <w:spacing w:line="400" w:lineRule="exact"/>
              <w:contextualSpacing/>
              <w:rPr>
                <w:rFonts w:ascii="宋体" w:eastAsia="宋体" w:hAnsi="宋体"/>
                <w:color w:val="000000"/>
                <w:szCs w:val="22"/>
              </w:rPr>
            </w:pPr>
            <w:r w:rsidRPr="00EC650A">
              <w:rPr>
                <w:rFonts w:ascii="宋体" w:eastAsia="宋体" w:hAnsi="宋体" w:hint="eastAsia"/>
                <w:color w:val="000000"/>
                <w:szCs w:val="22"/>
              </w:rPr>
              <w:t>恒生前海匠心精选混合型证券投资基金C类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025288</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11</w:t>
            </w:r>
          </w:p>
        </w:tc>
        <w:tc>
          <w:tcPr>
            <w:tcW w:w="5103" w:type="dxa"/>
            <w:vAlign w:val="center"/>
          </w:tcPr>
          <w:p w:rsidR="00B35EDA" w:rsidRPr="00B35EDA" w:rsidRDefault="00B35EDA" w:rsidP="00901240">
            <w:pPr>
              <w:snapToGrid w:val="0"/>
              <w:spacing w:line="400" w:lineRule="exact"/>
              <w:contextualSpacing/>
              <w:rPr>
                <w:rFonts w:ascii="宋体" w:eastAsia="宋体" w:hAnsi="宋体"/>
                <w:color w:val="000000"/>
                <w:szCs w:val="22"/>
              </w:rPr>
            </w:pPr>
            <w:r w:rsidRPr="00B35EDA">
              <w:rPr>
                <w:rFonts w:ascii="宋体" w:eastAsia="宋体" w:hAnsi="宋体" w:hint="eastAsia"/>
                <w:color w:val="000000"/>
                <w:szCs w:val="22"/>
              </w:rPr>
              <w:t>恒生前海成长领航混合型证券投资基金A类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025839</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12</w:t>
            </w:r>
          </w:p>
        </w:tc>
        <w:tc>
          <w:tcPr>
            <w:tcW w:w="5103" w:type="dxa"/>
            <w:vAlign w:val="center"/>
          </w:tcPr>
          <w:p w:rsidR="00B35EDA" w:rsidRPr="00B35EDA" w:rsidRDefault="00B35EDA" w:rsidP="00901240">
            <w:pPr>
              <w:widowControl/>
              <w:snapToGrid w:val="0"/>
              <w:spacing w:line="400" w:lineRule="exact"/>
              <w:contextualSpacing/>
              <w:rPr>
                <w:rFonts w:ascii="宋体" w:eastAsia="宋体" w:hAnsi="宋体"/>
                <w:color w:val="000000"/>
                <w:szCs w:val="22"/>
              </w:rPr>
            </w:pPr>
            <w:r w:rsidRPr="00B35EDA">
              <w:rPr>
                <w:rFonts w:ascii="宋体" w:eastAsia="宋体" w:hAnsi="宋体" w:hint="eastAsia"/>
                <w:color w:val="000000"/>
                <w:szCs w:val="22"/>
              </w:rPr>
              <w:t>恒生前海成长领航混合型证券投资基金C类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025840</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13</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B35EDA">
              <w:rPr>
                <w:rFonts w:ascii="宋体" w:eastAsia="宋体" w:hAnsi="宋体" w:hint="eastAsia"/>
                <w:szCs w:val="22"/>
              </w:rPr>
              <w:t>恒生前海成长先锋混合型证券投资基金A类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025928</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14</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B35EDA">
              <w:rPr>
                <w:rFonts w:ascii="宋体" w:eastAsia="宋体" w:hAnsi="宋体" w:hint="eastAsia"/>
                <w:color w:val="000000"/>
                <w:szCs w:val="22"/>
              </w:rPr>
              <w:t>恒生前海成长先锋混合型证券投资基金C类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025929</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15</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B35EDA">
              <w:rPr>
                <w:rFonts w:ascii="宋体" w:eastAsia="宋体" w:hAnsi="宋体" w:hint="eastAsia"/>
                <w:color w:val="000000"/>
                <w:szCs w:val="22"/>
              </w:rPr>
              <w:t>恒生前海成长动力混合型证券投资基金A类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026074</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r w:rsidR="00B35EDA" w:rsidRPr="00EC650A" w:rsidTr="00157E9B">
        <w:tc>
          <w:tcPr>
            <w:tcW w:w="70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16</w:t>
            </w:r>
          </w:p>
        </w:tc>
        <w:tc>
          <w:tcPr>
            <w:tcW w:w="5103" w:type="dxa"/>
            <w:vAlign w:val="center"/>
          </w:tcPr>
          <w:p w:rsidR="00B35EDA" w:rsidRPr="00EC650A" w:rsidRDefault="00B35EDA" w:rsidP="00901240">
            <w:pPr>
              <w:snapToGrid w:val="0"/>
              <w:spacing w:line="400" w:lineRule="exact"/>
              <w:contextualSpacing/>
              <w:rPr>
                <w:rFonts w:ascii="宋体" w:eastAsia="宋体" w:hAnsi="宋体"/>
                <w:szCs w:val="22"/>
              </w:rPr>
            </w:pPr>
            <w:r w:rsidRPr="00B35EDA">
              <w:rPr>
                <w:rFonts w:ascii="宋体" w:eastAsia="宋体" w:hAnsi="宋体" w:hint="eastAsia"/>
                <w:color w:val="000000"/>
                <w:szCs w:val="22"/>
              </w:rPr>
              <w:t>恒生前海成长动力混合型证券投资基金C类</w:t>
            </w:r>
          </w:p>
        </w:tc>
        <w:tc>
          <w:tcPr>
            <w:tcW w:w="1134"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color w:val="000000"/>
                <w:szCs w:val="22"/>
              </w:rPr>
              <w:t>026075</w:t>
            </w:r>
          </w:p>
        </w:tc>
        <w:tc>
          <w:tcPr>
            <w:tcW w:w="1276"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R3 中风险</w:t>
            </w:r>
          </w:p>
        </w:tc>
        <w:tc>
          <w:tcPr>
            <w:tcW w:w="1559" w:type="dxa"/>
            <w:vAlign w:val="center"/>
          </w:tcPr>
          <w:p w:rsidR="00B35EDA" w:rsidRPr="00EC650A" w:rsidRDefault="00B35EDA" w:rsidP="00901240">
            <w:pPr>
              <w:snapToGrid w:val="0"/>
              <w:spacing w:line="400" w:lineRule="exact"/>
              <w:contextualSpacing/>
              <w:jc w:val="center"/>
              <w:rPr>
                <w:rFonts w:ascii="宋体" w:eastAsia="宋体" w:hAnsi="宋体"/>
                <w:szCs w:val="22"/>
              </w:rPr>
            </w:pPr>
            <w:r w:rsidRPr="00EC650A">
              <w:rPr>
                <w:rFonts w:ascii="宋体" w:eastAsia="宋体" w:hAnsi="宋体" w:hint="eastAsia"/>
                <w:szCs w:val="22"/>
              </w:rPr>
              <w:t>R4 中高风险</w:t>
            </w:r>
          </w:p>
        </w:tc>
      </w:tr>
    </w:tbl>
    <w:p w:rsidR="00EC650A" w:rsidRPr="00191DF3" w:rsidRDefault="00EC650A" w:rsidP="00191DF3">
      <w:pPr>
        <w:snapToGrid w:val="0"/>
        <w:spacing w:line="360" w:lineRule="auto"/>
        <w:contextualSpacing/>
        <w:rPr>
          <w:rFonts w:ascii="宋体" w:eastAsia="宋体" w:hAnsi="宋体"/>
          <w:sz w:val="24"/>
        </w:rPr>
      </w:pPr>
    </w:p>
    <w:p w:rsidR="00191DF3" w:rsidRDefault="00191DF3" w:rsidP="00191DF3">
      <w:pPr>
        <w:snapToGrid w:val="0"/>
        <w:spacing w:line="360" w:lineRule="auto"/>
        <w:contextualSpacing/>
        <w:rPr>
          <w:rFonts w:ascii="宋体" w:eastAsia="宋体" w:hAnsi="宋体"/>
          <w:sz w:val="24"/>
        </w:rPr>
      </w:pPr>
    </w:p>
    <w:p w:rsidR="00191DF3" w:rsidRPr="00191DF3" w:rsidRDefault="00191DF3" w:rsidP="00901240">
      <w:pPr>
        <w:snapToGrid w:val="0"/>
        <w:spacing w:line="360" w:lineRule="auto"/>
        <w:ind w:firstLineChars="200" w:firstLine="480"/>
        <w:contextualSpacing/>
        <w:rPr>
          <w:rFonts w:ascii="宋体" w:eastAsia="宋体" w:hAnsi="宋体"/>
          <w:sz w:val="24"/>
        </w:rPr>
      </w:pPr>
      <w:r w:rsidRPr="00191DF3">
        <w:rPr>
          <w:rFonts w:ascii="宋体" w:eastAsia="宋体" w:hAnsi="宋体"/>
          <w:sz w:val="24"/>
        </w:rPr>
        <w:t>重要提示：</w:t>
      </w:r>
    </w:p>
    <w:p w:rsidR="00191DF3" w:rsidRPr="00191DF3" w:rsidRDefault="00191DF3" w:rsidP="00901240">
      <w:pPr>
        <w:snapToGrid w:val="0"/>
        <w:spacing w:line="360" w:lineRule="auto"/>
        <w:ind w:firstLineChars="200" w:firstLine="480"/>
        <w:contextualSpacing/>
        <w:rPr>
          <w:rFonts w:ascii="宋体" w:eastAsia="宋体" w:hAnsi="宋体"/>
          <w:sz w:val="24"/>
        </w:rPr>
      </w:pPr>
      <w:r w:rsidRPr="00191DF3">
        <w:rPr>
          <w:rFonts w:ascii="宋体" w:eastAsia="宋体" w:hAnsi="宋体"/>
          <w:sz w:val="24"/>
        </w:rPr>
        <w:t>1、基金销售机构（包括基金管理人直销机构和代销机构）根据投资者适当性相关规定对基金进行风险评估，不同销售机构采用的评估方法不同，因此不同销售机构对同一基金风险等级的评估结果可能</w:t>
      </w:r>
      <w:r w:rsidR="00901240">
        <w:rPr>
          <w:rFonts w:ascii="宋体" w:eastAsia="宋体" w:hAnsi="宋体" w:hint="eastAsia"/>
          <w:sz w:val="24"/>
        </w:rPr>
        <w:t>存在</w:t>
      </w:r>
      <w:r w:rsidRPr="00191DF3">
        <w:rPr>
          <w:rFonts w:ascii="宋体" w:eastAsia="宋体" w:hAnsi="宋体"/>
          <w:sz w:val="24"/>
        </w:rPr>
        <w:t>不同</w:t>
      </w:r>
      <w:r w:rsidR="00901240">
        <w:rPr>
          <w:rFonts w:ascii="宋体" w:eastAsia="宋体" w:hAnsi="宋体" w:hint="eastAsia"/>
          <w:sz w:val="24"/>
        </w:rPr>
        <w:t>，但不得低于基金管理人</w:t>
      </w:r>
      <w:r w:rsidR="00901240">
        <w:rPr>
          <w:rFonts w:ascii="宋体" w:eastAsia="宋体" w:hAnsi="宋体" w:hint="eastAsia"/>
          <w:sz w:val="24"/>
        </w:rPr>
        <w:lastRenderedPageBreak/>
        <w:t>作出的风险等级评价结果。</w:t>
      </w:r>
    </w:p>
    <w:p w:rsidR="00191DF3" w:rsidRPr="00191DF3" w:rsidRDefault="00191DF3" w:rsidP="00901240">
      <w:pPr>
        <w:snapToGrid w:val="0"/>
        <w:spacing w:line="360" w:lineRule="auto"/>
        <w:ind w:firstLineChars="200" w:firstLine="480"/>
        <w:contextualSpacing/>
        <w:rPr>
          <w:rFonts w:ascii="宋体" w:eastAsia="宋体" w:hAnsi="宋体"/>
          <w:sz w:val="24"/>
        </w:rPr>
      </w:pPr>
      <w:r w:rsidRPr="00191DF3">
        <w:rPr>
          <w:rFonts w:ascii="宋体" w:eastAsia="宋体" w:hAnsi="宋体"/>
          <w:sz w:val="24"/>
        </w:rPr>
        <w:t>2、投资者购买基金后，所购买的基金产品风险等级可能因市场或运作情况等影响而发生调整，并可能超出投资者自身风险承受能力，从而可能产生不利后果和损失。投资者应</w:t>
      </w:r>
      <w:r w:rsidR="00025C88">
        <w:rPr>
          <w:rFonts w:ascii="宋体" w:eastAsia="宋体" w:hAnsi="宋体" w:hint="eastAsia"/>
          <w:sz w:val="24"/>
        </w:rPr>
        <w:t>及时关注基金风险等级的变化并谨慎决策，以确保自身的投资决策与风险承受能力相匹配。</w:t>
      </w:r>
    </w:p>
    <w:p w:rsidR="00025C88" w:rsidRDefault="00191DF3" w:rsidP="00025C88">
      <w:pPr>
        <w:snapToGrid w:val="0"/>
        <w:spacing w:line="360" w:lineRule="auto"/>
        <w:ind w:firstLineChars="200" w:firstLine="480"/>
        <w:contextualSpacing/>
        <w:rPr>
          <w:rFonts w:ascii="宋体" w:eastAsia="宋体" w:hAnsi="宋体"/>
          <w:sz w:val="24"/>
        </w:rPr>
      </w:pPr>
      <w:r w:rsidRPr="00191DF3">
        <w:rPr>
          <w:rFonts w:ascii="宋体" w:eastAsia="宋体" w:hAnsi="宋体"/>
          <w:sz w:val="24"/>
        </w:rPr>
        <w:t>3、基金管理人承诺以诚实信用、勤勉尽责的原则管理和运用基金资产，</w:t>
      </w:r>
      <w:r w:rsidRPr="00191DF3">
        <w:rPr>
          <w:rFonts w:ascii="宋体" w:eastAsia="宋体" w:hAnsi="宋体" w:hint="eastAsia"/>
          <w:sz w:val="24"/>
        </w:rPr>
        <w:t>但不保证基金一定盈利，也不保证最低收益。</w:t>
      </w:r>
      <w:r w:rsidR="00025C88">
        <w:rPr>
          <w:rFonts w:ascii="宋体" w:eastAsia="宋体" w:hAnsi="宋体" w:hint="eastAsia"/>
          <w:sz w:val="24"/>
        </w:rPr>
        <w:t>销售机构根据法规要求对投资者类别、风险承受能力和基金的风险等级进行划分，并提出适当性匹配意见。</w:t>
      </w:r>
      <w:r w:rsidRPr="00191DF3">
        <w:rPr>
          <w:rFonts w:ascii="宋体" w:eastAsia="宋体" w:hAnsi="宋体" w:hint="eastAsia"/>
          <w:sz w:val="24"/>
        </w:rPr>
        <w:t>投资者投资于本公司管理的基金前应认真阅读基金合同、招募说明书等文件并根据自身投资目的、投资期限、投资经验、资产状况等选择与自身风险承受能力相匹配的基金产品。</w:t>
      </w:r>
    </w:p>
    <w:p w:rsidR="00191DF3" w:rsidRDefault="00025C88" w:rsidP="00901240">
      <w:pPr>
        <w:snapToGrid w:val="0"/>
        <w:spacing w:line="360" w:lineRule="auto"/>
        <w:ind w:firstLineChars="200" w:firstLine="480"/>
        <w:contextualSpacing/>
        <w:rPr>
          <w:rFonts w:ascii="宋体" w:eastAsia="宋体" w:hAnsi="宋体"/>
          <w:sz w:val="24"/>
        </w:rPr>
      </w:pPr>
      <w:r>
        <w:rPr>
          <w:rFonts w:ascii="宋体" w:eastAsia="宋体" w:hAnsi="宋体" w:hint="eastAsia"/>
          <w:sz w:val="24"/>
        </w:rPr>
        <w:t>4、如有疑问，</w:t>
      </w:r>
      <w:r w:rsidR="00191DF3" w:rsidRPr="00191DF3">
        <w:rPr>
          <w:rFonts w:ascii="宋体" w:eastAsia="宋体" w:hAnsi="宋体" w:hint="eastAsia"/>
          <w:sz w:val="24"/>
        </w:rPr>
        <w:t>投资者可以通过拨打本公司客户服务电话400-620-6608进行咨询；也可至本公司网站www.hsqhfunds.com了解相关情况。</w:t>
      </w:r>
    </w:p>
    <w:p w:rsidR="00901240" w:rsidRPr="00025C88" w:rsidRDefault="00901240" w:rsidP="00191DF3">
      <w:pPr>
        <w:snapToGrid w:val="0"/>
        <w:spacing w:line="360" w:lineRule="auto"/>
        <w:contextualSpacing/>
        <w:rPr>
          <w:rFonts w:ascii="宋体" w:eastAsia="宋体" w:hAnsi="宋体"/>
          <w:sz w:val="24"/>
        </w:rPr>
      </w:pPr>
    </w:p>
    <w:p w:rsidR="00191DF3" w:rsidRDefault="00191DF3" w:rsidP="00191DF3">
      <w:pPr>
        <w:snapToGrid w:val="0"/>
        <w:spacing w:line="360" w:lineRule="auto"/>
        <w:ind w:firstLineChars="200" w:firstLine="480"/>
        <w:contextualSpacing/>
        <w:rPr>
          <w:rFonts w:ascii="宋体" w:eastAsia="宋体" w:hAnsi="宋体"/>
          <w:sz w:val="24"/>
        </w:rPr>
      </w:pPr>
      <w:r w:rsidRPr="00191DF3">
        <w:rPr>
          <w:rFonts w:ascii="宋体" w:eastAsia="宋体" w:hAnsi="宋体"/>
          <w:sz w:val="24"/>
        </w:rPr>
        <w:t>特此公告。</w:t>
      </w:r>
    </w:p>
    <w:p w:rsidR="00191DF3" w:rsidRDefault="00191DF3" w:rsidP="00191DF3">
      <w:pPr>
        <w:snapToGrid w:val="0"/>
        <w:spacing w:line="360" w:lineRule="auto"/>
        <w:ind w:firstLineChars="200" w:firstLine="480"/>
        <w:contextualSpacing/>
        <w:rPr>
          <w:rFonts w:ascii="宋体" w:eastAsia="宋体" w:hAnsi="宋体"/>
          <w:sz w:val="24"/>
        </w:rPr>
      </w:pPr>
    </w:p>
    <w:p w:rsidR="00191DF3" w:rsidRPr="00191DF3" w:rsidRDefault="00191DF3" w:rsidP="00191DF3">
      <w:pPr>
        <w:snapToGrid w:val="0"/>
        <w:spacing w:line="360" w:lineRule="auto"/>
        <w:ind w:firstLineChars="200" w:firstLine="480"/>
        <w:contextualSpacing/>
        <w:rPr>
          <w:rFonts w:ascii="宋体" w:eastAsia="宋体" w:hAnsi="宋体"/>
          <w:sz w:val="24"/>
        </w:rPr>
      </w:pPr>
    </w:p>
    <w:p w:rsidR="00191DF3" w:rsidRPr="00191DF3" w:rsidRDefault="00191DF3" w:rsidP="00191DF3">
      <w:pPr>
        <w:snapToGrid w:val="0"/>
        <w:spacing w:line="360" w:lineRule="auto"/>
        <w:contextualSpacing/>
        <w:jc w:val="right"/>
        <w:rPr>
          <w:rFonts w:ascii="宋体" w:eastAsia="宋体" w:hAnsi="宋体"/>
          <w:sz w:val="24"/>
        </w:rPr>
      </w:pPr>
      <w:r>
        <w:rPr>
          <w:rFonts w:ascii="宋体" w:eastAsia="宋体" w:hAnsi="宋体" w:hint="eastAsia"/>
          <w:sz w:val="24"/>
        </w:rPr>
        <w:t>恒生前海基金管理有限公司</w:t>
      </w:r>
    </w:p>
    <w:p w:rsidR="00191DF3" w:rsidRPr="00191DF3" w:rsidRDefault="00191DF3" w:rsidP="00191DF3">
      <w:pPr>
        <w:snapToGrid w:val="0"/>
        <w:spacing w:line="360" w:lineRule="auto"/>
        <w:contextualSpacing/>
        <w:jc w:val="right"/>
        <w:rPr>
          <w:rFonts w:ascii="宋体" w:eastAsia="宋体" w:hAnsi="宋体"/>
          <w:sz w:val="24"/>
        </w:rPr>
      </w:pPr>
      <w:r w:rsidRPr="00191DF3">
        <w:rPr>
          <w:rFonts w:ascii="宋体" w:eastAsia="宋体" w:hAnsi="宋体"/>
          <w:sz w:val="24"/>
        </w:rPr>
        <w:t>2025年12月</w:t>
      </w:r>
      <w:r>
        <w:rPr>
          <w:rFonts w:ascii="宋体" w:eastAsia="宋体" w:hAnsi="宋体" w:hint="eastAsia"/>
          <w:sz w:val="24"/>
        </w:rPr>
        <w:t>31</w:t>
      </w:r>
      <w:r w:rsidRPr="00191DF3">
        <w:rPr>
          <w:rFonts w:ascii="宋体" w:eastAsia="宋体" w:hAnsi="宋体"/>
          <w:sz w:val="24"/>
        </w:rPr>
        <w:t>日</w:t>
      </w:r>
    </w:p>
    <w:p w:rsidR="00156EB7" w:rsidRPr="00191DF3" w:rsidRDefault="00156EB7" w:rsidP="00191DF3">
      <w:pPr>
        <w:snapToGrid w:val="0"/>
        <w:spacing w:line="360" w:lineRule="auto"/>
        <w:contextualSpacing/>
        <w:rPr>
          <w:rFonts w:ascii="宋体" w:eastAsia="宋体" w:hAnsi="宋体"/>
          <w:sz w:val="24"/>
        </w:rPr>
      </w:pPr>
    </w:p>
    <w:sectPr w:rsidR="00156EB7" w:rsidRPr="00191DF3" w:rsidSect="008867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1E07"/>
    <w:rsid w:val="00025C88"/>
    <w:rsid w:val="00156EB7"/>
    <w:rsid w:val="00157E9B"/>
    <w:rsid w:val="00191DF3"/>
    <w:rsid w:val="003D1E07"/>
    <w:rsid w:val="004C0BAB"/>
    <w:rsid w:val="0069342B"/>
    <w:rsid w:val="00864C76"/>
    <w:rsid w:val="00886799"/>
    <w:rsid w:val="00901240"/>
    <w:rsid w:val="009F577E"/>
    <w:rsid w:val="00B35EDA"/>
    <w:rsid w:val="00B46FCE"/>
    <w:rsid w:val="00E756F8"/>
    <w:rsid w:val="00E92AC1"/>
    <w:rsid w:val="00EC650A"/>
    <w:rsid w:val="00F858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799"/>
    <w:pPr>
      <w:widowControl w:val="0"/>
    </w:pPr>
  </w:style>
  <w:style w:type="paragraph" w:styleId="1">
    <w:name w:val="heading 1"/>
    <w:basedOn w:val="a"/>
    <w:next w:val="a"/>
    <w:link w:val="1Char"/>
    <w:uiPriority w:val="9"/>
    <w:qFormat/>
    <w:rsid w:val="003D1E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3D1E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3D1E0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3D1E0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3D1E07"/>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3D1E07"/>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3D1E07"/>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3D1E07"/>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3D1E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1E07"/>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3D1E07"/>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3D1E07"/>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3D1E07"/>
    <w:rPr>
      <w:rFonts w:cstheme="majorBidi"/>
      <w:color w:val="0F4761" w:themeColor="accent1" w:themeShade="BF"/>
      <w:sz w:val="28"/>
      <w:szCs w:val="28"/>
    </w:rPr>
  </w:style>
  <w:style w:type="character" w:customStyle="1" w:styleId="5Char">
    <w:name w:val="标题 5 Char"/>
    <w:basedOn w:val="a0"/>
    <w:link w:val="5"/>
    <w:uiPriority w:val="9"/>
    <w:semiHidden/>
    <w:rsid w:val="003D1E07"/>
    <w:rPr>
      <w:rFonts w:cstheme="majorBidi"/>
      <w:color w:val="0F4761" w:themeColor="accent1" w:themeShade="BF"/>
      <w:sz w:val="24"/>
    </w:rPr>
  </w:style>
  <w:style w:type="character" w:customStyle="1" w:styleId="6Char">
    <w:name w:val="标题 6 Char"/>
    <w:basedOn w:val="a0"/>
    <w:link w:val="6"/>
    <w:uiPriority w:val="9"/>
    <w:semiHidden/>
    <w:rsid w:val="003D1E07"/>
    <w:rPr>
      <w:rFonts w:cstheme="majorBidi"/>
      <w:b/>
      <w:bCs/>
      <w:color w:val="0F4761" w:themeColor="accent1" w:themeShade="BF"/>
    </w:rPr>
  </w:style>
  <w:style w:type="character" w:customStyle="1" w:styleId="7Char">
    <w:name w:val="标题 7 Char"/>
    <w:basedOn w:val="a0"/>
    <w:link w:val="7"/>
    <w:uiPriority w:val="9"/>
    <w:semiHidden/>
    <w:rsid w:val="003D1E07"/>
    <w:rPr>
      <w:rFonts w:cstheme="majorBidi"/>
      <w:b/>
      <w:bCs/>
      <w:color w:val="595959" w:themeColor="text1" w:themeTint="A6"/>
    </w:rPr>
  </w:style>
  <w:style w:type="character" w:customStyle="1" w:styleId="8Char">
    <w:name w:val="标题 8 Char"/>
    <w:basedOn w:val="a0"/>
    <w:link w:val="8"/>
    <w:uiPriority w:val="9"/>
    <w:semiHidden/>
    <w:rsid w:val="003D1E07"/>
    <w:rPr>
      <w:rFonts w:cstheme="majorBidi"/>
      <w:color w:val="595959" w:themeColor="text1" w:themeTint="A6"/>
    </w:rPr>
  </w:style>
  <w:style w:type="character" w:customStyle="1" w:styleId="9Char">
    <w:name w:val="标题 9 Char"/>
    <w:basedOn w:val="a0"/>
    <w:link w:val="9"/>
    <w:uiPriority w:val="9"/>
    <w:semiHidden/>
    <w:rsid w:val="003D1E07"/>
    <w:rPr>
      <w:rFonts w:eastAsiaTheme="majorEastAsia" w:cstheme="majorBidi"/>
      <w:color w:val="595959" w:themeColor="text1" w:themeTint="A6"/>
    </w:rPr>
  </w:style>
  <w:style w:type="paragraph" w:styleId="a3">
    <w:name w:val="Title"/>
    <w:basedOn w:val="a"/>
    <w:next w:val="a"/>
    <w:link w:val="Char"/>
    <w:uiPriority w:val="10"/>
    <w:qFormat/>
    <w:rsid w:val="003D1E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3D1E0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1E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3D1E0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D1E07"/>
    <w:pPr>
      <w:spacing w:before="160"/>
      <w:jc w:val="center"/>
    </w:pPr>
    <w:rPr>
      <w:i/>
      <w:iCs/>
      <w:color w:val="404040" w:themeColor="text1" w:themeTint="BF"/>
    </w:rPr>
  </w:style>
  <w:style w:type="character" w:customStyle="1" w:styleId="Char1">
    <w:name w:val="引用 Char"/>
    <w:basedOn w:val="a0"/>
    <w:link w:val="a5"/>
    <w:uiPriority w:val="29"/>
    <w:rsid w:val="003D1E07"/>
    <w:rPr>
      <w:i/>
      <w:iCs/>
      <w:color w:val="404040" w:themeColor="text1" w:themeTint="BF"/>
    </w:rPr>
  </w:style>
  <w:style w:type="paragraph" w:styleId="a6">
    <w:name w:val="List Paragraph"/>
    <w:basedOn w:val="a"/>
    <w:uiPriority w:val="34"/>
    <w:qFormat/>
    <w:rsid w:val="003D1E07"/>
    <w:pPr>
      <w:ind w:left="720"/>
      <w:contextualSpacing/>
    </w:pPr>
  </w:style>
  <w:style w:type="character" w:styleId="a7">
    <w:name w:val="Intense Emphasis"/>
    <w:basedOn w:val="a0"/>
    <w:uiPriority w:val="21"/>
    <w:qFormat/>
    <w:rsid w:val="003D1E07"/>
    <w:rPr>
      <w:i/>
      <w:iCs/>
      <w:color w:val="0F4761" w:themeColor="accent1" w:themeShade="BF"/>
    </w:rPr>
  </w:style>
  <w:style w:type="paragraph" w:styleId="a8">
    <w:name w:val="Intense Quote"/>
    <w:basedOn w:val="a"/>
    <w:next w:val="a"/>
    <w:link w:val="Char2"/>
    <w:uiPriority w:val="30"/>
    <w:qFormat/>
    <w:rsid w:val="003D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3D1E07"/>
    <w:rPr>
      <w:i/>
      <w:iCs/>
      <w:color w:val="0F4761" w:themeColor="accent1" w:themeShade="BF"/>
    </w:rPr>
  </w:style>
  <w:style w:type="character" w:styleId="a9">
    <w:name w:val="Intense Reference"/>
    <w:basedOn w:val="a0"/>
    <w:uiPriority w:val="32"/>
    <w:qFormat/>
    <w:rsid w:val="003D1E07"/>
    <w:rPr>
      <w:b/>
      <w:bCs/>
      <w:smallCaps/>
      <w:color w:val="0F4761" w:themeColor="accent1" w:themeShade="BF"/>
      <w:spacing w:val="5"/>
    </w:rPr>
  </w:style>
  <w:style w:type="table" w:styleId="aa">
    <w:name w:val="Table Grid"/>
    <w:basedOn w:val="a1"/>
    <w:uiPriority w:val="39"/>
    <w:rsid w:val="00EC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871101">
      <w:bodyDiv w:val="1"/>
      <w:marLeft w:val="0"/>
      <w:marRight w:val="0"/>
      <w:marTop w:val="0"/>
      <w:marBottom w:val="0"/>
      <w:divBdr>
        <w:top w:val="none" w:sz="0" w:space="0" w:color="auto"/>
        <w:left w:val="none" w:sz="0" w:space="0" w:color="auto"/>
        <w:bottom w:val="none" w:sz="0" w:space="0" w:color="auto"/>
        <w:right w:val="none" w:sz="0" w:space="0" w:color="auto"/>
      </w:divBdr>
    </w:div>
    <w:div w:id="370306901">
      <w:bodyDiv w:val="1"/>
      <w:marLeft w:val="0"/>
      <w:marRight w:val="0"/>
      <w:marTop w:val="0"/>
      <w:marBottom w:val="0"/>
      <w:divBdr>
        <w:top w:val="none" w:sz="0" w:space="0" w:color="auto"/>
        <w:left w:val="none" w:sz="0" w:space="0" w:color="auto"/>
        <w:bottom w:val="none" w:sz="0" w:space="0" w:color="auto"/>
        <w:right w:val="none" w:sz="0" w:space="0" w:color="auto"/>
      </w:divBdr>
    </w:div>
    <w:div w:id="528185269">
      <w:bodyDiv w:val="1"/>
      <w:marLeft w:val="0"/>
      <w:marRight w:val="0"/>
      <w:marTop w:val="0"/>
      <w:marBottom w:val="0"/>
      <w:divBdr>
        <w:top w:val="none" w:sz="0" w:space="0" w:color="auto"/>
        <w:left w:val="none" w:sz="0" w:space="0" w:color="auto"/>
        <w:bottom w:val="none" w:sz="0" w:space="0" w:color="auto"/>
        <w:right w:val="none" w:sz="0" w:space="0" w:color="auto"/>
      </w:divBdr>
    </w:div>
    <w:div w:id="594442367">
      <w:bodyDiv w:val="1"/>
      <w:marLeft w:val="0"/>
      <w:marRight w:val="0"/>
      <w:marTop w:val="0"/>
      <w:marBottom w:val="0"/>
      <w:divBdr>
        <w:top w:val="none" w:sz="0" w:space="0" w:color="auto"/>
        <w:left w:val="none" w:sz="0" w:space="0" w:color="auto"/>
        <w:bottom w:val="none" w:sz="0" w:space="0" w:color="auto"/>
        <w:right w:val="none" w:sz="0" w:space="0" w:color="auto"/>
      </w:divBdr>
    </w:div>
    <w:div w:id="837189024">
      <w:bodyDiv w:val="1"/>
      <w:marLeft w:val="0"/>
      <w:marRight w:val="0"/>
      <w:marTop w:val="0"/>
      <w:marBottom w:val="0"/>
      <w:divBdr>
        <w:top w:val="none" w:sz="0" w:space="0" w:color="auto"/>
        <w:left w:val="none" w:sz="0" w:space="0" w:color="auto"/>
        <w:bottom w:val="none" w:sz="0" w:space="0" w:color="auto"/>
        <w:right w:val="none" w:sz="0" w:space="0" w:color="auto"/>
      </w:divBdr>
      <w:divsChild>
        <w:div w:id="1117522839">
          <w:marLeft w:val="0"/>
          <w:marRight w:val="0"/>
          <w:marTop w:val="360"/>
          <w:marBottom w:val="0"/>
          <w:divBdr>
            <w:top w:val="none" w:sz="0" w:space="0" w:color="auto"/>
            <w:left w:val="none" w:sz="0" w:space="0" w:color="auto"/>
            <w:bottom w:val="none" w:sz="0" w:space="0" w:color="auto"/>
            <w:right w:val="none" w:sz="0" w:space="0" w:color="auto"/>
          </w:divBdr>
        </w:div>
        <w:div w:id="741832609">
          <w:marLeft w:val="0"/>
          <w:marRight w:val="0"/>
          <w:marTop w:val="360"/>
          <w:marBottom w:val="0"/>
          <w:divBdr>
            <w:top w:val="none" w:sz="0" w:space="0" w:color="auto"/>
            <w:left w:val="none" w:sz="0" w:space="0" w:color="auto"/>
            <w:bottom w:val="none" w:sz="0" w:space="0" w:color="auto"/>
            <w:right w:val="none" w:sz="0" w:space="0" w:color="auto"/>
          </w:divBdr>
        </w:div>
        <w:div w:id="420220036">
          <w:marLeft w:val="0"/>
          <w:marRight w:val="0"/>
          <w:marTop w:val="360"/>
          <w:marBottom w:val="0"/>
          <w:divBdr>
            <w:top w:val="none" w:sz="0" w:space="0" w:color="auto"/>
            <w:left w:val="none" w:sz="0" w:space="0" w:color="auto"/>
            <w:bottom w:val="none" w:sz="0" w:space="0" w:color="auto"/>
            <w:right w:val="none" w:sz="0" w:space="0" w:color="auto"/>
          </w:divBdr>
        </w:div>
        <w:div w:id="781074904">
          <w:marLeft w:val="0"/>
          <w:marRight w:val="0"/>
          <w:marTop w:val="360"/>
          <w:marBottom w:val="0"/>
          <w:divBdr>
            <w:top w:val="none" w:sz="0" w:space="0" w:color="auto"/>
            <w:left w:val="none" w:sz="0" w:space="0" w:color="auto"/>
            <w:bottom w:val="none" w:sz="0" w:space="0" w:color="auto"/>
            <w:right w:val="none" w:sz="0" w:space="0" w:color="auto"/>
          </w:divBdr>
        </w:div>
        <w:div w:id="88355924">
          <w:marLeft w:val="0"/>
          <w:marRight w:val="0"/>
          <w:marTop w:val="360"/>
          <w:marBottom w:val="0"/>
          <w:divBdr>
            <w:top w:val="none" w:sz="0" w:space="0" w:color="auto"/>
            <w:left w:val="none" w:sz="0" w:space="0" w:color="auto"/>
            <w:bottom w:val="none" w:sz="0" w:space="0" w:color="auto"/>
            <w:right w:val="none" w:sz="0" w:space="0" w:color="auto"/>
          </w:divBdr>
        </w:div>
        <w:div w:id="135683070">
          <w:marLeft w:val="0"/>
          <w:marRight w:val="0"/>
          <w:marTop w:val="360"/>
          <w:marBottom w:val="0"/>
          <w:divBdr>
            <w:top w:val="none" w:sz="0" w:space="0" w:color="auto"/>
            <w:left w:val="none" w:sz="0" w:space="0" w:color="auto"/>
            <w:bottom w:val="none" w:sz="0" w:space="0" w:color="auto"/>
            <w:right w:val="none" w:sz="0" w:space="0" w:color="auto"/>
          </w:divBdr>
        </w:div>
        <w:div w:id="1342124859">
          <w:marLeft w:val="0"/>
          <w:marRight w:val="0"/>
          <w:marTop w:val="360"/>
          <w:marBottom w:val="0"/>
          <w:divBdr>
            <w:top w:val="none" w:sz="0" w:space="0" w:color="auto"/>
            <w:left w:val="none" w:sz="0" w:space="0" w:color="auto"/>
            <w:bottom w:val="none" w:sz="0" w:space="0" w:color="auto"/>
            <w:right w:val="none" w:sz="0" w:space="0" w:color="auto"/>
          </w:divBdr>
        </w:div>
        <w:div w:id="1762601567">
          <w:marLeft w:val="0"/>
          <w:marRight w:val="0"/>
          <w:marTop w:val="360"/>
          <w:marBottom w:val="0"/>
          <w:divBdr>
            <w:top w:val="none" w:sz="0" w:space="0" w:color="auto"/>
            <w:left w:val="none" w:sz="0" w:space="0" w:color="auto"/>
            <w:bottom w:val="none" w:sz="0" w:space="0" w:color="auto"/>
            <w:right w:val="none" w:sz="0" w:space="0" w:color="auto"/>
          </w:divBdr>
        </w:div>
        <w:div w:id="505705439">
          <w:marLeft w:val="0"/>
          <w:marRight w:val="0"/>
          <w:marTop w:val="360"/>
          <w:marBottom w:val="0"/>
          <w:divBdr>
            <w:top w:val="none" w:sz="0" w:space="0" w:color="auto"/>
            <w:left w:val="none" w:sz="0" w:space="0" w:color="auto"/>
            <w:bottom w:val="none" w:sz="0" w:space="0" w:color="auto"/>
            <w:right w:val="none" w:sz="0" w:space="0" w:color="auto"/>
          </w:divBdr>
        </w:div>
        <w:div w:id="1616595938">
          <w:marLeft w:val="0"/>
          <w:marRight w:val="0"/>
          <w:marTop w:val="360"/>
          <w:marBottom w:val="0"/>
          <w:divBdr>
            <w:top w:val="none" w:sz="0" w:space="0" w:color="auto"/>
            <w:left w:val="none" w:sz="0" w:space="0" w:color="auto"/>
            <w:bottom w:val="none" w:sz="0" w:space="0" w:color="auto"/>
            <w:right w:val="none" w:sz="0" w:space="0" w:color="auto"/>
          </w:divBdr>
        </w:div>
        <w:div w:id="934443313">
          <w:marLeft w:val="0"/>
          <w:marRight w:val="0"/>
          <w:marTop w:val="360"/>
          <w:marBottom w:val="0"/>
          <w:divBdr>
            <w:top w:val="none" w:sz="0" w:space="0" w:color="auto"/>
            <w:left w:val="none" w:sz="0" w:space="0" w:color="auto"/>
            <w:bottom w:val="none" w:sz="0" w:space="0" w:color="auto"/>
            <w:right w:val="none" w:sz="0" w:space="0" w:color="auto"/>
          </w:divBdr>
        </w:div>
        <w:div w:id="63571412">
          <w:marLeft w:val="0"/>
          <w:marRight w:val="0"/>
          <w:marTop w:val="360"/>
          <w:marBottom w:val="0"/>
          <w:divBdr>
            <w:top w:val="none" w:sz="0" w:space="0" w:color="auto"/>
            <w:left w:val="none" w:sz="0" w:space="0" w:color="auto"/>
            <w:bottom w:val="none" w:sz="0" w:space="0" w:color="auto"/>
            <w:right w:val="none" w:sz="0" w:space="0" w:color="auto"/>
          </w:divBdr>
        </w:div>
      </w:divsChild>
    </w:div>
    <w:div w:id="1057510898">
      <w:bodyDiv w:val="1"/>
      <w:marLeft w:val="0"/>
      <w:marRight w:val="0"/>
      <w:marTop w:val="0"/>
      <w:marBottom w:val="0"/>
      <w:divBdr>
        <w:top w:val="none" w:sz="0" w:space="0" w:color="auto"/>
        <w:left w:val="none" w:sz="0" w:space="0" w:color="auto"/>
        <w:bottom w:val="none" w:sz="0" w:space="0" w:color="auto"/>
        <w:right w:val="none" w:sz="0" w:space="0" w:color="auto"/>
      </w:divBdr>
    </w:div>
    <w:div w:id="1547831935">
      <w:bodyDiv w:val="1"/>
      <w:marLeft w:val="0"/>
      <w:marRight w:val="0"/>
      <w:marTop w:val="0"/>
      <w:marBottom w:val="0"/>
      <w:divBdr>
        <w:top w:val="none" w:sz="0" w:space="0" w:color="auto"/>
        <w:left w:val="none" w:sz="0" w:space="0" w:color="auto"/>
        <w:bottom w:val="none" w:sz="0" w:space="0" w:color="auto"/>
        <w:right w:val="none" w:sz="0" w:space="0" w:color="auto"/>
      </w:divBdr>
    </w:div>
    <w:div w:id="1579903264">
      <w:bodyDiv w:val="1"/>
      <w:marLeft w:val="0"/>
      <w:marRight w:val="0"/>
      <w:marTop w:val="0"/>
      <w:marBottom w:val="0"/>
      <w:divBdr>
        <w:top w:val="none" w:sz="0" w:space="0" w:color="auto"/>
        <w:left w:val="none" w:sz="0" w:space="0" w:color="auto"/>
        <w:bottom w:val="none" w:sz="0" w:space="0" w:color="auto"/>
        <w:right w:val="none" w:sz="0" w:space="0" w:color="auto"/>
      </w:divBdr>
    </w:div>
    <w:div w:id="1666131639">
      <w:bodyDiv w:val="1"/>
      <w:marLeft w:val="0"/>
      <w:marRight w:val="0"/>
      <w:marTop w:val="0"/>
      <w:marBottom w:val="0"/>
      <w:divBdr>
        <w:top w:val="none" w:sz="0" w:space="0" w:color="auto"/>
        <w:left w:val="none" w:sz="0" w:space="0" w:color="auto"/>
        <w:bottom w:val="none" w:sz="0" w:space="0" w:color="auto"/>
        <w:right w:val="none" w:sz="0" w:space="0" w:color="auto"/>
      </w:divBdr>
      <w:divsChild>
        <w:div w:id="1418332445">
          <w:marLeft w:val="0"/>
          <w:marRight w:val="0"/>
          <w:marTop w:val="360"/>
          <w:marBottom w:val="0"/>
          <w:divBdr>
            <w:top w:val="none" w:sz="0" w:space="0" w:color="auto"/>
            <w:left w:val="none" w:sz="0" w:space="0" w:color="auto"/>
            <w:bottom w:val="none" w:sz="0" w:space="0" w:color="auto"/>
            <w:right w:val="none" w:sz="0" w:space="0" w:color="auto"/>
          </w:divBdr>
        </w:div>
        <w:div w:id="749082170">
          <w:marLeft w:val="0"/>
          <w:marRight w:val="0"/>
          <w:marTop w:val="360"/>
          <w:marBottom w:val="0"/>
          <w:divBdr>
            <w:top w:val="none" w:sz="0" w:space="0" w:color="auto"/>
            <w:left w:val="none" w:sz="0" w:space="0" w:color="auto"/>
            <w:bottom w:val="none" w:sz="0" w:space="0" w:color="auto"/>
            <w:right w:val="none" w:sz="0" w:space="0" w:color="auto"/>
          </w:divBdr>
        </w:div>
        <w:div w:id="1157068393">
          <w:marLeft w:val="0"/>
          <w:marRight w:val="0"/>
          <w:marTop w:val="360"/>
          <w:marBottom w:val="0"/>
          <w:divBdr>
            <w:top w:val="none" w:sz="0" w:space="0" w:color="auto"/>
            <w:left w:val="none" w:sz="0" w:space="0" w:color="auto"/>
            <w:bottom w:val="none" w:sz="0" w:space="0" w:color="auto"/>
            <w:right w:val="none" w:sz="0" w:space="0" w:color="auto"/>
          </w:divBdr>
        </w:div>
        <w:div w:id="939875182">
          <w:marLeft w:val="0"/>
          <w:marRight w:val="0"/>
          <w:marTop w:val="360"/>
          <w:marBottom w:val="0"/>
          <w:divBdr>
            <w:top w:val="none" w:sz="0" w:space="0" w:color="auto"/>
            <w:left w:val="none" w:sz="0" w:space="0" w:color="auto"/>
            <w:bottom w:val="none" w:sz="0" w:space="0" w:color="auto"/>
            <w:right w:val="none" w:sz="0" w:space="0" w:color="auto"/>
          </w:divBdr>
        </w:div>
        <w:div w:id="890967508">
          <w:marLeft w:val="0"/>
          <w:marRight w:val="0"/>
          <w:marTop w:val="360"/>
          <w:marBottom w:val="0"/>
          <w:divBdr>
            <w:top w:val="none" w:sz="0" w:space="0" w:color="auto"/>
            <w:left w:val="none" w:sz="0" w:space="0" w:color="auto"/>
            <w:bottom w:val="none" w:sz="0" w:space="0" w:color="auto"/>
            <w:right w:val="none" w:sz="0" w:space="0" w:color="auto"/>
          </w:divBdr>
        </w:div>
        <w:div w:id="2116250568">
          <w:marLeft w:val="0"/>
          <w:marRight w:val="0"/>
          <w:marTop w:val="360"/>
          <w:marBottom w:val="0"/>
          <w:divBdr>
            <w:top w:val="none" w:sz="0" w:space="0" w:color="auto"/>
            <w:left w:val="none" w:sz="0" w:space="0" w:color="auto"/>
            <w:bottom w:val="none" w:sz="0" w:space="0" w:color="auto"/>
            <w:right w:val="none" w:sz="0" w:space="0" w:color="auto"/>
          </w:divBdr>
        </w:div>
        <w:div w:id="1965842306">
          <w:marLeft w:val="0"/>
          <w:marRight w:val="0"/>
          <w:marTop w:val="360"/>
          <w:marBottom w:val="0"/>
          <w:divBdr>
            <w:top w:val="none" w:sz="0" w:space="0" w:color="auto"/>
            <w:left w:val="none" w:sz="0" w:space="0" w:color="auto"/>
            <w:bottom w:val="none" w:sz="0" w:space="0" w:color="auto"/>
            <w:right w:val="none" w:sz="0" w:space="0" w:color="auto"/>
          </w:divBdr>
        </w:div>
        <w:div w:id="780758554">
          <w:marLeft w:val="0"/>
          <w:marRight w:val="0"/>
          <w:marTop w:val="360"/>
          <w:marBottom w:val="0"/>
          <w:divBdr>
            <w:top w:val="none" w:sz="0" w:space="0" w:color="auto"/>
            <w:left w:val="none" w:sz="0" w:space="0" w:color="auto"/>
            <w:bottom w:val="none" w:sz="0" w:space="0" w:color="auto"/>
            <w:right w:val="none" w:sz="0" w:space="0" w:color="auto"/>
          </w:divBdr>
        </w:div>
        <w:div w:id="348218432">
          <w:marLeft w:val="0"/>
          <w:marRight w:val="0"/>
          <w:marTop w:val="360"/>
          <w:marBottom w:val="0"/>
          <w:divBdr>
            <w:top w:val="none" w:sz="0" w:space="0" w:color="auto"/>
            <w:left w:val="none" w:sz="0" w:space="0" w:color="auto"/>
            <w:bottom w:val="none" w:sz="0" w:space="0" w:color="auto"/>
            <w:right w:val="none" w:sz="0" w:space="0" w:color="auto"/>
          </w:divBdr>
        </w:div>
        <w:div w:id="539972556">
          <w:marLeft w:val="0"/>
          <w:marRight w:val="0"/>
          <w:marTop w:val="360"/>
          <w:marBottom w:val="0"/>
          <w:divBdr>
            <w:top w:val="none" w:sz="0" w:space="0" w:color="auto"/>
            <w:left w:val="none" w:sz="0" w:space="0" w:color="auto"/>
            <w:bottom w:val="none" w:sz="0" w:space="0" w:color="auto"/>
            <w:right w:val="none" w:sz="0" w:space="0" w:color="auto"/>
          </w:divBdr>
        </w:div>
        <w:div w:id="1687243752">
          <w:marLeft w:val="0"/>
          <w:marRight w:val="0"/>
          <w:marTop w:val="360"/>
          <w:marBottom w:val="0"/>
          <w:divBdr>
            <w:top w:val="none" w:sz="0" w:space="0" w:color="auto"/>
            <w:left w:val="none" w:sz="0" w:space="0" w:color="auto"/>
            <w:bottom w:val="none" w:sz="0" w:space="0" w:color="auto"/>
            <w:right w:val="none" w:sz="0" w:space="0" w:color="auto"/>
          </w:divBdr>
        </w:div>
        <w:div w:id="843324514">
          <w:marLeft w:val="0"/>
          <w:marRight w:val="0"/>
          <w:marTop w:val="360"/>
          <w:marBottom w:val="0"/>
          <w:divBdr>
            <w:top w:val="none" w:sz="0" w:space="0" w:color="auto"/>
            <w:left w:val="none" w:sz="0" w:space="0" w:color="auto"/>
            <w:bottom w:val="none" w:sz="0" w:space="0" w:color="auto"/>
            <w:right w:val="none" w:sz="0" w:space="0" w:color="auto"/>
          </w:divBdr>
        </w:div>
      </w:divsChild>
    </w:div>
    <w:div w:id="1878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1258</Characters>
  <Application>Microsoft Office Word</Application>
  <DocSecurity>4</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董梓涵</dc:creator>
  <cp:keywords/>
  <dc:description/>
  <cp:lastModifiedBy>ZHONGM</cp:lastModifiedBy>
  <cp:revision>2</cp:revision>
  <dcterms:created xsi:type="dcterms:W3CDTF">2025-12-30T16:02:00Z</dcterms:created>
  <dcterms:modified xsi:type="dcterms:W3CDTF">2025-12-30T16:02:00Z</dcterms:modified>
</cp:coreProperties>
</file>