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79" w:rsidRDefault="00A41E23" w:rsidP="005A1255">
      <w:pPr>
        <w:jc w:val="center"/>
        <w:rPr>
          <w:rFonts w:ascii="黑体" w:eastAsia="黑体" w:hAnsi="黑体" w:cs="Times New Roman"/>
          <w:sz w:val="36"/>
          <w:szCs w:val="36"/>
        </w:rPr>
      </w:pPr>
      <w:r>
        <w:rPr>
          <w:rFonts w:ascii="黑体" w:eastAsia="黑体" w:hAnsi="黑体" w:cs="Times New Roman" w:hint="eastAsia"/>
          <w:sz w:val="36"/>
          <w:szCs w:val="36"/>
        </w:rPr>
        <w:t>国联</w:t>
      </w:r>
      <w:r w:rsidR="005A1255" w:rsidRPr="005A1255">
        <w:rPr>
          <w:rFonts w:ascii="黑体" w:eastAsia="黑体" w:hAnsi="黑体" w:cs="Times New Roman" w:hint="eastAsia"/>
          <w:sz w:val="36"/>
          <w:szCs w:val="36"/>
        </w:rPr>
        <w:t>基金管理有限公司</w:t>
      </w:r>
    </w:p>
    <w:p w:rsidR="00832A93" w:rsidRDefault="005A1255" w:rsidP="00471379">
      <w:pPr>
        <w:jc w:val="center"/>
        <w:rPr>
          <w:rFonts w:ascii="黑体" w:eastAsia="黑体" w:hAnsi="黑体" w:cs="Times New Roman"/>
          <w:sz w:val="36"/>
          <w:szCs w:val="36"/>
        </w:rPr>
      </w:pPr>
      <w:r w:rsidRPr="005A1255">
        <w:rPr>
          <w:rFonts w:ascii="黑体" w:eastAsia="黑体" w:hAnsi="黑体" w:cs="Times New Roman" w:hint="eastAsia"/>
          <w:sz w:val="36"/>
          <w:szCs w:val="36"/>
        </w:rPr>
        <w:t>关于旗下部分公募基金产品风险等级变动的</w:t>
      </w:r>
      <w:r w:rsidR="003D620D">
        <w:rPr>
          <w:rFonts w:ascii="黑体" w:eastAsia="黑体" w:hAnsi="黑体" w:cs="Times New Roman" w:hint="eastAsia"/>
          <w:sz w:val="36"/>
          <w:szCs w:val="36"/>
        </w:rPr>
        <w:t>公告</w:t>
      </w:r>
    </w:p>
    <w:p w:rsidR="009A207F" w:rsidRDefault="009A207F" w:rsidP="005A1255">
      <w:pPr>
        <w:jc w:val="center"/>
        <w:rPr>
          <w:rFonts w:ascii="黑体" w:eastAsia="黑体" w:hAnsi="黑体" w:cs="Times New Roman"/>
          <w:sz w:val="36"/>
          <w:szCs w:val="36"/>
        </w:rPr>
      </w:pPr>
    </w:p>
    <w:p w:rsidR="004818B9" w:rsidRPr="00B336F2" w:rsidRDefault="005A1255" w:rsidP="00A41E23">
      <w:pPr>
        <w:spacing w:after="240"/>
        <w:ind w:firstLineChars="200" w:firstLine="640"/>
        <w:rPr>
          <w:rFonts w:ascii="仿宋" w:eastAsia="仿宋" w:hAnsi="仿宋" w:cs="Times New Roman"/>
          <w:sz w:val="32"/>
          <w:szCs w:val="32"/>
        </w:rPr>
      </w:pPr>
      <w:r w:rsidRPr="005A1255">
        <w:rPr>
          <w:rFonts w:ascii="Times New Roman" w:eastAsia="仿宋" w:hAnsi="Times New Roman" w:cs="Times New Roman"/>
          <w:sz w:val="32"/>
          <w:szCs w:val="32"/>
        </w:rPr>
        <w:t>根据《证券期货投资者适当性管理办法》、《基金募集机构投</w:t>
      </w:r>
      <w:r w:rsidRPr="00B336F2">
        <w:rPr>
          <w:rFonts w:ascii="仿宋" w:eastAsia="仿宋" w:hAnsi="仿宋" w:cs="Times New Roman"/>
          <w:sz w:val="32"/>
          <w:szCs w:val="32"/>
        </w:rPr>
        <w:t>资者适当性管理实施指引（试行）》以及</w:t>
      </w:r>
      <w:r w:rsidR="00A41E23" w:rsidRPr="00B336F2">
        <w:rPr>
          <w:rFonts w:ascii="仿宋" w:eastAsia="仿宋" w:hAnsi="仿宋" w:cs="Times New Roman" w:hint="eastAsia"/>
          <w:sz w:val="32"/>
          <w:szCs w:val="32"/>
        </w:rPr>
        <w:t>国联</w:t>
      </w:r>
      <w:r w:rsidRPr="00B336F2">
        <w:rPr>
          <w:rFonts w:ascii="仿宋" w:eastAsia="仿宋" w:hAnsi="仿宋" w:cs="Times New Roman"/>
          <w:sz w:val="32"/>
          <w:szCs w:val="32"/>
        </w:rPr>
        <w:t>基金管理有</w:t>
      </w:r>
      <w:r w:rsidRPr="004C199A">
        <w:rPr>
          <w:rFonts w:ascii="仿宋" w:eastAsia="仿宋" w:hAnsi="仿宋" w:cs="Times New Roman"/>
          <w:sz w:val="32"/>
          <w:szCs w:val="32"/>
        </w:rPr>
        <w:t>限公司</w:t>
      </w:r>
      <w:r w:rsidR="004818B9" w:rsidRPr="004C199A">
        <w:rPr>
          <w:rFonts w:ascii="仿宋" w:eastAsia="仿宋" w:hAnsi="仿宋" w:cs="Times New Roman" w:hint="eastAsia"/>
          <w:sz w:val="32"/>
          <w:szCs w:val="32"/>
        </w:rPr>
        <w:t>（以下简称“本公司”）</w:t>
      </w:r>
      <w:r w:rsidRPr="004C199A">
        <w:rPr>
          <w:rFonts w:ascii="仿宋" w:eastAsia="仿宋" w:hAnsi="仿宋" w:cs="Times New Roman"/>
          <w:sz w:val="32"/>
          <w:szCs w:val="32"/>
        </w:rPr>
        <w:t>投资者适当性管理</w:t>
      </w:r>
      <w:r w:rsidR="002047FA" w:rsidRPr="004C199A">
        <w:rPr>
          <w:rFonts w:ascii="仿宋" w:eastAsia="仿宋" w:hAnsi="仿宋" w:cs="Times New Roman" w:hint="eastAsia"/>
          <w:sz w:val="32"/>
          <w:szCs w:val="32"/>
        </w:rPr>
        <w:t>制度</w:t>
      </w:r>
      <w:r w:rsidR="002047FA" w:rsidRPr="004C199A">
        <w:rPr>
          <w:rFonts w:ascii="仿宋" w:eastAsia="仿宋" w:hAnsi="仿宋" w:cs="Times New Roman"/>
          <w:sz w:val="32"/>
          <w:szCs w:val="32"/>
        </w:rPr>
        <w:t>的</w:t>
      </w:r>
      <w:r w:rsidRPr="004C199A">
        <w:rPr>
          <w:rFonts w:ascii="仿宋" w:eastAsia="仿宋" w:hAnsi="仿宋" w:cs="Times New Roman"/>
          <w:sz w:val="32"/>
          <w:szCs w:val="32"/>
        </w:rPr>
        <w:t>要求，</w:t>
      </w:r>
      <w:r w:rsidR="004C199A" w:rsidRPr="004C199A">
        <w:rPr>
          <w:rFonts w:ascii="仿宋" w:eastAsia="仿宋" w:hAnsi="仿宋" w:cs="Times New Roman" w:hint="eastAsia"/>
          <w:bCs/>
          <w:sz w:val="32"/>
          <w:szCs w:val="32"/>
        </w:rPr>
        <w:t>参考中国银河证券股份有限公司发布的《关于拟调整权益基金等基金产品适当性风险等级的通知》，</w:t>
      </w:r>
      <w:r w:rsidRPr="004C199A">
        <w:rPr>
          <w:rFonts w:ascii="仿宋" w:eastAsia="仿宋" w:hAnsi="仿宋" w:cs="Times New Roman"/>
          <w:sz w:val="32"/>
          <w:szCs w:val="32"/>
        </w:rPr>
        <w:t>本</w:t>
      </w:r>
      <w:r w:rsidRPr="00B336F2">
        <w:rPr>
          <w:rFonts w:ascii="仿宋" w:eastAsia="仿宋" w:hAnsi="仿宋" w:cs="Times New Roman"/>
          <w:sz w:val="32"/>
          <w:szCs w:val="32"/>
        </w:rPr>
        <w:t>公司</w:t>
      </w:r>
      <w:r w:rsidR="00D67260" w:rsidRPr="00B336F2">
        <w:rPr>
          <w:rFonts w:ascii="仿宋" w:eastAsia="仿宋" w:hAnsi="仿宋" w:cs="Times New Roman" w:hint="eastAsia"/>
          <w:sz w:val="32"/>
          <w:szCs w:val="32"/>
        </w:rPr>
        <w:t>决定自2</w:t>
      </w:r>
      <w:r w:rsidR="00D67260" w:rsidRPr="00B336F2">
        <w:rPr>
          <w:rFonts w:ascii="仿宋" w:eastAsia="仿宋" w:hAnsi="仿宋" w:cs="Times New Roman"/>
          <w:sz w:val="32"/>
          <w:szCs w:val="32"/>
        </w:rPr>
        <w:t>02</w:t>
      </w:r>
      <w:r w:rsidR="006214D0">
        <w:rPr>
          <w:rFonts w:ascii="仿宋" w:eastAsia="仿宋" w:hAnsi="仿宋" w:cs="Times New Roman"/>
          <w:sz w:val="32"/>
          <w:szCs w:val="32"/>
        </w:rPr>
        <w:t>6</w:t>
      </w:r>
      <w:r w:rsidR="00D67260" w:rsidRPr="00B336F2">
        <w:rPr>
          <w:rFonts w:ascii="仿宋" w:eastAsia="仿宋" w:hAnsi="仿宋" w:cs="Times New Roman" w:hint="eastAsia"/>
          <w:sz w:val="32"/>
          <w:szCs w:val="32"/>
        </w:rPr>
        <w:t>年</w:t>
      </w:r>
      <w:r w:rsidR="006214D0">
        <w:rPr>
          <w:rFonts w:ascii="仿宋" w:eastAsia="仿宋" w:hAnsi="仿宋" w:cs="Times New Roman"/>
          <w:sz w:val="32"/>
          <w:szCs w:val="32"/>
        </w:rPr>
        <w:t>1</w:t>
      </w:r>
      <w:r w:rsidR="00D67260" w:rsidRPr="00B336F2">
        <w:rPr>
          <w:rFonts w:ascii="仿宋" w:eastAsia="仿宋" w:hAnsi="仿宋" w:cs="Times New Roman" w:hint="eastAsia"/>
          <w:sz w:val="32"/>
          <w:szCs w:val="32"/>
        </w:rPr>
        <w:t>月</w:t>
      </w:r>
      <w:r w:rsidR="00BD2103">
        <w:rPr>
          <w:rFonts w:ascii="仿宋" w:eastAsia="仿宋" w:hAnsi="仿宋" w:cs="Times New Roman"/>
          <w:sz w:val="32"/>
          <w:szCs w:val="32"/>
        </w:rPr>
        <w:t>1</w:t>
      </w:r>
      <w:r w:rsidR="00D67260" w:rsidRPr="00B336F2">
        <w:rPr>
          <w:rFonts w:ascii="仿宋" w:eastAsia="仿宋" w:hAnsi="仿宋" w:cs="Times New Roman" w:hint="eastAsia"/>
          <w:sz w:val="32"/>
          <w:szCs w:val="32"/>
        </w:rPr>
        <w:t>日起</w:t>
      </w:r>
      <w:r w:rsidRPr="00B336F2">
        <w:rPr>
          <w:rFonts w:ascii="仿宋" w:eastAsia="仿宋" w:hAnsi="仿宋" w:cs="Times New Roman"/>
          <w:sz w:val="32"/>
          <w:szCs w:val="32"/>
        </w:rPr>
        <w:t>调整</w:t>
      </w:r>
      <w:r w:rsidR="009A207F" w:rsidRPr="00B336F2">
        <w:rPr>
          <w:rFonts w:ascii="仿宋" w:eastAsia="仿宋" w:hAnsi="仿宋" w:cs="Times New Roman" w:hint="eastAsia"/>
          <w:sz w:val="32"/>
          <w:szCs w:val="32"/>
        </w:rPr>
        <w:t>部分</w:t>
      </w:r>
      <w:r w:rsidRPr="00B336F2">
        <w:rPr>
          <w:rFonts w:ascii="仿宋" w:eastAsia="仿宋" w:hAnsi="仿宋" w:cs="Times New Roman"/>
          <w:sz w:val="32"/>
          <w:szCs w:val="32"/>
        </w:rPr>
        <w:t>基金的风险等级（见下表），敬请广大投资者关注基金风险等级的变化以及对投资决策带来的影响。</w:t>
      </w:r>
    </w:p>
    <w:tbl>
      <w:tblPr>
        <w:tblStyle w:val="a5"/>
        <w:tblW w:w="9639" w:type="dxa"/>
        <w:tblInd w:w="-572" w:type="dxa"/>
        <w:tblLook w:val="04A0"/>
      </w:tblPr>
      <w:tblGrid>
        <w:gridCol w:w="1418"/>
        <w:gridCol w:w="5386"/>
        <w:gridCol w:w="1418"/>
        <w:gridCol w:w="1417"/>
      </w:tblGrid>
      <w:tr w:rsidR="002047FA" w:rsidRPr="00B336F2" w:rsidTr="008B0014">
        <w:tc>
          <w:tcPr>
            <w:tcW w:w="1418" w:type="dxa"/>
            <w:vAlign w:val="center"/>
          </w:tcPr>
          <w:p w:rsidR="00A41E23" w:rsidRPr="00B336F2" w:rsidRDefault="002047FA" w:rsidP="008B0014">
            <w:pPr>
              <w:spacing w:line="360" w:lineRule="auto"/>
              <w:jc w:val="center"/>
              <w:rPr>
                <w:rFonts w:ascii="仿宋" w:eastAsia="仿宋" w:hAnsi="仿宋" w:cs="Times New Roman"/>
                <w:sz w:val="24"/>
                <w:szCs w:val="32"/>
              </w:rPr>
            </w:pPr>
            <w:r w:rsidRPr="00B336F2">
              <w:rPr>
                <w:rFonts w:ascii="仿宋" w:eastAsia="仿宋" w:hAnsi="仿宋" w:cs="Times New Roman"/>
                <w:sz w:val="24"/>
                <w:szCs w:val="32"/>
              </w:rPr>
              <w:t>基金代码</w:t>
            </w:r>
          </w:p>
        </w:tc>
        <w:tc>
          <w:tcPr>
            <w:tcW w:w="5386" w:type="dxa"/>
            <w:vAlign w:val="center"/>
          </w:tcPr>
          <w:p w:rsidR="002047FA" w:rsidRPr="00B336F2" w:rsidRDefault="002047FA" w:rsidP="008B0014">
            <w:pPr>
              <w:spacing w:line="360" w:lineRule="auto"/>
              <w:jc w:val="center"/>
              <w:rPr>
                <w:rFonts w:ascii="仿宋" w:eastAsia="仿宋" w:hAnsi="仿宋" w:cs="Times New Roman"/>
                <w:sz w:val="24"/>
                <w:szCs w:val="32"/>
              </w:rPr>
            </w:pPr>
            <w:r w:rsidRPr="00B336F2">
              <w:rPr>
                <w:rFonts w:ascii="仿宋" w:eastAsia="仿宋" w:hAnsi="仿宋" w:cs="Times New Roman"/>
                <w:sz w:val="24"/>
                <w:szCs w:val="32"/>
              </w:rPr>
              <w:t>基金名称</w:t>
            </w:r>
          </w:p>
        </w:tc>
        <w:tc>
          <w:tcPr>
            <w:tcW w:w="1418" w:type="dxa"/>
            <w:vAlign w:val="center"/>
          </w:tcPr>
          <w:p w:rsidR="002047FA" w:rsidRPr="00B336F2" w:rsidRDefault="002047FA" w:rsidP="008B0014">
            <w:pPr>
              <w:spacing w:line="360" w:lineRule="auto"/>
              <w:jc w:val="center"/>
              <w:rPr>
                <w:rFonts w:ascii="仿宋" w:eastAsia="仿宋" w:hAnsi="仿宋" w:cs="Times New Roman"/>
                <w:sz w:val="24"/>
                <w:szCs w:val="32"/>
              </w:rPr>
            </w:pPr>
            <w:r w:rsidRPr="00B336F2">
              <w:rPr>
                <w:rFonts w:ascii="仿宋" w:eastAsia="仿宋" w:hAnsi="仿宋" w:cs="Times New Roman"/>
                <w:sz w:val="24"/>
                <w:szCs w:val="32"/>
              </w:rPr>
              <w:t>风险等级</w:t>
            </w:r>
            <w:r w:rsidRPr="00B336F2">
              <w:rPr>
                <w:rFonts w:ascii="仿宋" w:eastAsia="仿宋" w:hAnsi="仿宋" w:cs="Times New Roman" w:hint="eastAsia"/>
                <w:sz w:val="24"/>
                <w:szCs w:val="32"/>
              </w:rPr>
              <w:t>（调整前）</w:t>
            </w:r>
          </w:p>
        </w:tc>
        <w:tc>
          <w:tcPr>
            <w:tcW w:w="1417" w:type="dxa"/>
            <w:vAlign w:val="center"/>
          </w:tcPr>
          <w:p w:rsidR="002047FA" w:rsidRPr="00B336F2" w:rsidRDefault="002047FA" w:rsidP="008B0014">
            <w:pPr>
              <w:spacing w:line="360" w:lineRule="auto"/>
              <w:jc w:val="center"/>
              <w:rPr>
                <w:rFonts w:ascii="仿宋" w:eastAsia="仿宋" w:hAnsi="仿宋" w:cs="Times New Roman"/>
                <w:sz w:val="24"/>
                <w:szCs w:val="32"/>
              </w:rPr>
            </w:pPr>
            <w:r w:rsidRPr="00B336F2">
              <w:rPr>
                <w:rFonts w:ascii="仿宋" w:eastAsia="仿宋" w:hAnsi="仿宋" w:cs="Times New Roman"/>
                <w:sz w:val="24"/>
                <w:szCs w:val="32"/>
              </w:rPr>
              <w:t>风险等级</w:t>
            </w:r>
            <w:r w:rsidRPr="00B336F2">
              <w:rPr>
                <w:rFonts w:ascii="仿宋" w:eastAsia="仿宋" w:hAnsi="仿宋" w:cs="Times New Roman" w:hint="eastAsia"/>
                <w:sz w:val="24"/>
                <w:szCs w:val="32"/>
              </w:rPr>
              <w:t>（调整后）</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015032</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国联医药消费混合型证券投资基金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001261</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国联新机遇灵活配置混合型证券投资基金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007885</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国联中证500交易型开放式指数证券投资基金联接基金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004671</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国联核心成长灵活配置混合型证券投资基金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001701</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国联产业升级灵活配置混合型证券投资基金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001387</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国联新经济灵活配置混合型证券投资基金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024004</w:t>
            </w:r>
          </w:p>
        </w:tc>
        <w:tc>
          <w:tcPr>
            <w:tcW w:w="5386" w:type="dxa"/>
            <w:noWrap/>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国联中证A50交易型开放式指数证券投资基金联</w:t>
            </w:r>
            <w:r w:rsidRPr="00671379">
              <w:rPr>
                <w:rFonts w:ascii="仿宋" w:eastAsia="仿宋" w:hAnsi="仿宋" w:cs="Times New Roman" w:hint="eastAsia"/>
                <w:sz w:val="24"/>
                <w:szCs w:val="32"/>
              </w:rPr>
              <w:lastRenderedPageBreak/>
              <w:t>接基金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lastRenderedPageBreak/>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lastRenderedPageBreak/>
              <w:t>024254</w:t>
            </w:r>
          </w:p>
        </w:tc>
        <w:tc>
          <w:tcPr>
            <w:tcW w:w="5386" w:type="dxa"/>
            <w:noWrap/>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国联中证800指数增强型证券投资基金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003670</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国联物联网主题灵活配置混合型证券投资基金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159390</w:t>
            </w:r>
          </w:p>
        </w:tc>
        <w:tc>
          <w:tcPr>
            <w:tcW w:w="5386" w:type="dxa"/>
            <w:noWrap/>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国联中证A50交易型开放式指数证券投资基金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014329</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国联优势产业混合型证券投资基金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022309</w:t>
            </w:r>
          </w:p>
        </w:tc>
        <w:tc>
          <w:tcPr>
            <w:tcW w:w="5386" w:type="dxa"/>
            <w:noWrap/>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国联沪深300指数增强型证券投资基金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bookmarkStart w:id="0" w:name="_GoBack"/>
            <w:bookmarkEnd w:id="0"/>
            <w:r w:rsidRPr="00671379">
              <w:rPr>
                <w:rFonts w:ascii="仿宋" w:eastAsia="仿宋" w:hAnsi="仿宋" w:cs="Times New Roman" w:hint="eastAsia"/>
                <w:sz w:val="24"/>
                <w:szCs w:val="32"/>
              </w:rPr>
              <w:t>012850</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国联低碳经济3个月持有期混合型证券投资基金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010697</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国联行业先锋6个月持有期混合型证券投资基金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009347</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国联价值成长6个月持有期混合型证券投资基金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014961</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国联兴鸿优选混合型证券投资基金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006314</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国联策略优选混合型证券投资基金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515550</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国联中证500交易型开放式指数证券投资基金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010008</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国联成长优选混合型证券投资基金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021051</w:t>
            </w:r>
          </w:p>
        </w:tc>
        <w:tc>
          <w:tcPr>
            <w:tcW w:w="5386" w:type="dxa"/>
            <w:noWrap/>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国联中证500指数增强型证券投资基金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012523</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国联高质量成长混合型证券投资基金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003145</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国联竞争优势股票型证券投资基金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020748</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国联智选先锋股票型证券投资基金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D02244"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013916</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国联成长先锋一年持有期混合型证券投资基金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r w:rsidR="00671379" w:rsidRPr="0015657A" w:rsidTr="008B0014">
        <w:trPr>
          <w:trHeight w:val="270"/>
        </w:trPr>
        <w:tc>
          <w:tcPr>
            <w:tcW w:w="1418" w:type="dxa"/>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013561</w:t>
            </w:r>
          </w:p>
        </w:tc>
        <w:tc>
          <w:tcPr>
            <w:tcW w:w="5386" w:type="dxa"/>
            <w:vAlign w:val="center"/>
            <w:hideMark/>
          </w:tcPr>
          <w:p w:rsidR="00671379" w:rsidRPr="00671379" w:rsidRDefault="00671379" w:rsidP="008B0014">
            <w:pPr>
              <w:spacing w:line="360" w:lineRule="auto"/>
              <w:jc w:val="left"/>
              <w:rPr>
                <w:rFonts w:ascii="仿宋" w:eastAsia="仿宋" w:hAnsi="仿宋" w:cs="Times New Roman"/>
                <w:sz w:val="24"/>
                <w:szCs w:val="32"/>
              </w:rPr>
            </w:pPr>
            <w:r w:rsidRPr="00671379">
              <w:rPr>
                <w:rFonts w:ascii="仿宋" w:eastAsia="仿宋" w:hAnsi="仿宋" w:cs="Times New Roman" w:hint="eastAsia"/>
                <w:sz w:val="24"/>
                <w:szCs w:val="32"/>
              </w:rPr>
              <w:t>国联匠心优选混合型证券投资基金</w:t>
            </w:r>
          </w:p>
        </w:tc>
        <w:tc>
          <w:tcPr>
            <w:tcW w:w="1418"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R3</w:t>
            </w:r>
          </w:p>
        </w:tc>
        <w:tc>
          <w:tcPr>
            <w:tcW w:w="1417" w:type="dxa"/>
            <w:noWrap/>
            <w:vAlign w:val="center"/>
            <w:hideMark/>
          </w:tcPr>
          <w:p w:rsidR="00671379" w:rsidRPr="00671379" w:rsidRDefault="00671379" w:rsidP="008B0014">
            <w:pPr>
              <w:spacing w:line="360" w:lineRule="auto"/>
              <w:jc w:val="center"/>
              <w:rPr>
                <w:rFonts w:ascii="仿宋" w:eastAsia="仿宋" w:hAnsi="仿宋" w:cs="Times New Roman"/>
                <w:sz w:val="24"/>
                <w:szCs w:val="32"/>
              </w:rPr>
            </w:pPr>
            <w:r w:rsidRPr="00671379">
              <w:rPr>
                <w:rFonts w:ascii="仿宋" w:eastAsia="仿宋" w:hAnsi="仿宋" w:cs="Times New Roman" w:hint="eastAsia"/>
                <w:sz w:val="24"/>
                <w:szCs w:val="32"/>
              </w:rPr>
              <w:t>R4</w:t>
            </w:r>
          </w:p>
        </w:tc>
      </w:tr>
    </w:tbl>
    <w:p w:rsidR="005A1255" w:rsidRPr="00B336F2" w:rsidRDefault="005A1255" w:rsidP="00A41E23">
      <w:pPr>
        <w:spacing w:before="240"/>
        <w:ind w:firstLineChars="200" w:firstLine="640"/>
        <w:rPr>
          <w:rFonts w:ascii="仿宋" w:eastAsia="仿宋" w:hAnsi="仿宋" w:cs="Times New Roman"/>
          <w:sz w:val="32"/>
          <w:szCs w:val="32"/>
        </w:rPr>
      </w:pPr>
      <w:r w:rsidRPr="00B336F2">
        <w:rPr>
          <w:rFonts w:ascii="仿宋" w:eastAsia="仿宋" w:hAnsi="仿宋" w:cs="Times New Roman"/>
          <w:sz w:val="32"/>
          <w:szCs w:val="32"/>
        </w:rPr>
        <w:t>投资者可登录本公司官网</w:t>
      </w:r>
      <w:r w:rsidR="009070BE" w:rsidRPr="00B336F2">
        <w:rPr>
          <w:rFonts w:ascii="仿宋" w:eastAsia="仿宋" w:hAnsi="仿宋" w:cs="Times New Roman" w:hint="eastAsia"/>
          <w:color w:val="000000" w:themeColor="text1"/>
          <w:sz w:val="32"/>
          <w:szCs w:val="32"/>
        </w:rPr>
        <w:t>（</w:t>
      </w:r>
      <w:hyperlink r:id="rId6" w:history="1">
        <w:r w:rsidR="00A41E23" w:rsidRPr="00B336F2">
          <w:rPr>
            <w:rStyle w:val="a6"/>
            <w:rFonts w:ascii="仿宋" w:eastAsia="仿宋" w:hAnsi="仿宋" w:cs="Times New Roman"/>
            <w:sz w:val="32"/>
            <w:szCs w:val="32"/>
          </w:rPr>
          <w:t>www.glfund.com</w:t>
        </w:r>
      </w:hyperlink>
      <w:r w:rsidR="009070BE" w:rsidRPr="00B336F2">
        <w:rPr>
          <w:rFonts w:ascii="仿宋" w:eastAsia="仿宋" w:hAnsi="仿宋" w:cs="Times New Roman" w:hint="eastAsia"/>
          <w:color w:val="000000" w:themeColor="text1"/>
          <w:sz w:val="32"/>
          <w:szCs w:val="32"/>
        </w:rPr>
        <w:t>）</w:t>
      </w:r>
      <w:r w:rsidRPr="00B336F2">
        <w:rPr>
          <w:rFonts w:ascii="仿宋" w:eastAsia="仿宋" w:hAnsi="仿宋" w:cs="Times New Roman"/>
          <w:sz w:val="32"/>
          <w:szCs w:val="32"/>
        </w:rPr>
        <w:t>查询、了解本基金的风险等级，或拨打本公司客服热线</w:t>
      </w:r>
      <w:r w:rsidRPr="00B336F2">
        <w:rPr>
          <w:rFonts w:ascii="仿宋" w:eastAsia="仿宋" w:hAnsi="仿宋" w:cs="Times New Roman" w:hint="eastAsia"/>
          <w:sz w:val="32"/>
          <w:szCs w:val="32"/>
        </w:rPr>
        <w:lastRenderedPageBreak/>
        <w:t>（</w:t>
      </w:r>
      <w:r w:rsidRPr="00B336F2">
        <w:rPr>
          <w:rFonts w:ascii="仿宋" w:eastAsia="仿宋" w:hAnsi="仿宋" w:cs="Times New Roman"/>
          <w:sz w:val="32"/>
          <w:szCs w:val="32"/>
        </w:rPr>
        <w:t>400-160-6000</w:t>
      </w:r>
      <w:r w:rsidRPr="00B336F2">
        <w:rPr>
          <w:rFonts w:ascii="仿宋" w:eastAsia="仿宋" w:hAnsi="仿宋" w:cs="Times New Roman" w:hint="eastAsia"/>
          <w:sz w:val="32"/>
          <w:szCs w:val="32"/>
        </w:rPr>
        <w:t>、</w:t>
      </w:r>
      <w:r w:rsidRPr="00B336F2">
        <w:rPr>
          <w:rFonts w:ascii="仿宋" w:eastAsia="仿宋" w:hAnsi="仿宋" w:cs="Times New Roman"/>
          <w:sz w:val="32"/>
          <w:szCs w:val="32"/>
        </w:rPr>
        <w:t>010-56517299</w:t>
      </w:r>
      <w:r w:rsidRPr="00B336F2">
        <w:rPr>
          <w:rFonts w:ascii="仿宋" w:eastAsia="仿宋" w:hAnsi="仿宋" w:cs="Times New Roman" w:hint="eastAsia"/>
          <w:sz w:val="32"/>
          <w:szCs w:val="32"/>
        </w:rPr>
        <w:t>）</w:t>
      </w:r>
      <w:r w:rsidRPr="00B336F2">
        <w:rPr>
          <w:rFonts w:ascii="仿宋" w:eastAsia="仿宋" w:hAnsi="仿宋" w:cs="Times New Roman"/>
          <w:sz w:val="32"/>
          <w:szCs w:val="32"/>
        </w:rPr>
        <w:t xml:space="preserve">咨询详情。 </w:t>
      </w:r>
    </w:p>
    <w:p w:rsidR="009070BE" w:rsidRPr="00B336F2" w:rsidRDefault="005A1255" w:rsidP="005A1255">
      <w:pPr>
        <w:ind w:firstLineChars="200" w:firstLine="640"/>
        <w:rPr>
          <w:rFonts w:ascii="仿宋" w:eastAsia="仿宋" w:hAnsi="仿宋" w:cs="Times New Roman"/>
          <w:sz w:val="32"/>
          <w:szCs w:val="32"/>
        </w:rPr>
      </w:pPr>
      <w:r w:rsidRPr="00B336F2">
        <w:rPr>
          <w:rFonts w:ascii="仿宋" w:eastAsia="仿宋" w:hAnsi="仿宋" w:cs="Times New Roman"/>
          <w:sz w:val="32"/>
          <w:szCs w:val="32"/>
        </w:rPr>
        <w:t>风险提示：</w:t>
      </w:r>
    </w:p>
    <w:p w:rsidR="005A1255" w:rsidRPr="00B336F2" w:rsidRDefault="005A1255" w:rsidP="005A1255">
      <w:pPr>
        <w:ind w:firstLineChars="200" w:firstLine="640"/>
        <w:rPr>
          <w:rFonts w:ascii="仿宋" w:eastAsia="仿宋" w:hAnsi="仿宋" w:cs="Times New Roman"/>
          <w:sz w:val="32"/>
          <w:szCs w:val="32"/>
        </w:rPr>
      </w:pPr>
      <w:r w:rsidRPr="00B336F2">
        <w:rPr>
          <w:rFonts w:ascii="仿宋" w:eastAsia="仿宋" w:hAnsi="仿宋" w:cs="Times New Roman"/>
          <w:sz w:val="32"/>
          <w:szCs w:val="32"/>
        </w:rPr>
        <w:t>1.销售机构</w:t>
      </w:r>
      <w:r w:rsidR="00FC0CCF" w:rsidRPr="00B336F2">
        <w:rPr>
          <w:rFonts w:ascii="仿宋" w:eastAsia="仿宋" w:hAnsi="仿宋" w:cs="Times New Roman" w:hint="eastAsia"/>
          <w:sz w:val="32"/>
          <w:szCs w:val="32"/>
        </w:rPr>
        <w:t>（</w:t>
      </w:r>
      <w:r w:rsidRPr="00B336F2">
        <w:rPr>
          <w:rFonts w:ascii="仿宋" w:eastAsia="仿宋" w:hAnsi="仿宋" w:cs="Times New Roman" w:hint="eastAsia"/>
          <w:sz w:val="32"/>
          <w:szCs w:val="32"/>
        </w:rPr>
        <w:t>包括基金管理人直销机构和销售机构</w:t>
      </w:r>
      <w:r w:rsidR="00FC0CCF" w:rsidRPr="00B336F2">
        <w:rPr>
          <w:rFonts w:ascii="仿宋" w:eastAsia="仿宋" w:hAnsi="仿宋" w:cs="Times New Roman" w:hint="eastAsia"/>
          <w:sz w:val="32"/>
          <w:szCs w:val="32"/>
        </w:rPr>
        <w:t>）</w:t>
      </w:r>
      <w:r w:rsidRPr="00B336F2">
        <w:rPr>
          <w:rFonts w:ascii="仿宋" w:eastAsia="仿宋" w:hAnsi="仿宋" w:cs="Times New Roman"/>
          <w:sz w:val="32"/>
          <w:szCs w:val="32"/>
        </w:rPr>
        <w:t>根据投资者适当性法律法规对基金进行风险评价，不同的销售机构采用的评价方法不同，因此不同销售机构对基金的风险等级评价结果可能存在不同。</w:t>
      </w:r>
    </w:p>
    <w:p w:rsidR="005A1255" w:rsidRPr="00B336F2" w:rsidRDefault="005A1255" w:rsidP="005A1255">
      <w:pPr>
        <w:ind w:firstLineChars="200" w:firstLine="640"/>
        <w:rPr>
          <w:rFonts w:ascii="仿宋" w:eastAsia="仿宋" w:hAnsi="仿宋" w:cs="Times New Roman"/>
          <w:sz w:val="32"/>
          <w:szCs w:val="32"/>
        </w:rPr>
      </w:pPr>
      <w:r w:rsidRPr="00B336F2">
        <w:rPr>
          <w:rFonts w:ascii="仿宋" w:eastAsia="仿宋" w:hAnsi="仿宋" w:cs="Times New Roman"/>
          <w:sz w:val="32"/>
          <w:szCs w:val="32"/>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5A1255" w:rsidRPr="00B336F2" w:rsidRDefault="005A1255" w:rsidP="005A1255">
      <w:pPr>
        <w:ind w:firstLineChars="200" w:firstLine="640"/>
        <w:rPr>
          <w:rFonts w:ascii="仿宋" w:eastAsia="仿宋" w:hAnsi="仿宋" w:cs="Times New Roman"/>
          <w:sz w:val="32"/>
          <w:szCs w:val="32"/>
        </w:rPr>
      </w:pPr>
      <w:r w:rsidRPr="00B336F2">
        <w:rPr>
          <w:rFonts w:ascii="仿宋" w:eastAsia="仿宋" w:hAnsi="仿宋" w:cs="Times New Roman"/>
          <w:sz w:val="32"/>
          <w:szCs w:val="32"/>
        </w:rPr>
        <w:t>3.基金管理人承诺以诚实信用、勤勉尽责的原则管理和运用基金资产，但不保证基金一定盈利，也不保证最低收益。</w:t>
      </w:r>
      <w:r w:rsidR="004818B9" w:rsidRPr="00B336F2">
        <w:rPr>
          <w:rFonts w:ascii="仿宋" w:eastAsia="仿宋" w:hAnsi="仿宋" w:cs="Times New Roman"/>
          <w:sz w:val="32"/>
          <w:szCs w:val="32"/>
        </w:rPr>
        <w:t>投资有风险</w:t>
      </w:r>
      <w:r w:rsidR="004818B9" w:rsidRPr="00B336F2">
        <w:rPr>
          <w:rFonts w:ascii="仿宋" w:eastAsia="仿宋" w:hAnsi="仿宋" w:cs="Times New Roman" w:hint="eastAsia"/>
          <w:sz w:val="32"/>
          <w:szCs w:val="32"/>
        </w:rPr>
        <w:t>，</w:t>
      </w:r>
      <w:r w:rsidR="004818B9" w:rsidRPr="00B336F2">
        <w:rPr>
          <w:rFonts w:ascii="仿宋" w:eastAsia="仿宋" w:hAnsi="仿宋" w:cs="Times New Roman"/>
          <w:sz w:val="32"/>
          <w:szCs w:val="32"/>
        </w:rPr>
        <w:t>敬请</w:t>
      </w:r>
      <w:r w:rsidRPr="00B336F2">
        <w:rPr>
          <w:rFonts w:ascii="仿宋" w:eastAsia="仿宋" w:hAnsi="仿宋" w:cs="Times New Roman"/>
          <w:sz w:val="32"/>
          <w:szCs w:val="32"/>
        </w:rPr>
        <w:t>投资者投资前应认真阅读基金合同和招募说明书等法律文件，了解基金的风险收益特征，根据自身的风险承受能力审慎决策，独立承担投资风险。</w:t>
      </w:r>
    </w:p>
    <w:p w:rsidR="003D620D" w:rsidRPr="00B336F2" w:rsidRDefault="003D620D" w:rsidP="005A1255">
      <w:pPr>
        <w:ind w:firstLineChars="200" w:firstLine="640"/>
        <w:rPr>
          <w:rFonts w:ascii="仿宋" w:eastAsia="仿宋" w:hAnsi="仿宋" w:cs="Times New Roman"/>
          <w:sz w:val="32"/>
          <w:szCs w:val="32"/>
        </w:rPr>
      </w:pPr>
      <w:r w:rsidRPr="00B336F2">
        <w:rPr>
          <w:rFonts w:ascii="仿宋" w:eastAsia="仿宋" w:hAnsi="仿宋" w:cs="Times New Roman"/>
          <w:sz w:val="32"/>
          <w:szCs w:val="32"/>
        </w:rPr>
        <w:t>特此公告</w:t>
      </w:r>
      <w:r w:rsidRPr="00B336F2">
        <w:rPr>
          <w:rFonts w:ascii="仿宋" w:eastAsia="仿宋" w:hAnsi="仿宋" w:cs="Times New Roman" w:hint="eastAsia"/>
          <w:sz w:val="32"/>
          <w:szCs w:val="32"/>
        </w:rPr>
        <w:t>。</w:t>
      </w:r>
    </w:p>
    <w:p w:rsidR="005A1255" w:rsidRPr="00B336F2" w:rsidRDefault="005A1255" w:rsidP="005A1255">
      <w:pPr>
        <w:jc w:val="left"/>
        <w:rPr>
          <w:rFonts w:ascii="仿宋" w:eastAsia="仿宋" w:hAnsi="仿宋" w:cs="Times New Roman"/>
          <w:sz w:val="32"/>
          <w:szCs w:val="32"/>
        </w:rPr>
      </w:pPr>
    </w:p>
    <w:p w:rsidR="005A1255" w:rsidRPr="00B336F2" w:rsidRDefault="004818B9" w:rsidP="005A1255">
      <w:pPr>
        <w:jc w:val="right"/>
        <w:rPr>
          <w:rFonts w:ascii="仿宋" w:eastAsia="仿宋" w:hAnsi="仿宋" w:cs="Times New Roman"/>
          <w:sz w:val="32"/>
          <w:szCs w:val="32"/>
        </w:rPr>
      </w:pPr>
      <w:r w:rsidRPr="00B336F2">
        <w:rPr>
          <w:rFonts w:ascii="仿宋" w:eastAsia="仿宋" w:hAnsi="仿宋" w:cs="Times New Roman"/>
          <w:sz w:val="32"/>
          <w:szCs w:val="32"/>
        </w:rPr>
        <w:t xml:space="preserve"> </w:t>
      </w:r>
      <w:r w:rsidR="00A41E23" w:rsidRPr="00B336F2">
        <w:rPr>
          <w:rFonts w:ascii="仿宋" w:eastAsia="仿宋" w:hAnsi="仿宋" w:cs="Times New Roman"/>
          <w:sz w:val="32"/>
          <w:szCs w:val="32"/>
        </w:rPr>
        <w:t>国联</w:t>
      </w:r>
      <w:r w:rsidR="005A1255" w:rsidRPr="00B336F2">
        <w:rPr>
          <w:rFonts w:ascii="仿宋" w:eastAsia="仿宋" w:hAnsi="仿宋" w:cs="Times New Roman"/>
          <w:sz w:val="32"/>
          <w:szCs w:val="32"/>
        </w:rPr>
        <w:t>基金管理有限公司</w:t>
      </w:r>
    </w:p>
    <w:p w:rsidR="005A1255" w:rsidRPr="00B336F2" w:rsidRDefault="005A1255" w:rsidP="005A1255">
      <w:pPr>
        <w:jc w:val="right"/>
        <w:rPr>
          <w:rFonts w:ascii="仿宋" w:eastAsia="仿宋" w:hAnsi="仿宋" w:cs="Times New Roman"/>
          <w:sz w:val="32"/>
          <w:szCs w:val="32"/>
        </w:rPr>
      </w:pPr>
      <w:r w:rsidRPr="00B336F2">
        <w:rPr>
          <w:rFonts w:ascii="仿宋" w:eastAsia="仿宋" w:hAnsi="仿宋" w:cs="Times New Roman"/>
          <w:sz w:val="32"/>
          <w:szCs w:val="32"/>
        </w:rPr>
        <w:t>202</w:t>
      </w:r>
      <w:r w:rsidR="00311756" w:rsidRPr="00B336F2">
        <w:rPr>
          <w:rFonts w:ascii="仿宋" w:eastAsia="仿宋" w:hAnsi="仿宋" w:cs="Times New Roman"/>
          <w:sz w:val="32"/>
          <w:szCs w:val="32"/>
        </w:rPr>
        <w:t>5</w:t>
      </w:r>
      <w:r w:rsidRPr="00B336F2">
        <w:rPr>
          <w:rFonts w:ascii="仿宋" w:eastAsia="仿宋" w:hAnsi="仿宋" w:cs="Times New Roman"/>
          <w:sz w:val="32"/>
          <w:szCs w:val="32"/>
        </w:rPr>
        <w:t>年</w:t>
      </w:r>
      <w:r w:rsidR="00A41E23" w:rsidRPr="00B336F2">
        <w:rPr>
          <w:rFonts w:ascii="仿宋" w:eastAsia="仿宋" w:hAnsi="仿宋" w:cs="Times New Roman"/>
          <w:sz w:val="32"/>
          <w:szCs w:val="32"/>
        </w:rPr>
        <w:t>1</w:t>
      </w:r>
      <w:r w:rsidR="00671379">
        <w:rPr>
          <w:rFonts w:ascii="仿宋" w:eastAsia="仿宋" w:hAnsi="仿宋" w:cs="Times New Roman"/>
          <w:sz w:val="32"/>
          <w:szCs w:val="32"/>
        </w:rPr>
        <w:t>2</w:t>
      </w:r>
      <w:r w:rsidR="009070BE" w:rsidRPr="00B336F2">
        <w:rPr>
          <w:rFonts w:ascii="仿宋" w:eastAsia="仿宋" w:hAnsi="仿宋" w:cs="Times New Roman" w:hint="eastAsia"/>
          <w:sz w:val="32"/>
          <w:szCs w:val="32"/>
        </w:rPr>
        <w:t>月</w:t>
      </w:r>
      <w:r w:rsidR="00671379">
        <w:rPr>
          <w:rFonts w:ascii="仿宋" w:eastAsia="仿宋" w:hAnsi="仿宋" w:cs="Times New Roman"/>
          <w:sz w:val="32"/>
          <w:szCs w:val="32"/>
        </w:rPr>
        <w:t>31</w:t>
      </w:r>
      <w:r w:rsidRPr="00B336F2">
        <w:rPr>
          <w:rFonts w:ascii="仿宋" w:eastAsia="仿宋" w:hAnsi="仿宋" w:cs="Times New Roman"/>
          <w:sz w:val="32"/>
          <w:szCs w:val="32"/>
        </w:rPr>
        <w:t>日</w:t>
      </w:r>
    </w:p>
    <w:sectPr w:rsidR="005A1255" w:rsidRPr="00B336F2" w:rsidSect="00026F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784" w:rsidRDefault="00AF5784" w:rsidP="005A1255">
      <w:r>
        <w:separator/>
      </w:r>
    </w:p>
  </w:endnote>
  <w:endnote w:type="continuationSeparator" w:id="0">
    <w:p w:rsidR="00AF5784" w:rsidRDefault="00AF5784" w:rsidP="005A12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784" w:rsidRDefault="00AF5784" w:rsidP="005A1255">
      <w:r>
        <w:separator/>
      </w:r>
    </w:p>
  </w:footnote>
  <w:footnote w:type="continuationSeparator" w:id="0">
    <w:p w:rsidR="00AF5784" w:rsidRDefault="00AF5784" w:rsidP="005A1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1E5F"/>
    <w:rsid w:val="00026FAF"/>
    <w:rsid w:val="00036560"/>
    <w:rsid w:val="0006716C"/>
    <w:rsid w:val="000966A0"/>
    <w:rsid w:val="00141E5F"/>
    <w:rsid w:val="001661A9"/>
    <w:rsid w:val="001E4C29"/>
    <w:rsid w:val="002047FA"/>
    <w:rsid w:val="00273067"/>
    <w:rsid w:val="00311756"/>
    <w:rsid w:val="003D620D"/>
    <w:rsid w:val="00471379"/>
    <w:rsid w:val="004818B9"/>
    <w:rsid w:val="004C199A"/>
    <w:rsid w:val="004E38C7"/>
    <w:rsid w:val="00565587"/>
    <w:rsid w:val="005A1255"/>
    <w:rsid w:val="005B0803"/>
    <w:rsid w:val="005C09C2"/>
    <w:rsid w:val="006214D0"/>
    <w:rsid w:val="00646607"/>
    <w:rsid w:val="00671379"/>
    <w:rsid w:val="006C482F"/>
    <w:rsid w:val="00701BAD"/>
    <w:rsid w:val="007C5DDC"/>
    <w:rsid w:val="00832A93"/>
    <w:rsid w:val="00855D3E"/>
    <w:rsid w:val="008B0014"/>
    <w:rsid w:val="009070BE"/>
    <w:rsid w:val="009A207F"/>
    <w:rsid w:val="00A41E23"/>
    <w:rsid w:val="00AD5166"/>
    <w:rsid w:val="00AF5784"/>
    <w:rsid w:val="00B336F2"/>
    <w:rsid w:val="00B71F72"/>
    <w:rsid w:val="00B76381"/>
    <w:rsid w:val="00BA41AE"/>
    <w:rsid w:val="00BC1FDA"/>
    <w:rsid w:val="00BD2103"/>
    <w:rsid w:val="00CA07A3"/>
    <w:rsid w:val="00CF0A01"/>
    <w:rsid w:val="00D458C8"/>
    <w:rsid w:val="00D67260"/>
    <w:rsid w:val="00D70C49"/>
    <w:rsid w:val="00DB0EB7"/>
    <w:rsid w:val="00EA351D"/>
    <w:rsid w:val="00F40010"/>
    <w:rsid w:val="00FC0CCF"/>
    <w:rsid w:val="00FD14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1255"/>
    <w:rPr>
      <w:sz w:val="18"/>
      <w:szCs w:val="18"/>
    </w:rPr>
  </w:style>
  <w:style w:type="paragraph" w:styleId="a4">
    <w:name w:val="footer"/>
    <w:basedOn w:val="a"/>
    <w:link w:val="Char0"/>
    <w:uiPriority w:val="99"/>
    <w:unhideWhenUsed/>
    <w:rsid w:val="005A1255"/>
    <w:pPr>
      <w:tabs>
        <w:tab w:val="center" w:pos="4153"/>
        <w:tab w:val="right" w:pos="8306"/>
      </w:tabs>
      <w:snapToGrid w:val="0"/>
      <w:jc w:val="left"/>
    </w:pPr>
    <w:rPr>
      <w:sz w:val="18"/>
      <w:szCs w:val="18"/>
    </w:rPr>
  </w:style>
  <w:style w:type="character" w:customStyle="1" w:styleId="Char0">
    <w:name w:val="页脚 Char"/>
    <w:basedOn w:val="a0"/>
    <w:link w:val="a4"/>
    <w:uiPriority w:val="99"/>
    <w:rsid w:val="005A1255"/>
    <w:rPr>
      <w:sz w:val="18"/>
      <w:szCs w:val="18"/>
    </w:rPr>
  </w:style>
  <w:style w:type="table" w:styleId="a5">
    <w:name w:val="Table Grid"/>
    <w:basedOn w:val="a1"/>
    <w:uiPriority w:val="39"/>
    <w:rsid w:val="00204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41E23"/>
    <w:rPr>
      <w:color w:val="0563C1" w:themeColor="hyperlink"/>
      <w:u w:val="single"/>
    </w:rPr>
  </w:style>
  <w:style w:type="character" w:styleId="a7">
    <w:name w:val="annotation reference"/>
    <w:basedOn w:val="a0"/>
    <w:uiPriority w:val="99"/>
    <w:semiHidden/>
    <w:unhideWhenUsed/>
    <w:rsid w:val="001661A9"/>
    <w:rPr>
      <w:sz w:val="21"/>
      <w:szCs w:val="21"/>
    </w:rPr>
  </w:style>
  <w:style w:type="paragraph" w:styleId="a8">
    <w:name w:val="annotation text"/>
    <w:basedOn w:val="a"/>
    <w:link w:val="Char1"/>
    <w:uiPriority w:val="99"/>
    <w:semiHidden/>
    <w:unhideWhenUsed/>
    <w:rsid w:val="001661A9"/>
    <w:pPr>
      <w:jc w:val="left"/>
    </w:pPr>
  </w:style>
  <w:style w:type="character" w:customStyle="1" w:styleId="Char1">
    <w:name w:val="批注文字 Char"/>
    <w:basedOn w:val="a0"/>
    <w:link w:val="a8"/>
    <w:uiPriority w:val="99"/>
    <w:semiHidden/>
    <w:rsid w:val="001661A9"/>
  </w:style>
  <w:style w:type="paragraph" w:styleId="a9">
    <w:name w:val="annotation subject"/>
    <w:basedOn w:val="a8"/>
    <w:next w:val="a8"/>
    <w:link w:val="Char2"/>
    <w:uiPriority w:val="99"/>
    <w:semiHidden/>
    <w:unhideWhenUsed/>
    <w:rsid w:val="001661A9"/>
    <w:rPr>
      <w:b/>
      <w:bCs/>
    </w:rPr>
  </w:style>
  <w:style w:type="character" w:customStyle="1" w:styleId="Char2">
    <w:name w:val="批注主题 Char"/>
    <w:basedOn w:val="Char1"/>
    <w:link w:val="a9"/>
    <w:uiPriority w:val="99"/>
    <w:semiHidden/>
    <w:rsid w:val="001661A9"/>
    <w:rPr>
      <w:b/>
      <w:bCs/>
    </w:rPr>
  </w:style>
  <w:style w:type="paragraph" w:styleId="aa">
    <w:name w:val="Balloon Text"/>
    <w:basedOn w:val="a"/>
    <w:link w:val="Char3"/>
    <w:uiPriority w:val="99"/>
    <w:semiHidden/>
    <w:unhideWhenUsed/>
    <w:rsid w:val="004E38C7"/>
    <w:rPr>
      <w:sz w:val="18"/>
      <w:szCs w:val="18"/>
    </w:rPr>
  </w:style>
  <w:style w:type="character" w:customStyle="1" w:styleId="Char3">
    <w:name w:val="批注框文本 Char"/>
    <w:basedOn w:val="a0"/>
    <w:link w:val="aa"/>
    <w:uiPriority w:val="99"/>
    <w:semiHidden/>
    <w:rsid w:val="004E38C7"/>
    <w:rPr>
      <w:sz w:val="18"/>
      <w:szCs w:val="18"/>
    </w:rPr>
  </w:style>
  <w:style w:type="character" w:styleId="ab">
    <w:name w:val="Strong"/>
    <w:basedOn w:val="a0"/>
    <w:uiPriority w:val="22"/>
    <w:qFormat/>
    <w:rsid w:val="004C199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1345</Characters>
  <Application>Microsoft Office Word</Application>
  <DocSecurity>4</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魏立超</dc:creator>
  <cp:keywords/>
  <dc:description/>
  <cp:lastModifiedBy>ZHONGM</cp:lastModifiedBy>
  <cp:revision>2</cp:revision>
  <dcterms:created xsi:type="dcterms:W3CDTF">2025-12-30T16:03:00Z</dcterms:created>
  <dcterms:modified xsi:type="dcterms:W3CDTF">2025-12-30T16:03:00Z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gMailInfo000">
    <vt:lpwstr>eyAibWFpbEZyb20iOiAieGlueGlwaWx1QGdsZnVuZC5jb20iLCAicmNwdFRvIjogImxrbEBzc25ld3MuY29tLmNuIiwgIm5hbWUiOiAi5Zu96IGU5Z+66YeR566h55CG5pyJ6ZmQ5YWs5Y+45YWz5LqO5peX5LiL6YOo5YiG5YWs5Yuf5Z+66YeR5Lqn5ZOB6aOO6Zmp562J57qn5Y+Y5Yqo55qE5YWs5ZGKLmRvY3giLCAiZGF0ZSI6ICIyMDI</vt:lpwstr>
  </property>
  <property fmtid="{D5CDD505-2E9C-101B-9397-08002B2CF9AE}" pid="3" name="skgMailId">
    <vt:lpwstr>1</vt:lpwstr>
  </property>
</Properties>
</file>