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93" w:rsidRDefault="00D972DD">
      <w:pPr>
        <w:widowControl/>
        <w:kinsoku w:val="0"/>
        <w:autoSpaceDE w:val="0"/>
        <w:autoSpaceDN w:val="0"/>
        <w:adjustRightInd w:val="0"/>
        <w:snapToGrid w:val="0"/>
        <w:spacing w:before="63" w:line="221" w:lineRule="auto"/>
        <w:ind w:left="2607"/>
        <w:jc w:val="left"/>
        <w:textAlignment w:val="baseline"/>
        <w:outlineLvl w:val="0"/>
        <w:rPr>
          <w:rFonts w:eastAsia="楷体"/>
          <w:snapToGrid w:val="0"/>
          <w:color w:val="000000"/>
          <w:kern w:val="0"/>
          <w:sz w:val="31"/>
          <w:szCs w:val="31"/>
        </w:rPr>
      </w:pPr>
      <w:r>
        <w:rPr>
          <w:rFonts w:eastAsia="楷体"/>
          <w:snapToGrid w:val="0"/>
          <w:color w:val="000000"/>
          <w:spacing w:val="6"/>
          <w:kern w:val="0"/>
          <w:sz w:val="31"/>
          <w:szCs w:val="31"/>
        </w:rPr>
        <w:t>中航基金管理有限公司</w:t>
      </w:r>
    </w:p>
    <w:p w:rsidR="001B2793" w:rsidRDefault="00D972DD">
      <w:pPr>
        <w:widowControl/>
        <w:kinsoku w:val="0"/>
        <w:autoSpaceDE w:val="0"/>
        <w:autoSpaceDN w:val="0"/>
        <w:adjustRightInd w:val="0"/>
        <w:snapToGrid w:val="0"/>
        <w:spacing w:before="44" w:line="222" w:lineRule="auto"/>
        <w:ind w:left="181"/>
        <w:jc w:val="center"/>
        <w:textAlignment w:val="baseline"/>
        <w:rPr>
          <w:rFonts w:eastAsia="楷体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eastAsia="楷体"/>
          <w:snapToGrid w:val="0"/>
          <w:color w:val="000000"/>
          <w:spacing w:val="10"/>
          <w:kern w:val="0"/>
          <w:sz w:val="31"/>
          <w:szCs w:val="31"/>
        </w:rPr>
        <w:t>关于中航首钢生物质封闭式基础设施证券投资</w:t>
      </w:r>
      <w:r>
        <w:rPr>
          <w:rFonts w:eastAsia="楷体"/>
          <w:snapToGrid w:val="0"/>
          <w:color w:val="000000"/>
          <w:spacing w:val="9"/>
          <w:kern w:val="0"/>
          <w:sz w:val="31"/>
          <w:szCs w:val="31"/>
        </w:rPr>
        <w:t>基金</w:t>
      </w:r>
    </w:p>
    <w:p w:rsidR="001B2793" w:rsidRDefault="00D972DD">
      <w:pPr>
        <w:widowControl/>
        <w:kinsoku w:val="0"/>
        <w:autoSpaceDE w:val="0"/>
        <w:autoSpaceDN w:val="0"/>
        <w:adjustRightInd w:val="0"/>
        <w:snapToGrid w:val="0"/>
        <w:spacing w:before="44" w:line="222" w:lineRule="auto"/>
        <w:jc w:val="center"/>
        <w:textAlignment w:val="baseline"/>
        <w:rPr>
          <w:rFonts w:eastAsia="楷体"/>
          <w:snapToGrid w:val="0"/>
          <w:color w:val="000000"/>
          <w:kern w:val="0"/>
          <w:sz w:val="31"/>
          <w:szCs w:val="31"/>
        </w:rPr>
      </w:pP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运营管理机构</w:t>
      </w: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法定代表人及执行事</w:t>
      </w: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务董事</w:t>
      </w: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变更</w:t>
      </w: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的公告</w:t>
      </w:r>
    </w:p>
    <w:p w:rsidR="001B2793" w:rsidRDefault="00D972DD" w:rsidP="00D972DD">
      <w:pPr>
        <w:widowControl/>
        <w:kinsoku w:val="0"/>
        <w:autoSpaceDE w:val="0"/>
        <w:autoSpaceDN w:val="0"/>
        <w:adjustRightInd w:val="0"/>
        <w:snapToGrid w:val="0"/>
        <w:spacing w:before="309" w:line="240" w:lineRule="auto"/>
        <w:ind w:firstLineChars="200" w:firstLine="476"/>
        <w:jc w:val="left"/>
        <w:textAlignment w:val="baseline"/>
        <w:rPr>
          <w:rFonts w:eastAsia="楷体"/>
          <w:b/>
          <w:bCs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一、公募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eastAsia="Times New Roman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 xml:space="preserve">REITs 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基本信息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87"/>
        <w:gridCol w:w="5957"/>
      </w:tblGrid>
      <w:tr w:rsidR="001B2793">
        <w:trPr>
          <w:trHeight w:val="360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 xml:space="preserve"> REITs 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7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中航首钢生物质封闭式基础设施证券投资基金</w:t>
            </w:r>
          </w:p>
        </w:tc>
      </w:tr>
      <w:tr w:rsidR="001B2793">
        <w:trPr>
          <w:trHeight w:val="316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1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 xml:space="preserve"> REITs</w:t>
            </w:r>
            <w:r>
              <w:rPr>
                <w:rFonts w:eastAsia="楷体"/>
                <w:snapToGrid w:val="0"/>
                <w:color w:val="000000"/>
                <w:spacing w:val="27"/>
                <w:w w:val="10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简称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1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中航首钢绿能</w:t>
            </w:r>
            <w:r>
              <w:rPr>
                <w:rFonts w:eastAsia="楷体"/>
                <w:snapToGrid w:val="0"/>
                <w:color w:val="000000"/>
                <w:spacing w:val="-5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REIT</w:t>
            </w:r>
          </w:p>
        </w:tc>
      </w:tr>
      <w:tr w:rsidR="001B2793">
        <w:trPr>
          <w:trHeight w:val="395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 xml:space="preserve"> REITs 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代码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6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180801</w:t>
            </w:r>
          </w:p>
        </w:tc>
      </w:tr>
      <w:tr w:rsidR="001B2793">
        <w:trPr>
          <w:trHeight w:val="395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 xml:space="preserve"> REITs 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合同生效日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6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2021-06-07</w:t>
            </w:r>
          </w:p>
        </w:tc>
      </w:tr>
      <w:tr w:rsidR="001B2793">
        <w:trPr>
          <w:trHeight w:val="316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8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基金管理人名称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8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中航基金管理有限公司</w:t>
            </w:r>
          </w:p>
        </w:tc>
      </w:tr>
      <w:tr w:rsidR="001B2793">
        <w:trPr>
          <w:trHeight w:val="422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5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基金托管人名称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7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招商银行股份有限公司</w:t>
            </w:r>
          </w:p>
        </w:tc>
      </w:tr>
      <w:tr w:rsidR="001B2793">
        <w:trPr>
          <w:trHeight w:val="1877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公告依据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793" w:rsidRDefault="00D97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35" w:lineRule="auto"/>
              <w:ind w:right="110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>《中华人民共和国证券投资基金法》及其配套法规、《公开募集基础设施证券投资基金指引（试行）》、《深圳证券交易所公开募集基础设施证券投资基金业务办法（试行）》、《深圳证券交易所公开募集基础设施证券投资基金业务指引第</w:t>
            </w: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 xml:space="preserve"> 5 </w:t>
            </w: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号——临时报告（试行）》等有关规定以及《中航首钢生物质封闭式基础设施证券投资基金基金合同》、《中航首钢生物质封闭式基础设施证券投资基金招募说明书》及其更新</w:t>
            </w:r>
          </w:p>
        </w:tc>
      </w:tr>
    </w:tbl>
    <w:p w:rsidR="001B2793" w:rsidRDefault="00D972DD">
      <w:pPr>
        <w:spacing w:before="309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>二、涉及的基础设施项目基本情况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本基金基础设施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项目包括北京首钢生物质能源项目、北京首钢餐厨垃圾收运处一体化项目（一期）以及北京首钢鲁家山残渣暂存场项目（为生物质能源项目的配套设施）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3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个子项目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。运营管理机构为</w:t>
      </w:r>
      <w:r>
        <w:rPr>
          <w:rFonts w:ascii="Arial" w:eastAsia="楷体" w:hAnsi="Arial" w:cs="楷体" w:hint="eastAsia"/>
          <w:snapToGrid w:val="0"/>
          <w:color w:val="000000"/>
          <w:spacing w:val="-2"/>
          <w:sz w:val="24"/>
          <w:szCs w:val="24"/>
          <w:lang w:eastAsia="zh-CN"/>
        </w:rPr>
        <w:t>北京首钢生态科技有限公司（以下简称：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</w:t>
      </w:r>
      <w:r>
        <w:rPr>
          <w:rFonts w:ascii="Arial" w:eastAsia="楷体" w:hAnsi="Arial" w:cs="楷体" w:hint="eastAsia"/>
          <w:snapToGrid w:val="0"/>
          <w:color w:val="000000"/>
          <w:spacing w:val="-2"/>
          <w:sz w:val="24"/>
          <w:szCs w:val="24"/>
          <w:lang w:eastAsia="zh-CN"/>
        </w:rPr>
        <w:t>）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</w:t>
      </w:r>
    </w:p>
    <w:p w:rsidR="001B2793" w:rsidRDefault="00D972DD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>三、</w:t>
      </w: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运营管理机构高级管理人员变动情况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bookmarkStart w:id="0" w:name="_Hlk162939309"/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基金管理人于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2025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12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29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日收到运营管理机构关于运营管理机构变更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法定代表人及执行事务董事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相关情况的通知。运营管理机构因内部人员安排，变更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赵伟滨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先生为运营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lastRenderedPageBreak/>
        <w:t>管理机构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法定代表人及执行事务董事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，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姜猛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先生不再担任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运营管理机构法定代表人及执行事务董事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赵伟滨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先生的任职经历及现有职务如下：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赵伟滨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，男，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19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74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7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月出生，北京市人，中共党员，大学本科学历。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199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7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7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月参加工作，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1999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5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月加入中国共产党，曾任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北京首钢生物质能源科技有限公司总经理助理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、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北京首钢生物质能源科技有限公司副总经理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、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北京首钢生物质能源科技有限公司总经理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、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北京首钢生态科技有限公司总经理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，现任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北京首钢生态科技有限公司党委书记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、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执行事务董事、纪委书记、工会主席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</w:t>
      </w:r>
    </w:p>
    <w:bookmarkEnd w:id="0"/>
    <w:p w:rsidR="001B2793" w:rsidRDefault="00D972DD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>四、对基金份额持有人权益的影响分析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截至本公告发布之日，本基金运营管理机构经营情况正常。本次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运营管理机构法定代表人及执行事务董事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的变更不会对基础设施项目运营、经营业绩、现金流及基金份额持有人的权益产生重大影响。基金管理人及运营管理机构将持续重视信息披露质量，履行信息披露义务，保护投资者的合法权益。</w:t>
      </w:r>
    </w:p>
    <w:p w:rsidR="001B2793" w:rsidRDefault="00D972DD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五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>、相关机构联系方式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 xml:space="preserve"> 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如有疑问，投资者可登录基金管理人网站（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www.avicfund.cn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）、拨打基金管理人客户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服务电话（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400-666-2186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）或发送邮件至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IR_REITs@avicfund.cn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了解、咨询有关详情。</w:t>
      </w:r>
    </w:p>
    <w:p w:rsidR="001B2793" w:rsidRDefault="00D972DD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六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>、风险提示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  <w:t xml:space="preserve"> 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截至目前，本基金投资运作正常，无应披露而未披露的重大信息，基金管理人将严格按照法律法规及基金合同的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规定进行投资运作，履行信息披露义务。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“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买者自负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”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原则，在做出投资决策后，基金运营状况与基金净值变化引致的投资风险，由投资者自行负担。销售机构根据法规要求对投资者类别、风险承受能力和基金的风险等级进行划分，并提出适当性匹配意见。投资者在投资本基金前，应当认真阅读本基金基金合同、招募说明书及其更新、基金产品资料概要等法律文件，全面认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识本基金的风险收益特征和产品特性，在了解产品情况及销售机构适当性意见的基础上，根据自身的投资目标、投资期限、投资经验、资产状况等判断基金是否和自身风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lastRenderedPageBreak/>
        <w:t>险承受能力相适应，理性判断市场，自主判断基金投资价值，自主、谨慎做出投资决策，并自行承担投资风险。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特此公告。</w:t>
      </w:r>
    </w:p>
    <w:p w:rsidR="001B2793" w:rsidRDefault="001B279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1B2793" w:rsidRDefault="001B279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1B2793" w:rsidRDefault="001B279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jc w:val="right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中航基金管理有限公司</w:t>
      </w:r>
    </w:p>
    <w:p w:rsidR="001B2793" w:rsidRDefault="00D972DD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jc w:val="right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bookmarkStart w:id="1" w:name="_GoBack"/>
      <w:bookmarkEnd w:id="1"/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2025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12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31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日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 xml:space="preserve">  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 xml:space="preserve"> </w:t>
      </w:r>
    </w:p>
    <w:sectPr w:rsidR="001B2793" w:rsidSect="001B2793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93" w:rsidRDefault="00D972DD">
      <w:pPr>
        <w:spacing w:line="240" w:lineRule="auto"/>
      </w:pPr>
      <w:r>
        <w:separator/>
      </w:r>
    </w:p>
  </w:endnote>
  <w:endnote w:type="continuationSeparator" w:id="0">
    <w:p w:rsidR="001B2793" w:rsidRDefault="00D9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93" w:rsidRDefault="001B279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 filled="f" stroked="f">
          <v:textbox style="mso-fit-shape-to-text:t" inset="0,0,0,0">
            <w:txbxContent>
              <w:p w:rsidR="001B2793" w:rsidRDefault="001B2793">
                <w:pPr>
                  <w:pStyle w:val="a5"/>
                </w:pPr>
                <w:r>
                  <w:fldChar w:fldCharType="begin"/>
                </w:r>
                <w:r w:rsidR="00D972DD">
                  <w:instrText xml:space="preserve"> PAGE  \* MERGEFORMAT </w:instrText>
                </w:r>
                <w:r>
                  <w:fldChar w:fldCharType="separate"/>
                </w:r>
                <w:r w:rsidR="00D972D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93" w:rsidRDefault="00D972DD">
      <w:pPr>
        <w:spacing w:line="240" w:lineRule="auto"/>
      </w:pPr>
      <w:r>
        <w:separator/>
      </w:r>
    </w:p>
  </w:footnote>
  <w:footnote w:type="continuationSeparator" w:id="0">
    <w:p w:rsidR="001B2793" w:rsidRDefault="00D972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28d6a8a8-e514-4e49-a820-749300488b18"/>
  </w:docVars>
  <w:rsids>
    <w:rsidRoot w:val="00373ADA"/>
    <w:rsid w:val="F9F000E5"/>
    <w:rsid w:val="00064A47"/>
    <w:rsid w:val="000845BB"/>
    <w:rsid w:val="000B0C07"/>
    <w:rsid w:val="000C64A0"/>
    <w:rsid w:val="00122E73"/>
    <w:rsid w:val="0013153B"/>
    <w:rsid w:val="00166438"/>
    <w:rsid w:val="00186A80"/>
    <w:rsid w:val="001B2793"/>
    <w:rsid w:val="001F057A"/>
    <w:rsid w:val="002014B7"/>
    <w:rsid w:val="00244B0B"/>
    <w:rsid w:val="002631D3"/>
    <w:rsid w:val="00281328"/>
    <w:rsid w:val="00284613"/>
    <w:rsid w:val="00290CAE"/>
    <w:rsid w:val="002D480C"/>
    <w:rsid w:val="002D5D00"/>
    <w:rsid w:val="002F3260"/>
    <w:rsid w:val="0033443A"/>
    <w:rsid w:val="003373AF"/>
    <w:rsid w:val="00373ADA"/>
    <w:rsid w:val="003A50E1"/>
    <w:rsid w:val="0044095A"/>
    <w:rsid w:val="004A64A6"/>
    <w:rsid w:val="005022C3"/>
    <w:rsid w:val="005173D4"/>
    <w:rsid w:val="00615B01"/>
    <w:rsid w:val="007327D2"/>
    <w:rsid w:val="00736E4F"/>
    <w:rsid w:val="007A21BB"/>
    <w:rsid w:val="00823010"/>
    <w:rsid w:val="00877EA7"/>
    <w:rsid w:val="0088158C"/>
    <w:rsid w:val="008D38A2"/>
    <w:rsid w:val="009B3AC9"/>
    <w:rsid w:val="009F0D13"/>
    <w:rsid w:val="00A24851"/>
    <w:rsid w:val="00A2757C"/>
    <w:rsid w:val="00A629F8"/>
    <w:rsid w:val="00A877B3"/>
    <w:rsid w:val="00A90839"/>
    <w:rsid w:val="00AC5812"/>
    <w:rsid w:val="00AF7ACD"/>
    <w:rsid w:val="00B16FCF"/>
    <w:rsid w:val="00B44882"/>
    <w:rsid w:val="00B56987"/>
    <w:rsid w:val="00B71CC4"/>
    <w:rsid w:val="00C30336"/>
    <w:rsid w:val="00C705A0"/>
    <w:rsid w:val="00C71BD8"/>
    <w:rsid w:val="00C879F5"/>
    <w:rsid w:val="00CF180A"/>
    <w:rsid w:val="00D20BEE"/>
    <w:rsid w:val="00D74DE1"/>
    <w:rsid w:val="00D972DD"/>
    <w:rsid w:val="00E75EBD"/>
    <w:rsid w:val="00E930B3"/>
    <w:rsid w:val="00EB01F1"/>
    <w:rsid w:val="00EF0786"/>
    <w:rsid w:val="00EF0EDD"/>
    <w:rsid w:val="00EF224B"/>
    <w:rsid w:val="00F13D53"/>
    <w:rsid w:val="00F166DF"/>
    <w:rsid w:val="00FC4A37"/>
    <w:rsid w:val="011631A8"/>
    <w:rsid w:val="0193348D"/>
    <w:rsid w:val="01AA3387"/>
    <w:rsid w:val="048B0088"/>
    <w:rsid w:val="054A11D9"/>
    <w:rsid w:val="07B509B3"/>
    <w:rsid w:val="0C513896"/>
    <w:rsid w:val="0EA919AE"/>
    <w:rsid w:val="0F9836EF"/>
    <w:rsid w:val="10D5611C"/>
    <w:rsid w:val="158F7E2F"/>
    <w:rsid w:val="169A403E"/>
    <w:rsid w:val="1B88053A"/>
    <w:rsid w:val="1BCA6B98"/>
    <w:rsid w:val="1DC63B31"/>
    <w:rsid w:val="1F1A7E37"/>
    <w:rsid w:val="1F772D2E"/>
    <w:rsid w:val="20CA5EE7"/>
    <w:rsid w:val="222F54A5"/>
    <w:rsid w:val="240E4E39"/>
    <w:rsid w:val="25A328AC"/>
    <w:rsid w:val="271C3C26"/>
    <w:rsid w:val="29E34AEE"/>
    <w:rsid w:val="29F600E4"/>
    <w:rsid w:val="2B074D3E"/>
    <w:rsid w:val="2E287697"/>
    <w:rsid w:val="2F4002B4"/>
    <w:rsid w:val="2F566C69"/>
    <w:rsid w:val="32016C23"/>
    <w:rsid w:val="3353551B"/>
    <w:rsid w:val="34011D7B"/>
    <w:rsid w:val="360E29F3"/>
    <w:rsid w:val="37ED484D"/>
    <w:rsid w:val="382A12E1"/>
    <w:rsid w:val="3B2A4FBB"/>
    <w:rsid w:val="3BAC7436"/>
    <w:rsid w:val="3D612A97"/>
    <w:rsid w:val="3F761DDF"/>
    <w:rsid w:val="41980AAB"/>
    <w:rsid w:val="42076896"/>
    <w:rsid w:val="427A2817"/>
    <w:rsid w:val="43C234FF"/>
    <w:rsid w:val="46195D7A"/>
    <w:rsid w:val="48F37E0F"/>
    <w:rsid w:val="499E4B0A"/>
    <w:rsid w:val="4FF72BCD"/>
    <w:rsid w:val="504A6875"/>
    <w:rsid w:val="50C75EDE"/>
    <w:rsid w:val="53407EE3"/>
    <w:rsid w:val="5670766E"/>
    <w:rsid w:val="56F30F5E"/>
    <w:rsid w:val="5ADB48B3"/>
    <w:rsid w:val="5C0733F4"/>
    <w:rsid w:val="5C9734C2"/>
    <w:rsid w:val="5D9B6CE2"/>
    <w:rsid w:val="5DB524FD"/>
    <w:rsid w:val="5E5B6B08"/>
    <w:rsid w:val="5E5D5675"/>
    <w:rsid w:val="5E7D2F0C"/>
    <w:rsid w:val="61C20C59"/>
    <w:rsid w:val="66406452"/>
    <w:rsid w:val="67050051"/>
    <w:rsid w:val="69AE7AB1"/>
    <w:rsid w:val="69CD3AC6"/>
    <w:rsid w:val="6F942274"/>
    <w:rsid w:val="70A703CB"/>
    <w:rsid w:val="748116D7"/>
    <w:rsid w:val="74FE6101"/>
    <w:rsid w:val="751D2A0A"/>
    <w:rsid w:val="75332C0B"/>
    <w:rsid w:val="75C936D3"/>
    <w:rsid w:val="77A65734"/>
    <w:rsid w:val="7A2A4C12"/>
    <w:rsid w:val="7C096F0F"/>
    <w:rsid w:val="7C4318D3"/>
    <w:rsid w:val="7F0B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93"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B2793"/>
    <w:pPr>
      <w:keepNext/>
      <w:keepLines/>
      <w:spacing w:line="640" w:lineRule="exact"/>
      <w:ind w:firstLineChars="200" w:firstLine="20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B2793"/>
    <w:pPr>
      <w:keepNext/>
      <w:keepLines/>
      <w:spacing w:line="640" w:lineRule="exact"/>
      <w:outlineLvl w:val="1"/>
    </w:pPr>
    <w:rPr>
      <w:rFonts w:ascii="等线 Light" w:eastAsia="楷体_GB2312" w:hAnsi="等线 Light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B2793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B2793"/>
    <w:pPr>
      <w:keepNext/>
      <w:keepLines/>
      <w:spacing w:before="280" w:after="290" w:line="376" w:lineRule="atLeast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1B2793"/>
    <w:pPr>
      <w:jc w:val="left"/>
    </w:pPr>
  </w:style>
  <w:style w:type="paragraph" w:styleId="a4">
    <w:name w:val="Body Text"/>
    <w:basedOn w:val="a"/>
    <w:link w:val="Char0"/>
    <w:qFormat/>
    <w:rsid w:val="001B2793"/>
    <w:pPr>
      <w:spacing w:before="137" w:line="240" w:lineRule="auto"/>
      <w:ind w:firstLineChars="200" w:firstLine="200"/>
      <w:jc w:val="left"/>
    </w:pPr>
    <w:rPr>
      <w:rFonts w:ascii="宋体" w:eastAsia="宋体" w:hAnsi="宋体"/>
      <w:kern w:val="0"/>
      <w:sz w:val="21"/>
      <w:szCs w:val="21"/>
      <w:lang w:eastAsia="en-US"/>
    </w:rPr>
  </w:style>
  <w:style w:type="paragraph" w:styleId="a5">
    <w:name w:val="footer"/>
    <w:basedOn w:val="a"/>
    <w:link w:val="Char1"/>
    <w:uiPriority w:val="99"/>
    <w:unhideWhenUsed/>
    <w:qFormat/>
    <w:rsid w:val="001B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B279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1B2793"/>
    <w:pPr>
      <w:ind w:firstLineChars="200" w:firstLine="200"/>
      <w:outlineLvl w:val="0"/>
    </w:pPr>
    <w:rPr>
      <w:rFonts w:ascii="等线 Light" w:eastAsia="楷体" w:hAnsi="等线 Light"/>
      <w:b/>
      <w:bCs/>
      <w:sz w:val="30"/>
      <w:szCs w:val="32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1B2793"/>
    <w:rPr>
      <w:b/>
      <w:bCs/>
    </w:rPr>
  </w:style>
  <w:style w:type="character" w:styleId="a9">
    <w:name w:val="annotation reference"/>
    <w:uiPriority w:val="99"/>
    <w:unhideWhenUsed/>
    <w:qFormat/>
    <w:rsid w:val="001B2793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1B2793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sid w:val="001B2793"/>
    <w:rPr>
      <w:rFonts w:ascii="等线 Light" w:eastAsia="楷体_GB2312" w:hAnsi="等线 Light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rsid w:val="001B2793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sid w:val="001B2793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Char">
    <w:name w:val="批注文字 Char"/>
    <w:link w:val="a3"/>
    <w:uiPriority w:val="99"/>
    <w:semiHidden/>
    <w:qFormat/>
    <w:rsid w:val="001B2793"/>
    <w:rPr>
      <w:rFonts w:ascii="Times New Roman" w:eastAsia="仿宋_GB2312" w:hAnsi="Times New Roman" w:cs="Times New Roman"/>
      <w:kern w:val="2"/>
      <w:sz w:val="32"/>
      <w:szCs w:val="22"/>
    </w:rPr>
  </w:style>
  <w:style w:type="character" w:customStyle="1" w:styleId="Char0">
    <w:name w:val="正文文本 Char"/>
    <w:link w:val="a4"/>
    <w:qFormat/>
    <w:rsid w:val="001B2793"/>
    <w:rPr>
      <w:rFonts w:ascii="宋体" w:eastAsia="宋体" w:hAnsi="宋体"/>
      <w:sz w:val="21"/>
      <w:szCs w:val="21"/>
      <w:lang w:eastAsia="en-US"/>
    </w:rPr>
  </w:style>
  <w:style w:type="character" w:customStyle="1" w:styleId="Char1">
    <w:name w:val="页脚 Char"/>
    <w:link w:val="a5"/>
    <w:uiPriority w:val="99"/>
    <w:qFormat/>
    <w:rsid w:val="001B2793"/>
    <w:rPr>
      <w:sz w:val="18"/>
      <w:szCs w:val="18"/>
    </w:rPr>
  </w:style>
  <w:style w:type="character" w:customStyle="1" w:styleId="Char2">
    <w:name w:val="页眉 Char"/>
    <w:link w:val="a6"/>
    <w:uiPriority w:val="99"/>
    <w:qFormat/>
    <w:rsid w:val="001B2793"/>
    <w:rPr>
      <w:rFonts w:ascii="Times New Roman" w:eastAsia="仿宋_GB2312" w:hAnsi="Times New Roman"/>
      <w:sz w:val="18"/>
      <w:szCs w:val="18"/>
    </w:rPr>
  </w:style>
  <w:style w:type="character" w:customStyle="1" w:styleId="Char3">
    <w:name w:val="标题 Char"/>
    <w:link w:val="a7"/>
    <w:uiPriority w:val="10"/>
    <w:qFormat/>
    <w:rsid w:val="001B2793"/>
    <w:rPr>
      <w:rFonts w:ascii="等线 Light" w:eastAsia="楷体" w:hAnsi="等线 Light" w:cs="Times New Roman"/>
      <w:b/>
      <w:bCs/>
      <w:sz w:val="30"/>
      <w:szCs w:val="32"/>
    </w:rPr>
  </w:style>
  <w:style w:type="character" w:customStyle="1" w:styleId="Char4">
    <w:name w:val="批注主题 Char"/>
    <w:link w:val="a8"/>
    <w:uiPriority w:val="99"/>
    <w:semiHidden/>
    <w:qFormat/>
    <w:rsid w:val="001B2793"/>
    <w:rPr>
      <w:rFonts w:ascii="Times New Roman" w:eastAsia="仿宋_GB2312" w:hAnsi="Times New Roman" w:cs="Times New Roman"/>
      <w:b/>
      <w:bCs/>
      <w:kern w:val="2"/>
      <w:sz w:val="32"/>
      <w:szCs w:val="22"/>
    </w:rPr>
  </w:style>
  <w:style w:type="paragraph" w:customStyle="1" w:styleId="10">
    <w:name w:val="修订1"/>
    <w:uiPriority w:val="99"/>
    <w:unhideWhenUsed/>
    <w:qFormat/>
    <w:rsid w:val="001B2793"/>
    <w:rPr>
      <w:rFonts w:eastAsia="仿宋_GB2312"/>
      <w:kern w:val="2"/>
      <w:sz w:val="32"/>
      <w:szCs w:val="22"/>
    </w:rPr>
  </w:style>
  <w:style w:type="paragraph" w:customStyle="1" w:styleId="TableParagraph">
    <w:name w:val="Table Paragraph"/>
    <w:basedOn w:val="a"/>
    <w:uiPriority w:val="1"/>
    <w:qFormat/>
    <w:rsid w:val="001B2793"/>
    <w:pPr>
      <w:spacing w:line="257" w:lineRule="exact"/>
      <w:ind w:left="108"/>
      <w:jc w:val="center"/>
    </w:pPr>
    <w:rPr>
      <w:rFonts w:ascii="等线" w:eastAsia="等线" w:hAnsi="等线"/>
      <w:kern w:val="0"/>
      <w:sz w:val="22"/>
      <w:lang w:eastAsia="en-US"/>
    </w:rPr>
  </w:style>
  <w:style w:type="paragraph" w:customStyle="1" w:styleId="20">
    <w:name w:val="修订2"/>
    <w:uiPriority w:val="99"/>
    <w:unhideWhenUsed/>
    <w:qFormat/>
    <w:rsid w:val="001B2793"/>
    <w:rPr>
      <w:rFonts w:eastAsia="仿宋_GB2312"/>
      <w:kern w:val="2"/>
      <w:sz w:val="32"/>
      <w:szCs w:val="22"/>
    </w:rPr>
  </w:style>
  <w:style w:type="paragraph" w:customStyle="1" w:styleId="aa">
    <w:name w:val="正文二级"/>
    <w:basedOn w:val="a"/>
    <w:qFormat/>
    <w:rsid w:val="001B2793"/>
    <w:pPr>
      <w:spacing w:beforeLines="50" w:afterLines="50" w:line="360" w:lineRule="auto"/>
      <w:ind w:leftChars="257" w:left="540"/>
    </w:pPr>
    <w:rPr>
      <w:rFonts w:ascii="CG Times" w:eastAsia="宋体" w:hAnsi="CG Times"/>
      <w:sz w:val="24"/>
      <w:szCs w:val="20"/>
    </w:rPr>
  </w:style>
  <w:style w:type="table" w:customStyle="1" w:styleId="TableNormal">
    <w:name w:val="Table Normal"/>
    <w:uiPriority w:val="2"/>
    <w:unhideWhenUsed/>
    <w:qFormat/>
    <w:rsid w:val="001B2793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修订3"/>
    <w:hidden/>
    <w:uiPriority w:val="99"/>
    <w:unhideWhenUsed/>
    <w:qFormat/>
    <w:rsid w:val="001B2793"/>
    <w:rPr>
      <w:rFonts w:eastAsia="仿宋_GB2312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1373</Characters>
  <Application>Microsoft Office Word</Application>
  <DocSecurity>4</DocSecurity>
  <Lines>11</Lines>
  <Paragraphs>3</Paragraphs>
  <ScaleCrop>false</ScaleCrop>
  <Company>CNSTOCK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应伟 汪</dc:creator>
  <cp:lastModifiedBy>ZHONGM</cp:lastModifiedBy>
  <cp:revision>2</cp:revision>
  <dcterms:created xsi:type="dcterms:W3CDTF">2025-12-30T16:05:00Z</dcterms:created>
  <dcterms:modified xsi:type="dcterms:W3CDTF">2025-12-30T16:05:00Z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eyJoZGlkIjoiNjQxNjRjMDcwNzNlYTE3MGQxMDNmMjBkY2RkYzdkNWIiLCJ1c2VySWQiOiI0MTQ2NDQyNDgifQ==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0967DC441426422EB62D602C98F5ADC2</vt:lpwstr>
  </property>
</Properties>
</file>